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2A43" w14:textId="77777777" w:rsidR="00F33941" w:rsidRDefault="00F33941"/>
    <w:p w14:paraId="12A922CF" w14:textId="77777777" w:rsidR="001F3D15" w:rsidRPr="00D951E4" w:rsidRDefault="00D951E4" w:rsidP="00D951E4">
      <w:pPr>
        <w:jc w:val="center"/>
        <w:rPr>
          <w:b/>
          <w:u w:val="single"/>
        </w:rPr>
      </w:pPr>
      <w:r w:rsidRPr="00D951E4">
        <w:rPr>
          <w:b/>
          <w:u w:val="single"/>
        </w:rPr>
        <w:t>Minuta Estado actual de las Medidas Provisionales y Complementarias para la ciudad de Calama y su área circundante (Res. Ex. N°204/2024)</w:t>
      </w:r>
    </w:p>
    <w:p w14:paraId="7DA92A33" w14:textId="77777777" w:rsidR="00D951E4" w:rsidRPr="00A93F6D" w:rsidRDefault="00A93F6D" w:rsidP="00A93F6D">
      <w:pPr>
        <w:pStyle w:val="Prrafodelista"/>
        <w:numPr>
          <w:ilvl w:val="0"/>
          <w:numId w:val="3"/>
        </w:numPr>
        <w:ind w:left="17" w:hanging="357"/>
        <w:jc w:val="both"/>
        <w:rPr>
          <w:b/>
        </w:rPr>
      </w:pPr>
      <w:r w:rsidRPr="00A93F6D">
        <w:rPr>
          <w:b/>
        </w:rPr>
        <w:t>Contexto general de implementación de Res. Ex. N°204/2024</w:t>
      </w:r>
    </w:p>
    <w:p w14:paraId="5DC4DFE9" w14:textId="77777777" w:rsidR="00A93F6D" w:rsidRDefault="00D951E4" w:rsidP="00631C07">
      <w:pPr>
        <w:jc w:val="both"/>
      </w:pPr>
      <w:r>
        <w:t xml:space="preserve">Ante la anulación del D.S. N°05/2022 que </w:t>
      </w:r>
      <w:r w:rsidR="00A93F6D">
        <w:t>“</w:t>
      </w:r>
      <w:r>
        <w:t xml:space="preserve">establece el Plan de Descontaminación </w:t>
      </w:r>
      <w:r w:rsidR="00A93F6D">
        <w:t xml:space="preserve">Atmosférica </w:t>
      </w:r>
      <w:r>
        <w:t>para la ciudad de Calama y su área circundante</w:t>
      </w:r>
      <w:r w:rsidR="00A93F6D">
        <w:t>”</w:t>
      </w:r>
      <w:r>
        <w:t xml:space="preserve"> por el Ministerio del Medio Ambiente, y </w:t>
      </w:r>
      <w:r w:rsidR="00A93F6D">
        <w:t>se procedió a</w:t>
      </w:r>
      <w:r>
        <w:t xml:space="preserve"> </w:t>
      </w:r>
      <w:r w:rsidR="00A93F6D">
        <w:t>publicar</w:t>
      </w:r>
      <w:r>
        <w:t xml:space="preserve"> en el diario oficial de</w:t>
      </w:r>
      <w:r w:rsidR="00A93F6D">
        <w:t xml:space="preserve"> la república</w:t>
      </w:r>
      <w:r>
        <w:t xml:space="preserve"> la Res. Ex. N°150/2024 que </w:t>
      </w:r>
      <w:r w:rsidR="00A93F6D">
        <w:t>“</w:t>
      </w:r>
      <w:r>
        <w:t>da inicio al proceso de elaboración del Plan de Descontaminación para la ciudad de Calama y su área circundante</w:t>
      </w:r>
      <w:r w:rsidR="00A93F6D">
        <w:t>”</w:t>
      </w:r>
      <w:r>
        <w:t xml:space="preserve"> por el Mi</w:t>
      </w:r>
      <w:r w:rsidR="00A93F6D">
        <w:t xml:space="preserve">nisterio del Medio Ambiente. </w:t>
      </w:r>
    </w:p>
    <w:p w14:paraId="64CED15F" w14:textId="77777777" w:rsidR="00D951E4" w:rsidRPr="00D951E4" w:rsidRDefault="00A93F6D" w:rsidP="00631C07">
      <w:pPr>
        <w:jc w:val="both"/>
      </w:pPr>
      <w:r>
        <w:t>Según lo anterior, y para resguardar la salud de las personas y la protección del medio ambiente, que durante se encuentra en proceso de elaboración del Plan de Descontaminación Atmosférica para la ciudad de Calama y su área circundante, se ha procedido a implementar medidas provisionales y complementarias para el territorio de la zona declarada saturada, esto bajo Res. Ex. N°204/2024, la cual fue publicada en el Diario Oficial de la República el 12 de marzo de 2024 por el Ministerio del Medio Ambiente.</w:t>
      </w:r>
    </w:p>
    <w:p w14:paraId="6D4320A5" w14:textId="77777777" w:rsidR="001F3D15" w:rsidRDefault="001F3D15" w:rsidP="00A93F6D">
      <w:pPr>
        <w:pStyle w:val="Prrafodelista"/>
        <w:numPr>
          <w:ilvl w:val="0"/>
          <w:numId w:val="3"/>
        </w:numPr>
        <w:ind w:left="17" w:hanging="357"/>
        <w:jc w:val="both"/>
        <w:rPr>
          <w:b/>
        </w:rPr>
      </w:pPr>
      <w:r w:rsidRPr="000F213B">
        <w:rPr>
          <w:b/>
        </w:rPr>
        <w:t>Estado Actual de las Medidas provisionales (Resuelvo 1)</w:t>
      </w:r>
    </w:p>
    <w:p w14:paraId="434852CD" w14:textId="77777777" w:rsidR="00A93F6D" w:rsidRPr="000F213B" w:rsidRDefault="00A93F6D" w:rsidP="00A93F6D">
      <w:pPr>
        <w:pStyle w:val="Prrafodelista"/>
        <w:ind w:left="17"/>
        <w:jc w:val="both"/>
        <w:rPr>
          <w:b/>
        </w:rPr>
      </w:pPr>
    </w:p>
    <w:p w14:paraId="489D5BDD" w14:textId="77777777" w:rsidR="001F3D15" w:rsidRPr="00631C07" w:rsidRDefault="005B0EA6" w:rsidP="00631C07">
      <w:pPr>
        <w:jc w:val="both"/>
        <w:rPr>
          <w:b/>
        </w:rPr>
      </w:pPr>
      <w:r>
        <w:rPr>
          <w:b/>
        </w:rPr>
        <w:t xml:space="preserve">Medida </w:t>
      </w:r>
      <w:r w:rsidR="001F3D15" w:rsidRPr="00631C07">
        <w:rPr>
          <w:b/>
        </w:rPr>
        <w:t>i) Límite de emisión de MP10 en faenas mineras de Codelco:</w:t>
      </w:r>
    </w:p>
    <w:p w14:paraId="57D9FB82" w14:textId="77777777" w:rsidR="001F3D15" w:rsidRDefault="001F3D15" w:rsidP="00631C07">
      <w:pPr>
        <w:jc w:val="both"/>
      </w:pPr>
      <w:r>
        <w:t>La medida considera los límites de emisiones para las actividades mineras de Codelco según la siguiente tabla:</w:t>
      </w:r>
    </w:p>
    <w:p w14:paraId="60929C57" w14:textId="77777777" w:rsidR="001F3D15" w:rsidRDefault="001F3D15" w:rsidP="001F3D15">
      <w:pPr>
        <w:jc w:val="center"/>
      </w:pPr>
      <w:r>
        <w:rPr>
          <w:b/>
          <w:i/>
          <w:sz w:val="18"/>
        </w:rPr>
        <w:t xml:space="preserve">Tabla 1: </w:t>
      </w:r>
      <w:r w:rsidRPr="001F3D15">
        <w:rPr>
          <w:b/>
          <w:i/>
          <w:sz w:val="18"/>
        </w:rPr>
        <w:t>Límites de emisión de base a inventario de emisiones del año 2020.</w:t>
      </w:r>
    </w:p>
    <w:p w14:paraId="7384A7F1" w14:textId="77777777" w:rsidR="001F3D15" w:rsidRPr="001F3D15" w:rsidRDefault="001F3D15" w:rsidP="001F3D15">
      <w:pPr>
        <w:jc w:val="center"/>
      </w:pPr>
      <w:r>
        <w:rPr>
          <w:noProof/>
          <w:lang w:eastAsia="es-CL"/>
        </w:rPr>
        <w:drawing>
          <wp:inline distT="0" distB="0" distL="0" distR="0" wp14:anchorId="5A05E68B" wp14:editId="2F6A38F7">
            <wp:extent cx="5257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7800" cy="1581150"/>
                    </a:xfrm>
                    <a:prstGeom prst="rect">
                      <a:avLst/>
                    </a:prstGeom>
                  </pic:spPr>
                </pic:pic>
              </a:graphicData>
            </a:graphic>
          </wp:inline>
        </w:drawing>
      </w:r>
    </w:p>
    <w:p w14:paraId="432BCFCC" w14:textId="77777777" w:rsidR="00631C07" w:rsidRDefault="001F3D15" w:rsidP="00631C07">
      <w:pPr>
        <w:jc w:val="both"/>
      </w:pPr>
      <w:r>
        <w:t xml:space="preserve">La medida solicita a Codelco remitir un cronograma de actividades para alcanzar el valor de eficiencia que den cumplimiento a lo indicado en la tabla anterior. Además, debe reportar anualmente </w:t>
      </w:r>
      <w:r w:rsidR="00631C07">
        <w:t>mediante</w:t>
      </w:r>
      <w:r>
        <w:t xml:space="preserve"> informe anual</w:t>
      </w:r>
      <w:r w:rsidR="00631C07">
        <w:t xml:space="preserve"> el cumplimiento de los límites establecidos en la normativa.</w:t>
      </w:r>
    </w:p>
    <w:p w14:paraId="02CF99B5" w14:textId="77777777" w:rsidR="00631C07" w:rsidRPr="00631C07" w:rsidRDefault="00631C07" w:rsidP="00631C07">
      <w:pPr>
        <w:jc w:val="center"/>
        <w:rPr>
          <w:b/>
          <w:i/>
          <w:sz w:val="18"/>
        </w:rPr>
      </w:pPr>
      <w:r w:rsidRPr="00631C07">
        <w:rPr>
          <w:b/>
          <w:i/>
          <w:sz w:val="18"/>
        </w:rPr>
        <w:t>Tabla 2: Plazos y cumplimiento de la medida</w:t>
      </w:r>
    </w:p>
    <w:p w14:paraId="71486B00" w14:textId="77777777" w:rsidR="001F3D15" w:rsidRDefault="00631C07" w:rsidP="001F3D15">
      <w:r>
        <w:rPr>
          <w:noProof/>
          <w:lang w:eastAsia="es-CL"/>
        </w:rPr>
        <w:drawing>
          <wp:inline distT="0" distB="0" distL="0" distR="0" wp14:anchorId="191826BD" wp14:editId="4E92CD51">
            <wp:extent cx="5612130" cy="914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914400"/>
                    </a:xfrm>
                    <a:prstGeom prst="rect">
                      <a:avLst/>
                    </a:prstGeom>
                  </pic:spPr>
                </pic:pic>
              </a:graphicData>
            </a:graphic>
          </wp:inline>
        </w:drawing>
      </w:r>
      <w:r w:rsidR="001F3D15">
        <w:t xml:space="preserve"> </w:t>
      </w:r>
    </w:p>
    <w:p w14:paraId="023DCC54" w14:textId="77777777" w:rsidR="00631C07" w:rsidRPr="00631C07" w:rsidRDefault="005B0EA6" w:rsidP="00631C07">
      <w:pPr>
        <w:jc w:val="both"/>
        <w:rPr>
          <w:b/>
        </w:rPr>
      </w:pPr>
      <w:r>
        <w:rPr>
          <w:b/>
        </w:rPr>
        <w:lastRenderedPageBreak/>
        <w:t xml:space="preserve">Medida </w:t>
      </w:r>
      <w:r w:rsidR="00631C07" w:rsidRPr="00631C07">
        <w:rPr>
          <w:b/>
        </w:rPr>
        <w:t>ii) Propuesta metodológica de cuantificación de emisiones</w:t>
      </w:r>
      <w:r w:rsidR="00631C07">
        <w:rPr>
          <w:b/>
        </w:rPr>
        <w:t xml:space="preserve"> de MP10</w:t>
      </w:r>
    </w:p>
    <w:p w14:paraId="17D45729" w14:textId="77777777" w:rsidR="00631C07" w:rsidRDefault="00631C07" w:rsidP="00631C07">
      <w:pPr>
        <w:jc w:val="both"/>
      </w:pPr>
      <w:r>
        <w:t>Para dar cumplimiento a la reducción de emisiones de MP10 según los límites de emisiones establecidos en la tabla 1, Codelco debe remitir a la SMA la metodología de cuantificación de emisiones de todas sus fuentes (especificaciones técnicas del cálculo de emisiones), de tal manera que concuerde con los reportes que se remitan anualmente de la medida i).</w:t>
      </w:r>
    </w:p>
    <w:p w14:paraId="48206C8E" w14:textId="77777777" w:rsidR="00631C07" w:rsidRPr="00631C07" w:rsidRDefault="00631C07" w:rsidP="00631C07">
      <w:pPr>
        <w:jc w:val="center"/>
        <w:rPr>
          <w:b/>
          <w:i/>
          <w:sz w:val="18"/>
        </w:rPr>
      </w:pPr>
      <w:r w:rsidRPr="00631C07">
        <w:rPr>
          <w:b/>
          <w:i/>
          <w:sz w:val="18"/>
        </w:rPr>
        <w:t>Tabla 3: Plazo y cumplimiento de la medida Codelco</w:t>
      </w:r>
    </w:p>
    <w:p w14:paraId="1EF157F5" w14:textId="77777777" w:rsidR="00631C07" w:rsidRDefault="00631C07" w:rsidP="00631C07">
      <w:pPr>
        <w:jc w:val="center"/>
      </w:pPr>
      <w:r>
        <w:rPr>
          <w:noProof/>
          <w:lang w:eastAsia="es-CL"/>
        </w:rPr>
        <w:drawing>
          <wp:inline distT="0" distB="0" distL="0" distR="0" wp14:anchorId="70DB8027" wp14:editId="2FD04F4E">
            <wp:extent cx="5612130" cy="1019810"/>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019810"/>
                    </a:xfrm>
                    <a:prstGeom prst="rect">
                      <a:avLst/>
                    </a:prstGeom>
                  </pic:spPr>
                </pic:pic>
              </a:graphicData>
            </a:graphic>
          </wp:inline>
        </w:drawing>
      </w:r>
    </w:p>
    <w:p w14:paraId="2BC819B6" w14:textId="77777777" w:rsidR="00631C07" w:rsidRPr="00631C07" w:rsidRDefault="00631C07" w:rsidP="00631C07">
      <w:pPr>
        <w:jc w:val="center"/>
        <w:rPr>
          <w:b/>
          <w:i/>
          <w:sz w:val="18"/>
        </w:rPr>
      </w:pPr>
      <w:r w:rsidRPr="00631C07">
        <w:rPr>
          <w:b/>
          <w:i/>
          <w:sz w:val="18"/>
        </w:rPr>
        <w:t>Tabla 4: Resoluciones SMA que aprueban las metodologías de cuantificación de Codelco</w:t>
      </w:r>
    </w:p>
    <w:p w14:paraId="368F2E70" w14:textId="77777777" w:rsidR="00631C07" w:rsidRDefault="00631C07" w:rsidP="00631C07">
      <w:pPr>
        <w:jc w:val="center"/>
      </w:pPr>
      <w:r>
        <w:rPr>
          <w:noProof/>
          <w:lang w:eastAsia="es-CL"/>
        </w:rPr>
        <w:drawing>
          <wp:inline distT="0" distB="0" distL="0" distR="0" wp14:anchorId="657F35FB" wp14:editId="5C46C56F">
            <wp:extent cx="5612130" cy="10972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097280"/>
                    </a:xfrm>
                    <a:prstGeom prst="rect">
                      <a:avLst/>
                    </a:prstGeom>
                  </pic:spPr>
                </pic:pic>
              </a:graphicData>
            </a:graphic>
          </wp:inline>
        </w:drawing>
      </w:r>
    </w:p>
    <w:p w14:paraId="2DF557EE" w14:textId="77777777" w:rsidR="00631C07" w:rsidRPr="005B0EA6" w:rsidRDefault="005B0EA6" w:rsidP="00631C07">
      <w:pPr>
        <w:rPr>
          <w:b/>
        </w:rPr>
      </w:pPr>
      <w:r>
        <w:rPr>
          <w:b/>
        </w:rPr>
        <w:t xml:space="preserve">Medida </w:t>
      </w:r>
      <w:r w:rsidR="00631C07" w:rsidRPr="005B0EA6">
        <w:rPr>
          <w:b/>
        </w:rPr>
        <w:t>iii) Plan de acción de reducción de emisiones directamente en la ciudad de Calama</w:t>
      </w:r>
    </w:p>
    <w:p w14:paraId="383B05C0" w14:textId="77777777" w:rsidR="005B0EA6" w:rsidRDefault="005B0EA6" w:rsidP="00631C07">
      <w:pPr>
        <w:rPr>
          <w:noProof/>
          <w:lang w:eastAsia="es-CL"/>
        </w:rPr>
      </w:pPr>
      <w:r>
        <w:t>Plan que considera la reducción de emisiones de 500 toneladas de MP10 por año directamente en la ciudad de Calama, la medida debe considerar el barrido y lavado de calles, y la estabilización de sitios eriazos (medida x) y xi), respectivamente).</w:t>
      </w:r>
      <w:r w:rsidRPr="005B0EA6">
        <w:rPr>
          <w:noProof/>
          <w:lang w:eastAsia="es-CL"/>
        </w:rPr>
        <w:t xml:space="preserve"> </w:t>
      </w:r>
    </w:p>
    <w:p w14:paraId="4B586ABF" w14:textId="77777777" w:rsidR="005B0EA6" w:rsidRPr="005B0EA6" w:rsidRDefault="005B0EA6" w:rsidP="005B0EA6">
      <w:pPr>
        <w:jc w:val="center"/>
        <w:rPr>
          <w:b/>
          <w:i/>
          <w:sz w:val="18"/>
        </w:rPr>
      </w:pPr>
      <w:r w:rsidRPr="005B0EA6">
        <w:rPr>
          <w:b/>
          <w:i/>
          <w:sz w:val="18"/>
        </w:rPr>
        <w:t>Figura 1: detalle de la medida “Plan Calama”</w:t>
      </w:r>
    </w:p>
    <w:p w14:paraId="1A03EC9E" w14:textId="77777777" w:rsidR="00631C07" w:rsidRDefault="005B0EA6" w:rsidP="00631C07">
      <w:r>
        <w:rPr>
          <w:noProof/>
          <w:lang w:eastAsia="es-CL"/>
        </w:rPr>
        <w:drawing>
          <wp:inline distT="0" distB="0" distL="0" distR="0" wp14:anchorId="221118B4" wp14:editId="04ED8204">
            <wp:extent cx="5612130" cy="1692910"/>
            <wp:effectExtent l="0" t="0" r="762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92910"/>
                    </a:xfrm>
                    <a:prstGeom prst="rect">
                      <a:avLst/>
                    </a:prstGeom>
                  </pic:spPr>
                </pic:pic>
              </a:graphicData>
            </a:graphic>
          </wp:inline>
        </w:drawing>
      </w:r>
    </w:p>
    <w:p w14:paraId="23992AF6" w14:textId="77777777" w:rsidR="005B0EA6" w:rsidRPr="005B0EA6" w:rsidRDefault="005B0EA6" w:rsidP="005B0EA6">
      <w:pPr>
        <w:jc w:val="center"/>
        <w:rPr>
          <w:b/>
          <w:i/>
          <w:sz w:val="18"/>
        </w:rPr>
      </w:pPr>
      <w:r>
        <w:rPr>
          <w:b/>
          <w:i/>
          <w:sz w:val="18"/>
        </w:rPr>
        <w:t>Tabla 5: cumplimiento de la medida</w:t>
      </w:r>
    </w:p>
    <w:p w14:paraId="4611F6BC" w14:textId="77777777" w:rsidR="005B0EA6" w:rsidRDefault="005B0EA6" w:rsidP="00631C07">
      <w:r>
        <w:rPr>
          <w:noProof/>
          <w:lang w:eastAsia="es-CL"/>
        </w:rPr>
        <w:lastRenderedPageBreak/>
        <w:drawing>
          <wp:inline distT="0" distB="0" distL="0" distR="0" wp14:anchorId="26A19804" wp14:editId="20518CA6">
            <wp:extent cx="5612130" cy="215773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157730"/>
                    </a:xfrm>
                    <a:prstGeom prst="rect">
                      <a:avLst/>
                    </a:prstGeom>
                  </pic:spPr>
                </pic:pic>
              </a:graphicData>
            </a:graphic>
          </wp:inline>
        </w:drawing>
      </w:r>
    </w:p>
    <w:p w14:paraId="3A335C32" w14:textId="77777777" w:rsidR="005B0EA6" w:rsidRDefault="005B0EA6" w:rsidP="005B0EA6">
      <w:pPr>
        <w:jc w:val="both"/>
      </w:pPr>
      <w:r>
        <w:t>La medida no se encuentra aprobada mediante resolución, ya que se indica que para el barrido y lavado de calles debe haber un consenso entre la IMC y Codelco, lo que no sea ha concretado en la actualidad. Ante esto se recopilaron los antecedentes para que el Ministerio cumpla el rol de mediador para ambas partes.</w:t>
      </w:r>
    </w:p>
    <w:p w14:paraId="5F64B218" w14:textId="77777777" w:rsidR="005B0EA6" w:rsidRPr="005B0EA6" w:rsidRDefault="005B0EA6" w:rsidP="00D51F34">
      <w:pPr>
        <w:rPr>
          <w:b/>
        </w:rPr>
      </w:pPr>
      <w:r w:rsidRPr="005B0EA6">
        <w:rPr>
          <w:b/>
        </w:rPr>
        <w:t>Medida iv) Limite de eficiencia de control de emisiones de MP10</w:t>
      </w:r>
    </w:p>
    <w:p w14:paraId="35112AF2" w14:textId="77777777" w:rsidR="005B0EA6" w:rsidRDefault="005B0EA6" w:rsidP="005B0EA6">
      <w:pPr>
        <w:jc w:val="both"/>
      </w:pPr>
      <w:r>
        <w:t xml:space="preserve">La medida exige el cumplimiento mínimo de eficiencias para actividades específicas en las actividades mineras, para lo cual Codelco debe dar cumplimiento durante el año 2024 (DMH), año 2025 (Chancadores primarios, DRT) y 2026 (DRT y DCH). La media </w:t>
      </w:r>
      <w:r w:rsidRPr="005B0EA6">
        <w:rPr>
          <w:b/>
          <w:u w:val="single"/>
        </w:rPr>
        <w:t>se reporta durante marzo</w:t>
      </w:r>
      <w:r>
        <w:t xml:space="preserve"> de cada año.</w:t>
      </w:r>
    </w:p>
    <w:p w14:paraId="6EA952CA" w14:textId="77777777" w:rsidR="005B0EA6" w:rsidRPr="005B0EA6" w:rsidRDefault="005B0EA6" w:rsidP="005B0EA6">
      <w:pPr>
        <w:jc w:val="both"/>
        <w:rPr>
          <w:b/>
        </w:rPr>
      </w:pPr>
      <w:r w:rsidRPr="005B0EA6">
        <w:rPr>
          <w:b/>
        </w:rPr>
        <w:t>Medida v) Mecanismo de control permanente de emisiones de polvo resuspendido por tránsito de camiones CAEX.</w:t>
      </w:r>
    </w:p>
    <w:p w14:paraId="70D9F728" w14:textId="77777777" w:rsidR="005B0EA6" w:rsidRDefault="005B0EA6" w:rsidP="005B0EA6">
      <w:pPr>
        <w:jc w:val="both"/>
      </w:pPr>
      <w:r>
        <w:t>Medida implementada desde marzo 2024, la cual fue informada a la comunidad por Codelco mediante mesa de Transición Socioecológica Justa en Calama.</w:t>
      </w:r>
    </w:p>
    <w:p w14:paraId="74EBA965" w14:textId="77777777" w:rsidR="005B0EA6" w:rsidRPr="008F0751" w:rsidRDefault="008F0751" w:rsidP="005B0EA6">
      <w:pPr>
        <w:jc w:val="both"/>
        <w:rPr>
          <w:b/>
        </w:rPr>
      </w:pPr>
      <w:r w:rsidRPr="008F0751">
        <w:rPr>
          <w:b/>
        </w:rPr>
        <w:t>Medida vi) Plan Operacional de Tronadura para reducir dispersión de polvo hacia Calama</w:t>
      </w:r>
    </w:p>
    <w:p w14:paraId="0FCE8F3D" w14:textId="77777777" w:rsidR="008F0751" w:rsidRDefault="008F0751" w:rsidP="005B0EA6">
      <w:pPr>
        <w:jc w:val="both"/>
      </w:pPr>
      <w:r>
        <w:t>Mediante Res. Ex. N°753/2025 se convalida el “Plan Operacional de Tronaduras” que se encontraba en marco al anulado PDA de Calama. Durante el tiempo de revisión previo a la aprobación de la nombrada resolución, la SMA continúo fiscalizando el pasado Plan Operacional de Tronaduras.</w:t>
      </w:r>
    </w:p>
    <w:p w14:paraId="0259E145" w14:textId="77777777" w:rsidR="005B0EA6" w:rsidRPr="008F0751" w:rsidRDefault="008F0751" w:rsidP="00631C07">
      <w:pPr>
        <w:rPr>
          <w:b/>
        </w:rPr>
      </w:pPr>
      <w:r w:rsidRPr="008F0751">
        <w:rPr>
          <w:b/>
        </w:rPr>
        <w:t>Mediada vii) Reducción de emisiones de Calderas</w:t>
      </w:r>
    </w:p>
    <w:p w14:paraId="4D23B9D4" w14:textId="77777777" w:rsidR="008F0751" w:rsidRDefault="008F0751" w:rsidP="00631C07">
      <w:r>
        <w:t xml:space="preserve">Codelco informa en mesa de Transición Socioecológica Justa en Calama la implementación de un plan de acción para el recambio de combustibles, esto para dar cumplimiento al plazo a diciembre 2024. La medida se </w:t>
      </w:r>
      <w:r w:rsidRPr="008F0751">
        <w:rPr>
          <w:b/>
          <w:u w:val="single"/>
        </w:rPr>
        <w:t>reporta en marzo</w:t>
      </w:r>
      <w:r>
        <w:t xml:space="preserve"> de cada año.</w:t>
      </w:r>
    </w:p>
    <w:p w14:paraId="6E9CE8D6" w14:textId="77777777" w:rsidR="00D51F34" w:rsidRDefault="00D51F34">
      <w:pPr>
        <w:rPr>
          <w:b/>
        </w:rPr>
      </w:pPr>
      <w:r>
        <w:rPr>
          <w:b/>
        </w:rPr>
        <w:br w:type="page"/>
      </w:r>
    </w:p>
    <w:p w14:paraId="149D3D06" w14:textId="77777777" w:rsidR="008F0751" w:rsidRPr="008F0751" w:rsidRDefault="008F0751" w:rsidP="00631C07">
      <w:pPr>
        <w:rPr>
          <w:b/>
        </w:rPr>
      </w:pPr>
      <w:r w:rsidRPr="008F0751">
        <w:rPr>
          <w:b/>
        </w:rPr>
        <w:lastRenderedPageBreak/>
        <w:t>Medida viii) Límites de emisión de MP10 para RECIMAT</w:t>
      </w:r>
    </w:p>
    <w:p w14:paraId="6F3ADC94" w14:textId="77777777" w:rsidR="008F0751" w:rsidRDefault="008F0751" w:rsidP="00631C07">
      <w:r>
        <w:t>La medi</w:t>
      </w:r>
      <w:r w:rsidR="002D717F">
        <w:t>d</w:t>
      </w:r>
      <w:r>
        <w:t>a establece límites de emisiones que debe dar cumplimiento la empresa RECIMAT, según la siguiente tabla:</w:t>
      </w:r>
    </w:p>
    <w:p w14:paraId="402D0BF5" w14:textId="77777777" w:rsidR="008F0751" w:rsidRPr="008F0751" w:rsidRDefault="008F0751" w:rsidP="008F0751">
      <w:pPr>
        <w:jc w:val="center"/>
        <w:rPr>
          <w:b/>
          <w:i/>
          <w:sz w:val="18"/>
        </w:rPr>
      </w:pPr>
      <w:r w:rsidRPr="008F0751">
        <w:rPr>
          <w:b/>
          <w:i/>
          <w:sz w:val="18"/>
        </w:rPr>
        <w:t>Tabla 6: Límites de emisiones RECIMAT</w:t>
      </w:r>
    </w:p>
    <w:p w14:paraId="1B3088F4" w14:textId="77777777" w:rsidR="008F0751" w:rsidRDefault="008F0751" w:rsidP="008F0751">
      <w:pPr>
        <w:jc w:val="center"/>
      </w:pPr>
      <w:r>
        <w:rPr>
          <w:noProof/>
          <w:lang w:eastAsia="es-CL"/>
        </w:rPr>
        <w:drawing>
          <wp:inline distT="0" distB="0" distL="0" distR="0" wp14:anchorId="738D82CF" wp14:editId="16E03C7B">
            <wp:extent cx="5314950" cy="895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4950" cy="895350"/>
                    </a:xfrm>
                    <a:prstGeom prst="rect">
                      <a:avLst/>
                    </a:prstGeom>
                  </pic:spPr>
                </pic:pic>
              </a:graphicData>
            </a:graphic>
          </wp:inline>
        </w:drawing>
      </w:r>
    </w:p>
    <w:p w14:paraId="3002AF0A" w14:textId="77777777" w:rsidR="008F0751" w:rsidRDefault="002D717F" w:rsidP="008F0751">
      <w:pPr>
        <w:jc w:val="both"/>
      </w:pPr>
      <w:r>
        <w:t xml:space="preserve">La medida considera la remisión por parte de RECIMAT de un cronograma de actividades que dé cumplimiento a la tabla anterior. Además, considera el reporte a la SMA de la metodología de cuantificación de emisiones de MP10 (especificaciones técnicas de cálculo). El reporte de cumplimiento de los límites de emisiones anuales </w:t>
      </w:r>
      <w:r w:rsidRPr="00896D5F">
        <w:rPr>
          <w:b/>
          <w:u w:val="single"/>
        </w:rPr>
        <w:t>debe ser remitido</w:t>
      </w:r>
      <w:r w:rsidR="00896D5F">
        <w:rPr>
          <w:b/>
          <w:u w:val="single"/>
        </w:rPr>
        <w:t xml:space="preserve"> a la SMA</w:t>
      </w:r>
      <w:r w:rsidRPr="00896D5F">
        <w:rPr>
          <w:b/>
          <w:u w:val="single"/>
        </w:rPr>
        <w:t xml:space="preserve"> durante marzo</w:t>
      </w:r>
      <w:r>
        <w:t xml:space="preserve"> de cada año.</w:t>
      </w:r>
    </w:p>
    <w:p w14:paraId="7201E786" w14:textId="77777777" w:rsidR="00896D5F" w:rsidRPr="00896D5F" w:rsidRDefault="00896D5F" w:rsidP="00896D5F">
      <w:pPr>
        <w:jc w:val="center"/>
        <w:rPr>
          <w:b/>
          <w:i/>
          <w:sz w:val="18"/>
        </w:rPr>
      </w:pPr>
      <w:r w:rsidRPr="00896D5F">
        <w:rPr>
          <w:b/>
          <w:i/>
          <w:sz w:val="18"/>
        </w:rPr>
        <w:t>Tabla 7: cumplimiento de la medida</w:t>
      </w:r>
    </w:p>
    <w:p w14:paraId="4E1BF82A" w14:textId="77777777" w:rsidR="00896D5F" w:rsidRDefault="00896D5F" w:rsidP="008F0751">
      <w:pPr>
        <w:jc w:val="both"/>
      </w:pPr>
      <w:r>
        <w:rPr>
          <w:noProof/>
          <w:lang w:eastAsia="es-CL"/>
        </w:rPr>
        <w:drawing>
          <wp:inline distT="0" distB="0" distL="0" distR="0" wp14:anchorId="337D0922" wp14:editId="5ED43E02">
            <wp:extent cx="5612130" cy="1142365"/>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142365"/>
                    </a:xfrm>
                    <a:prstGeom prst="rect">
                      <a:avLst/>
                    </a:prstGeom>
                  </pic:spPr>
                </pic:pic>
              </a:graphicData>
            </a:graphic>
          </wp:inline>
        </w:drawing>
      </w:r>
    </w:p>
    <w:p w14:paraId="220C4019" w14:textId="77777777" w:rsidR="00896D5F" w:rsidRPr="00631C07" w:rsidRDefault="00896D5F" w:rsidP="00896D5F">
      <w:pPr>
        <w:jc w:val="center"/>
        <w:rPr>
          <w:b/>
          <w:i/>
          <w:sz w:val="18"/>
        </w:rPr>
      </w:pPr>
      <w:r>
        <w:rPr>
          <w:b/>
          <w:i/>
          <w:sz w:val="18"/>
        </w:rPr>
        <w:t>Tabla 8: Resolució</w:t>
      </w:r>
      <w:r w:rsidRPr="00631C07">
        <w:rPr>
          <w:b/>
          <w:i/>
          <w:sz w:val="18"/>
        </w:rPr>
        <w:t>n SMA que aprueba</w:t>
      </w:r>
      <w:r>
        <w:rPr>
          <w:b/>
          <w:i/>
          <w:sz w:val="18"/>
        </w:rPr>
        <w:t xml:space="preserve"> la metodología</w:t>
      </w:r>
      <w:r w:rsidRPr="00631C07">
        <w:rPr>
          <w:b/>
          <w:i/>
          <w:sz w:val="18"/>
        </w:rPr>
        <w:t xml:space="preserve"> de cuantifica</w:t>
      </w:r>
      <w:r>
        <w:rPr>
          <w:b/>
          <w:i/>
          <w:sz w:val="18"/>
        </w:rPr>
        <w:t>ción de RECIMAT</w:t>
      </w:r>
    </w:p>
    <w:p w14:paraId="4B03B495" w14:textId="77777777" w:rsidR="00896D5F" w:rsidRDefault="00896D5F" w:rsidP="008F0751">
      <w:pPr>
        <w:jc w:val="both"/>
      </w:pPr>
      <w:r>
        <w:rPr>
          <w:noProof/>
          <w:lang w:eastAsia="es-CL"/>
        </w:rPr>
        <w:drawing>
          <wp:inline distT="0" distB="0" distL="0" distR="0" wp14:anchorId="0F5BB8B5" wp14:editId="4CC9B365">
            <wp:extent cx="5612130" cy="56197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561975"/>
                    </a:xfrm>
                    <a:prstGeom prst="rect">
                      <a:avLst/>
                    </a:prstGeom>
                  </pic:spPr>
                </pic:pic>
              </a:graphicData>
            </a:graphic>
          </wp:inline>
        </w:drawing>
      </w:r>
    </w:p>
    <w:p w14:paraId="68338621" w14:textId="77777777" w:rsidR="00D51F34" w:rsidRDefault="00D51F34">
      <w:pPr>
        <w:rPr>
          <w:b/>
        </w:rPr>
      </w:pPr>
      <w:r>
        <w:rPr>
          <w:b/>
        </w:rPr>
        <w:br w:type="page"/>
      </w:r>
    </w:p>
    <w:p w14:paraId="1BAD7D34" w14:textId="77777777" w:rsidR="00896D5F" w:rsidRPr="00B20BB0" w:rsidRDefault="00896D5F" w:rsidP="008F0751">
      <w:pPr>
        <w:jc w:val="both"/>
        <w:rPr>
          <w:b/>
        </w:rPr>
      </w:pPr>
      <w:r w:rsidRPr="00B20BB0">
        <w:rPr>
          <w:b/>
        </w:rPr>
        <w:lastRenderedPageBreak/>
        <w:t>Medida ix) Rediseño del rediseño y modernizac</w:t>
      </w:r>
      <w:r w:rsidR="00B20BB0">
        <w:rPr>
          <w:b/>
        </w:rPr>
        <w:t>ión de la red de monitoreo</w:t>
      </w:r>
    </w:p>
    <w:p w14:paraId="69A8E5DE" w14:textId="77777777" w:rsidR="00896D5F" w:rsidRDefault="00896D5F" w:rsidP="008F0751">
      <w:pPr>
        <w:jc w:val="both"/>
      </w:pPr>
      <w:r>
        <w:t>Medida que da continuidad al proceso iniciado en marco del anulado PDA de Calama. El proceso sigue en proceso de implementación, teniendo demoras ante solicitudes de permisos de instalación en los sitios. A continuación, se observa el resumen del estado del rediseño:</w:t>
      </w:r>
    </w:p>
    <w:p w14:paraId="0F875569" w14:textId="77777777" w:rsidR="00896D5F" w:rsidRPr="00896D5F" w:rsidRDefault="00896D5F" w:rsidP="00896D5F">
      <w:pPr>
        <w:jc w:val="center"/>
        <w:rPr>
          <w:b/>
          <w:i/>
          <w:sz w:val="18"/>
        </w:rPr>
      </w:pPr>
      <w:r w:rsidRPr="00896D5F">
        <w:rPr>
          <w:b/>
          <w:i/>
          <w:sz w:val="18"/>
        </w:rPr>
        <w:t>Tabla 9: Estado de avance actual rediseño red de monitoreo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2970"/>
        <w:gridCol w:w="5280"/>
      </w:tblGrid>
      <w:tr w:rsidR="00896D5F" w:rsidRPr="00896D5F" w14:paraId="3089F4E7"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5E455DD" w14:textId="77777777" w:rsidR="00896D5F" w:rsidRPr="00896D5F" w:rsidRDefault="00896D5F" w:rsidP="00896D5F">
            <w:pPr>
              <w:spacing w:after="0" w:line="240" w:lineRule="auto"/>
              <w:jc w:val="center"/>
              <w:textAlignment w:val="baseline"/>
              <w:rPr>
                <w:rFonts w:ascii="Segoe UI" w:eastAsia="Times New Roman" w:hAnsi="Segoe UI" w:cs="Segoe UI"/>
                <w:sz w:val="18"/>
                <w:szCs w:val="18"/>
                <w:lang w:eastAsia="es-CL"/>
              </w:rPr>
            </w:pPr>
            <w:r w:rsidRPr="00896D5F">
              <w:rPr>
                <w:rFonts w:ascii="Calibri" w:eastAsia="Times New Roman" w:hAnsi="Calibri" w:cs="Calibri"/>
                <w:b/>
                <w:bCs/>
                <w:sz w:val="24"/>
                <w:szCs w:val="24"/>
                <w:lang w:eastAsia="es-CL"/>
              </w:rPr>
              <w:t>N°</w:t>
            </w:r>
            <w:r w:rsidRPr="00896D5F">
              <w:rPr>
                <w:rFonts w:ascii="Calibri" w:eastAsia="Times New Roman" w:hAnsi="Calibri" w:cs="Calibri"/>
                <w:sz w:val="24"/>
                <w:szCs w:val="24"/>
                <w:lang w:eastAsia="es-CL"/>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BEEC62" w14:textId="77777777" w:rsidR="00896D5F" w:rsidRPr="00896D5F" w:rsidRDefault="00896D5F" w:rsidP="00896D5F">
            <w:pPr>
              <w:spacing w:after="0" w:line="240" w:lineRule="auto"/>
              <w:jc w:val="center"/>
              <w:textAlignment w:val="baseline"/>
              <w:rPr>
                <w:rFonts w:ascii="Segoe UI" w:eastAsia="Times New Roman" w:hAnsi="Segoe UI" w:cs="Segoe UI"/>
                <w:sz w:val="18"/>
                <w:szCs w:val="18"/>
                <w:lang w:eastAsia="es-CL"/>
              </w:rPr>
            </w:pPr>
            <w:r w:rsidRPr="00896D5F">
              <w:rPr>
                <w:rFonts w:ascii="Calibri" w:eastAsia="Times New Roman" w:hAnsi="Calibri" w:cs="Calibri"/>
                <w:b/>
                <w:bCs/>
                <w:sz w:val="24"/>
                <w:szCs w:val="24"/>
                <w:lang w:eastAsia="es-CL"/>
              </w:rPr>
              <w:t>Nombre Estación</w:t>
            </w:r>
            <w:r w:rsidRPr="00896D5F">
              <w:rPr>
                <w:rFonts w:ascii="Calibri" w:eastAsia="Times New Roman" w:hAnsi="Calibri" w:cs="Calibri"/>
                <w:sz w:val="24"/>
                <w:szCs w:val="24"/>
                <w:lang w:eastAsia="es-CL"/>
              </w:rPr>
              <w:t>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3E7F310F" w14:textId="77777777" w:rsidR="00896D5F" w:rsidRPr="00896D5F" w:rsidRDefault="00896D5F" w:rsidP="00896D5F">
            <w:pPr>
              <w:spacing w:after="0" w:line="240" w:lineRule="auto"/>
              <w:jc w:val="center"/>
              <w:textAlignment w:val="baseline"/>
              <w:rPr>
                <w:rFonts w:ascii="Segoe UI" w:eastAsia="Times New Roman" w:hAnsi="Segoe UI" w:cs="Segoe UI"/>
                <w:sz w:val="18"/>
                <w:szCs w:val="18"/>
                <w:lang w:eastAsia="es-CL"/>
              </w:rPr>
            </w:pPr>
            <w:r w:rsidRPr="00896D5F">
              <w:rPr>
                <w:rFonts w:ascii="Calibri" w:eastAsia="Times New Roman" w:hAnsi="Calibri" w:cs="Calibri"/>
                <w:b/>
                <w:bCs/>
                <w:sz w:val="24"/>
                <w:szCs w:val="24"/>
                <w:lang w:eastAsia="es-CL"/>
              </w:rPr>
              <w:t>Estado actual</w:t>
            </w:r>
            <w:r w:rsidRPr="00896D5F">
              <w:rPr>
                <w:rFonts w:ascii="Calibri" w:eastAsia="Times New Roman" w:hAnsi="Calibri" w:cs="Calibri"/>
                <w:sz w:val="24"/>
                <w:szCs w:val="24"/>
                <w:lang w:eastAsia="es-CL"/>
              </w:rPr>
              <w:t> </w:t>
            </w:r>
          </w:p>
        </w:tc>
      </w:tr>
      <w:tr w:rsidR="00896D5F" w:rsidRPr="00896D5F" w14:paraId="51A70397"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784FD56"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1 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F7A7A9"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Super Sitio (Nueva) </w:t>
            </w:r>
          </w:p>
          <w:p w14:paraId="4EE7A296"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Sector centro/norte Villa Ayquina - Puerto Seco.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27552411"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Se cuenta con autorización para iniciar obras. </w:t>
            </w:r>
          </w:p>
          <w:p w14:paraId="08557646"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En gestión del comodato entre SERVIU y CODELCO. Pendiente Serviu: documentación solicitada. </w:t>
            </w:r>
          </w:p>
        </w:tc>
      </w:tr>
      <w:tr w:rsidR="00896D5F" w:rsidRPr="00896D5F" w14:paraId="28D7C963"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F419F7C"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2 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390138A"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Pedro Vergara Keller (Existente)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294A7784"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No tiene cambios </w:t>
            </w:r>
          </w:p>
        </w:tc>
      </w:tr>
      <w:tr w:rsidR="00896D5F" w:rsidRPr="00896D5F" w14:paraId="2491189A"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955AAE9"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3 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68AA594"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Hospital del Cobre (Existente)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6FFEFF32"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No tiene cambios </w:t>
            </w:r>
          </w:p>
        </w:tc>
      </w:tr>
      <w:tr w:rsidR="00896D5F" w:rsidRPr="00896D5F" w14:paraId="0919506B"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D699419"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4 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6638037"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Club Deportivo 23 de marzo (Existente)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323A7EA5"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No tiene cambios </w:t>
            </w:r>
          </w:p>
        </w:tc>
      </w:tr>
      <w:tr w:rsidR="00896D5F" w:rsidRPr="00896D5F" w14:paraId="14057979"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B2ECF7F"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5 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DAFE93"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Sur Calama (Reubicación)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1565132A" w14:textId="77777777" w:rsidR="00896D5F" w:rsidRDefault="00896D5F" w:rsidP="00896D5F">
            <w:pPr>
              <w:spacing w:after="0" w:line="240" w:lineRule="auto"/>
              <w:ind w:left="75"/>
              <w:jc w:val="both"/>
              <w:textAlignment w:val="baseline"/>
              <w:rPr>
                <w:rFonts w:ascii="Calibri" w:eastAsia="Times New Roman" w:hAnsi="Calibri" w:cs="Calibri"/>
                <w:sz w:val="24"/>
                <w:szCs w:val="24"/>
                <w:lang w:eastAsia="es-CL"/>
              </w:rPr>
            </w:pPr>
            <w:r w:rsidRPr="00896D5F">
              <w:rPr>
                <w:rFonts w:ascii="Calibri" w:eastAsia="Times New Roman" w:hAnsi="Calibri" w:cs="Calibri"/>
                <w:sz w:val="24"/>
                <w:szCs w:val="24"/>
                <w:lang w:eastAsia="es-CL"/>
              </w:rPr>
              <w:t>Reubicación de estación Centro realizada (MP10 y MP2.5)</w:t>
            </w:r>
          </w:p>
          <w:p w14:paraId="619CE9DA" w14:textId="77777777" w:rsidR="00896D5F" w:rsidRPr="00896D5F" w:rsidRDefault="00896D5F" w:rsidP="00896D5F">
            <w:pPr>
              <w:spacing w:after="0" w:line="240" w:lineRule="auto"/>
              <w:ind w:left="75"/>
              <w:jc w:val="both"/>
              <w:textAlignment w:val="baseline"/>
              <w:rPr>
                <w:rFonts w:ascii="Segoe UI" w:eastAsia="Times New Roman" w:hAnsi="Segoe UI" w:cs="Segoe UI"/>
                <w:sz w:val="18"/>
                <w:szCs w:val="18"/>
                <w:lang w:eastAsia="es-CL"/>
              </w:rPr>
            </w:pPr>
            <w:r>
              <w:rPr>
                <w:rFonts w:ascii="Calibri" w:eastAsia="Times New Roman" w:hAnsi="Calibri" w:cs="Calibri"/>
                <w:sz w:val="24"/>
                <w:szCs w:val="24"/>
                <w:lang w:eastAsia="es-CL"/>
              </w:rPr>
              <w:t>En operación (marcha blanca)</w:t>
            </w:r>
          </w:p>
          <w:p w14:paraId="5BC447DB" w14:textId="77777777" w:rsidR="00896D5F" w:rsidRPr="00896D5F" w:rsidRDefault="00896D5F" w:rsidP="00896D5F">
            <w:pPr>
              <w:spacing w:after="0" w:line="240" w:lineRule="auto"/>
              <w:ind w:left="75"/>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En desarrollo, la conexión de la estación a Airviro </w:t>
            </w:r>
          </w:p>
        </w:tc>
      </w:tr>
      <w:tr w:rsidR="00896D5F" w:rsidRPr="00896D5F" w14:paraId="4AEF801A"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111D36D"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6 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E8C67B"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Servicio Médico Legal (Restitución)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641313E7" w14:textId="77777777" w:rsidR="00896D5F" w:rsidRPr="00896D5F" w:rsidRDefault="00896D5F" w:rsidP="00896D5F">
            <w:pPr>
              <w:spacing w:after="0" w:line="240" w:lineRule="auto"/>
              <w:jc w:val="both"/>
              <w:textAlignment w:val="baseline"/>
              <w:rPr>
                <w:rFonts w:ascii="Calibri" w:eastAsia="Times New Roman" w:hAnsi="Calibri" w:cs="Calibri"/>
                <w:sz w:val="24"/>
                <w:szCs w:val="24"/>
                <w:lang w:eastAsia="es-CL"/>
              </w:rPr>
            </w:pPr>
            <w:r>
              <w:rPr>
                <w:rFonts w:ascii="Calibri" w:eastAsia="Times New Roman" w:hAnsi="Calibri" w:cs="Calibri"/>
                <w:sz w:val="24"/>
                <w:szCs w:val="24"/>
                <w:lang w:eastAsia="es-CL"/>
              </w:rPr>
              <w:t>Presentación de informe de diseño técnico de la estación (criterios indicados por Seremi de educación)</w:t>
            </w:r>
          </w:p>
        </w:tc>
      </w:tr>
      <w:tr w:rsidR="00896D5F" w:rsidRPr="00896D5F" w14:paraId="400CEDED"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1123099"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7 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1DF3E8B"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Municipal Ciudadana Polideportivo (Existente se incorpora a red)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3C6F0F9F" w14:textId="77777777" w:rsidR="00896D5F" w:rsidRDefault="00B20BB0" w:rsidP="00896D5F">
            <w:pPr>
              <w:spacing w:after="0" w:line="240" w:lineRule="auto"/>
              <w:jc w:val="both"/>
              <w:textAlignment w:val="baseline"/>
              <w:rPr>
                <w:rFonts w:ascii="Calibri" w:eastAsia="Times New Roman" w:hAnsi="Calibri" w:cs="Calibri"/>
                <w:sz w:val="24"/>
                <w:szCs w:val="24"/>
                <w:lang w:eastAsia="es-CL"/>
              </w:rPr>
            </w:pPr>
            <w:r>
              <w:rPr>
                <w:rFonts w:ascii="Calibri" w:eastAsia="Times New Roman" w:hAnsi="Calibri" w:cs="Calibri"/>
                <w:sz w:val="24"/>
                <w:szCs w:val="24"/>
                <w:lang w:eastAsia="es-CL"/>
              </w:rPr>
              <w:t>En operación.</w:t>
            </w:r>
          </w:p>
          <w:p w14:paraId="0BB7184A"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En trámite convenio de supervisión técnica. </w:t>
            </w:r>
          </w:p>
          <w:p w14:paraId="0A2B73FA"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En trámite solicitud de EMRP a la SMA. </w:t>
            </w:r>
          </w:p>
        </w:tc>
      </w:tr>
      <w:tr w:rsidR="00896D5F" w:rsidRPr="00896D5F" w14:paraId="3E396593" w14:textId="77777777" w:rsidTr="00896D5F">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B10681A"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8 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768077" w14:textId="77777777" w:rsidR="00896D5F" w:rsidRPr="00896D5F" w:rsidRDefault="00896D5F" w:rsidP="00896D5F">
            <w:pPr>
              <w:spacing w:after="0" w:line="240" w:lineRule="auto"/>
              <w:jc w:val="both"/>
              <w:textAlignment w:val="baseline"/>
              <w:rPr>
                <w:rFonts w:ascii="Segoe UI" w:eastAsia="Times New Roman" w:hAnsi="Segoe UI" w:cs="Segoe UI"/>
                <w:sz w:val="18"/>
                <w:szCs w:val="18"/>
                <w:lang w:eastAsia="es-CL"/>
              </w:rPr>
            </w:pPr>
            <w:r w:rsidRPr="00896D5F">
              <w:rPr>
                <w:rFonts w:ascii="Calibri" w:eastAsia="Times New Roman" w:hAnsi="Calibri" w:cs="Calibri"/>
                <w:sz w:val="24"/>
                <w:szCs w:val="24"/>
                <w:lang w:eastAsia="es-CL"/>
              </w:rPr>
              <w:t>Background (Tipo fondo rural, Nueva) Sector Planta Fotovoltaica San pedro III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102B38F7" w14:textId="77777777" w:rsidR="00896D5F" w:rsidRDefault="00896D5F" w:rsidP="00896D5F">
            <w:pPr>
              <w:spacing w:after="0" w:line="240" w:lineRule="auto"/>
              <w:jc w:val="both"/>
              <w:textAlignment w:val="baseline"/>
              <w:rPr>
                <w:rFonts w:ascii="Calibri" w:eastAsia="Times New Roman" w:hAnsi="Calibri" w:cs="Calibri"/>
                <w:sz w:val="24"/>
                <w:szCs w:val="24"/>
                <w:lang w:eastAsia="es-CL"/>
              </w:rPr>
            </w:pPr>
            <w:r w:rsidRPr="00896D5F">
              <w:rPr>
                <w:rFonts w:ascii="Calibri" w:eastAsia="Times New Roman" w:hAnsi="Calibri" w:cs="Calibri"/>
                <w:sz w:val="24"/>
                <w:szCs w:val="24"/>
                <w:lang w:eastAsia="es-CL"/>
              </w:rPr>
              <w:t>En gestiones de comodato entre Codelco y Bienes nacionales, dificultades por la autorización de uso de suelo permitido sólo para generación eléctrica</w:t>
            </w:r>
            <w:r w:rsidR="00B20BB0">
              <w:rPr>
                <w:rFonts w:ascii="Calibri" w:eastAsia="Times New Roman" w:hAnsi="Calibri" w:cs="Calibri"/>
                <w:sz w:val="24"/>
                <w:szCs w:val="24"/>
                <w:lang w:eastAsia="es-CL"/>
              </w:rPr>
              <w:t>.</w:t>
            </w:r>
          </w:p>
          <w:p w14:paraId="65350623" w14:textId="77777777" w:rsidR="00B20BB0" w:rsidRPr="00896D5F" w:rsidRDefault="00B20BB0" w:rsidP="00896D5F">
            <w:pPr>
              <w:spacing w:after="0" w:line="240" w:lineRule="auto"/>
              <w:jc w:val="both"/>
              <w:textAlignment w:val="baseline"/>
              <w:rPr>
                <w:rFonts w:ascii="Segoe UI" w:eastAsia="Times New Roman" w:hAnsi="Segoe UI" w:cs="Segoe UI"/>
                <w:sz w:val="18"/>
                <w:szCs w:val="18"/>
                <w:lang w:eastAsia="es-CL"/>
              </w:rPr>
            </w:pPr>
            <w:r>
              <w:rPr>
                <w:rFonts w:ascii="Calibri" w:eastAsia="Times New Roman" w:hAnsi="Calibri" w:cs="Calibri"/>
                <w:sz w:val="24"/>
                <w:szCs w:val="24"/>
                <w:lang w:eastAsia="es-CL"/>
              </w:rPr>
              <w:t>En gestión Destinación de inmueble fiscal.</w:t>
            </w:r>
          </w:p>
        </w:tc>
      </w:tr>
    </w:tbl>
    <w:p w14:paraId="3AFA91B8" w14:textId="77777777" w:rsidR="00896D5F" w:rsidRDefault="00896D5F" w:rsidP="008F0751">
      <w:pPr>
        <w:jc w:val="both"/>
      </w:pPr>
    </w:p>
    <w:p w14:paraId="39B5071A" w14:textId="77777777" w:rsidR="00B20BB0" w:rsidRPr="00B20BB0" w:rsidRDefault="00B20BB0" w:rsidP="008F0751">
      <w:pPr>
        <w:jc w:val="both"/>
        <w:rPr>
          <w:b/>
        </w:rPr>
      </w:pPr>
      <w:r w:rsidRPr="00B20BB0">
        <w:rPr>
          <w:b/>
        </w:rPr>
        <w:t>Medida x) y xi) Medidas de programa de barrido y lavado de calles y plan de estabilización de sitios eriazos (5ha)</w:t>
      </w:r>
    </w:p>
    <w:p w14:paraId="70DE4051" w14:textId="77777777" w:rsidR="00B20BB0" w:rsidRDefault="00B20BB0" w:rsidP="008F0751">
      <w:pPr>
        <w:jc w:val="both"/>
      </w:pPr>
      <w:r>
        <w:t>Explicada en medida iii), “Plan Calama”.</w:t>
      </w:r>
    </w:p>
    <w:p w14:paraId="19565565" w14:textId="77777777" w:rsidR="00B20BB0" w:rsidRPr="00B20BB0" w:rsidRDefault="00B20BB0" w:rsidP="008F0751">
      <w:pPr>
        <w:jc w:val="both"/>
        <w:rPr>
          <w:b/>
        </w:rPr>
      </w:pPr>
      <w:r w:rsidRPr="00B20BB0">
        <w:rPr>
          <w:b/>
        </w:rPr>
        <w:t>Medida xii) Implementación flota de buses eléctricos para DRT</w:t>
      </w:r>
    </w:p>
    <w:p w14:paraId="2016C1CF" w14:textId="77777777" w:rsidR="00B20BB0" w:rsidRDefault="00B20BB0" w:rsidP="008F0751">
      <w:pPr>
        <w:jc w:val="both"/>
      </w:pPr>
      <w:r>
        <w:t>Codelco informa en mesa de Transición Socioecológica Justa la implementación de 65 buses eléctricos que permiten el traslado del 100% del personal propio. Reporte a la SMA durante marzo de cada año.</w:t>
      </w:r>
    </w:p>
    <w:p w14:paraId="2415EBEE" w14:textId="77777777" w:rsidR="00B20BB0" w:rsidRPr="00B20BB0" w:rsidRDefault="00B20BB0" w:rsidP="008F0751">
      <w:pPr>
        <w:jc w:val="both"/>
        <w:rPr>
          <w:b/>
        </w:rPr>
      </w:pPr>
      <w:r w:rsidRPr="00B20BB0">
        <w:rPr>
          <w:b/>
        </w:rPr>
        <w:t>Medida xiii) Valores que determinan la obligación de compensar emisiones</w:t>
      </w:r>
    </w:p>
    <w:p w14:paraId="7808D91B" w14:textId="77777777" w:rsidR="00B20BB0" w:rsidRDefault="00B20BB0" w:rsidP="008F0751">
      <w:pPr>
        <w:jc w:val="both"/>
        <w:rPr>
          <w:lang w:val="es-ES"/>
        </w:rPr>
      </w:pPr>
      <w:r>
        <w:rPr>
          <w:lang w:val="es-ES"/>
        </w:rPr>
        <w:t>Medida que aplica a proyectos</w:t>
      </w:r>
      <w:r w:rsidRPr="00B20BB0">
        <w:rPr>
          <w:lang w:val="es-ES"/>
        </w:rPr>
        <w:t xml:space="preserve"> o actividades nuevas y modificaciones de aquellos existentes que se sometan al SEIA</w:t>
      </w:r>
      <w:r>
        <w:rPr>
          <w:lang w:val="es-ES"/>
        </w:rPr>
        <w:t>, que indica los valores que deben compensar en consideración a un aumento sobre la situación base.</w:t>
      </w:r>
    </w:p>
    <w:p w14:paraId="067DE43D" w14:textId="77777777" w:rsidR="00B20BB0" w:rsidRPr="00B20BB0" w:rsidRDefault="00B20BB0" w:rsidP="008F0751">
      <w:pPr>
        <w:jc w:val="both"/>
        <w:rPr>
          <w:b/>
          <w:lang w:val="es-ES"/>
        </w:rPr>
      </w:pPr>
      <w:r w:rsidRPr="00B20BB0">
        <w:rPr>
          <w:b/>
          <w:lang w:val="es-ES"/>
        </w:rPr>
        <w:lastRenderedPageBreak/>
        <w:t>Medida iv) Obligación de compensar emisiones</w:t>
      </w:r>
    </w:p>
    <w:p w14:paraId="26A99C5A" w14:textId="77777777" w:rsidR="00B20BB0" w:rsidRDefault="00B20BB0" w:rsidP="008F0751">
      <w:pPr>
        <w:jc w:val="both"/>
      </w:pPr>
      <w:r>
        <w:t>Según la medida anterior (xiii), los proyectos que deban compensar emisiones deben remitir un Programa de Compensación de Emisiones a la Seremi del Medio Ambiente para su aprobación. De lo anterior, se han evaluado proyectos que deben remitir dicho programa de compensación, pero no se han aprobado dichos proyectos aún, por los que, de momento no se han recibido programas en la SEREMI de Medio Ambiente.</w:t>
      </w:r>
    </w:p>
    <w:p w14:paraId="53DFF845" w14:textId="77777777" w:rsidR="001E1FE8" w:rsidRDefault="001E1FE8" w:rsidP="00A93F6D">
      <w:pPr>
        <w:pStyle w:val="Prrafodelista"/>
        <w:numPr>
          <w:ilvl w:val="0"/>
          <w:numId w:val="3"/>
        </w:numPr>
        <w:ind w:left="17" w:hanging="357"/>
        <w:jc w:val="both"/>
        <w:rPr>
          <w:b/>
        </w:rPr>
      </w:pPr>
      <w:r w:rsidRPr="000F213B">
        <w:rPr>
          <w:b/>
        </w:rPr>
        <w:t>Estado Ac</w:t>
      </w:r>
      <w:r>
        <w:rPr>
          <w:b/>
        </w:rPr>
        <w:t>tual de las Medidas Complementarias</w:t>
      </w:r>
      <w:r w:rsidRPr="000F213B">
        <w:rPr>
          <w:b/>
        </w:rPr>
        <w:t xml:space="preserve"> (Resuelvo </w:t>
      </w:r>
      <w:r>
        <w:rPr>
          <w:b/>
        </w:rPr>
        <w:t>2</w:t>
      </w:r>
      <w:r w:rsidRPr="000F213B">
        <w:rPr>
          <w:b/>
        </w:rPr>
        <w:t>)</w:t>
      </w:r>
    </w:p>
    <w:p w14:paraId="52444529" w14:textId="77777777" w:rsidR="00A93F6D" w:rsidRPr="000F213B" w:rsidRDefault="00A93F6D" w:rsidP="00A93F6D">
      <w:pPr>
        <w:pStyle w:val="Prrafodelista"/>
        <w:ind w:left="17"/>
        <w:jc w:val="both"/>
        <w:rPr>
          <w:b/>
        </w:rPr>
      </w:pPr>
    </w:p>
    <w:p w14:paraId="201E046C" w14:textId="77777777" w:rsidR="00B20BB0" w:rsidRPr="00A93F6D" w:rsidRDefault="001E1FE8" w:rsidP="001E1FE8">
      <w:pPr>
        <w:jc w:val="both"/>
        <w:rPr>
          <w:b/>
        </w:rPr>
      </w:pPr>
      <w:r w:rsidRPr="00A93F6D">
        <w:rPr>
          <w:b/>
        </w:rPr>
        <w:t>Medida i) Actualización del inventario de emisiones</w:t>
      </w:r>
    </w:p>
    <w:p w14:paraId="3A9C647F" w14:textId="77777777" w:rsidR="001E1FE8" w:rsidRDefault="001E1FE8" w:rsidP="001E1FE8">
      <w:pPr>
        <w:jc w:val="both"/>
      </w:pPr>
      <w:r>
        <w:t>El Ministerio del Medio Ambiente debe actualizar el inventario de emisiones para la ciudad de Calama y su área circundante, esto para la elaboración del nuevo PDA, considerando una actual situación base. Se observa el proceso de licitación en la siguiente tabla:</w:t>
      </w:r>
    </w:p>
    <w:p w14:paraId="1CC83DFF" w14:textId="77777777" w:rsidR="001E1FE8" w:rsidRPr="001E1FE8" w:rsidRDefault="001E1FE8" w:rsidP="001E1FE8">
      <w:pPr>
        <w:jc w:val="center"/>
        <w:rPr>
          <w:b/>
          <w:i/>
          <w:sz w:val="18"/>
        </w:rPr>
      </w:pPr>
      <w:r w:rsidRPr="001E1FE8">
        <w:rPr>
          <w:b/>
          <w:i/>
          <w:sz w:val="18"/>
        </w:rPr>
        <w:t>Tabla 10: Proceso licitación estudio PDA Calama</w:t>
      </w:r>
    </w:p>
    <w:p w14:paraId="48FF1BA7" w14:textId="77777777" w:rsidR="001E1FE8" w:rsidRDefault="001E1FE8" w:rsidP="001E1FE8">
      <w:pPr>
        <w:jc w:val="both"/>
      </w:pPr>
      <w:r>
        <w:rPr>
          <w:noProof/>
          <w:lang w:eastAsia="es-CL"/>
        </w:rPr>
        <w:drawing>
          <wp:inline distT="0" distB="0" distL="0" distR="0" wp14:anchorId="70F41A02" wp14:editId="5F96A347">
            <wp:extent cx="5612130" cy="1597025"/>
            <wp:effectExtent l="0" t="0" r="762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597025"/>
                    </a:xfrm>
                    <a:prstGeom prst="rect">
                      <a:avLst/>
                    </a:prstGeom>
                  </pic:spPr>
                </pic:pic>
              </a:graphicData>
            </a:graphic>
          </wp:inline>
        </w:drawing>
      </w:r>
    </w:p>
    <w:p w14:paraId="7DD4C276" w14:textId="77777777" w:rsidR="001E1FE8" w:rsidRDefault="001E1FE8" w:rsidP="001E1FE8">
      <w:pPr>
        <w:jc w:val="both"/>
      </w:pPr>
      <w:r>
        <w:t>Actualmente, se presentó el primer informe de avance del estudio y se encuentra en elaboración la segunda parte del estudio, esto según lo indicado en las bases técnicas.</w:t>
      </w:r>
    </w:p>
    <w:p w14:paraId="66351F2D" w14:textId="77777777" w:rsidR="001E1FE8" w:rsidRPr="001E1FE8" w:rsidRDefault="001E1FE8" w:rsidP="001E1FE8">
      <w:pPr>
        <w:jc w:val="both"/>
        <w:rPr>
          <w:b/>
        </w:rPr>
      </w:pPr>
      <w:r w:rsidRPr="001E1FE8">
        <w:rPr>
          <w:b/>
        </w:rPr>
        <w:t>Medida ii) Actualización de plataforma de Calidad del aire</w:t>
      </w:r>
    </w:p>
    <w:p w14:paraId="1EF9FA5C" w14:textId="77777777" w:rsidR="001E1FE8" w:rsidRDefault="001E1FE8" w:rsidP="001E1FE8">
      <w:pPr>
        <w:jc w:val="both"/>
      </w:pPr>
      <w:r>
        <w:t>Se deben incorporar las nuevas estaciones a instalar por el rediseño de la red de monitoreo, y se encuentra en proceso de conexión de sistema CEMS con la SMA.</w:t>
      </w:r>
    </w:p>
    <w:p w14:paraId="77065C4F" w14:textId="77777777" w:rsidR="001E1FE8" w:rsidRPr="001E1FE8" w:rsidRDefault="001E1FE8" w:rsidP="001E1FE8">
      <w:pPr>
        <w:jc w:val="both"/>
        <w:rPr>
          <w:b/>
        </w:rPr>
      </w:pPr>
      <w:r w:rsidRPr="001E1FE8">
        <w:rPr>
          <w:b/>
        </w:rPr>
        <w:t>Medida iii) Condiciones para compensar emisiones entre actividades localizadas al interior y exterior de la zona urbana de Calama</w:t>
      </w:r>
    </w:p>
    <w:p w14:paraId="4A102814" w14:textId="77777777" w:rsidR="001E1FE8" w:rsidRPr="001E1FE8" w:rsidRDefault="001E1FE8" w:rsidP="001E1FE8">
      <w:pPr>
        <w:jc w:val="both"/>
      </w:pPr>
      <w:r>
        <w:t xml:space="preserve">Mediante </w:t>
      </w:r>
      <w:r w:rsidRPr="001E1FE8">
        <w:rPr>
          <w:lang w:val="es-ES"/>
        </w:rPr>
        <w:t>Res. Ex. N°1151, Establece las condiciones para compensar emisiones entre actividades localizadas al interior de la zona urbana de Calama y actividades fuera de la zona urbana de Calama. Aprobada el 27 de mayo de 2024 por la SEREMI del Medio Ambiente de la región de Antofagasta</w:t>
      </w:r>
      <w:r>
        <w:rPr>
          <w:lang w:val="es-ES"/>
        </w:rPr>
        <w:t>.</w:t>
      </w:r>
    </w:p>
    <w:p w14:paraId="68DE57F6" w14:textId="77777777" w:rsidR="001E1FE8" w:rsidRPr="001E1FE8" w:rsidRDefault="001E1FE8" w:rsidP="001E1FE8">
      <w:pPr>
        <w:jc w:val="both"/>
        <w:rPr>
          <w:b/>
          <w:u w:val="single"/>
        </w:rPr>
      </w:pPr>
      <w:r w:rsidRPr="001E1FE8">
        <w:rPr>
          <w:b/>
          <w:u w:val="single"/>
        </w:rPr>
        <w:t>Medida iv) Franja de arbolado entre Tranque Talabre y Chiu Chiu</w:t>
      </w:r>
      <w:r w:rsidRPr="001E1FE8">
        <w:rPr>
          <w:b/>
        </w:rPr>
        <w:t xml:space="preserve"> y </w:t>
      </w:r>
      <w:r w:rsidRPr="001E1FE8">
        <w:rPr>
          <w:b/>
          <w:u w:val="single"/>
        </w:rPr>
        <w:t>Medida v) Habilitac</w:t>
      </w:r>
      <w:r>
        <w:rPr>
          <w:b/>
          <w:u w:val="single"/>
        </w:rPr>
        <w:t>ión de parcela de Chacras Viejas</w:t>
      </w:r>
    </w:p>
    <w:p w14:paraId="34E16A42" w14:textId="77777777" w:rsidR="001E1FE8" w:rsidRDefault="001E1FE8" w:rsidP="001E1FE8">
      <w:pPr>
        <w:jc w:val="both"/>
        <w:rPr>
          <w:lang w:val="es-ES"/>
        </w:rPr>
      </w:pPr>
      <w:r w:rsidRPr="001E1FE8">
        <w:rPr>
          <w:lang w:val="es-ES"/>
        </w:rPr>
        <w:t>Mediante carta GS DN 306/2024, Codelco reporta informe sobre la implementación de barrera arbórea y habilitación de parcela Chacras Viejas</w:t>
      </w:r>
      <w:r>
        <w:rPr>
          <w:lang w:val="es-ES"/>
        </w:rPr>
        <w:t xml:space="preserve">. Además, El Seremi del Medio Ambiente participó en la ceremonia de postura del primer árbol del pulmón verde de Chiu Chiu. Medida que </w:t>
      </w:r>
      <w:r>
        <w:rPr>
          <w:lang w:val="es-ES"/>
        </w:rPr>
        <w:lastRenderedPageBreak/>
        <w:t>actualmente se encuentra en ejecución por Codelco. Debe reportar los avances al Ministerio y Seremi del Medio Ambiente durante marzo de cada año.</w:t>
      </w:r>
    </w:p>
    <w:p w14:paraId="46B64369" w14:textId="77777777" w:rsidR="001E1FE8" w:rsidRPr="003E7E67" w:rsidRDefault="001E1FE8" w:rsidP="001E1FE8">
      <w:pPr>
        <w:jc w:val="both"/>
        <w:rPr>
          <w:b/>
          <w:lang w:val="es-ES"/>
        </w:rPr>
      </w:pPr>
      <w:r w:rsidRPr="003E7E67">
        <w:rPr>
          <w:b/>
          <w:lang w:val="es-ES"/>
        </w:rPr>
        <w:t>Medida vi) Conformación de Mesa de T</w:t>
      </w:r>
      <w:r w:rsidR="003E7E67" w:rsidRPr="003E7E67">
        <w:rPr>
          <w:b/>
          <w:lang w:val="es-ES"/>
        </w:rPr>
        <w:t>ransición Socioecológica Justa de la Comuna de Calama</w:t>
      </w:r>
    </w:p>
    <w:p w14:paraId="59450064" w14:textId="77777777" w:rsidR="00680A9D" w:rsidRDefault="007C67FA" w:rsidP="003E7E67">
      <w:pPr>
        <w:jc w:val="both"/>
        <w:rPr>
          <w:lang w:val="es-ES"/>
        </w:rPr>
      </w:pPr>
      <w:r w:rsidRPr="003E7E67">
        <w:rPr>
          <w:lang w:val="es-ES"/>
        </w:rPr>
        <w:t>El 11 de noviembre de 2023, se lleva a cabo la primera sesión de la m</w:t>
      </w:r>
      <w:r w:rsidR="003E7E67" w:rsidRPr="003E7E67">
        <w:rPr>
          <w:lang w:val="es-ES"/>
        </w:rPr>
        <w:t>esa TSEJ de la comuna de Calama, e</w:t>
      </w:r>
      <w:r w:rsidRPr="003E7E67">
        <w:rPr>
          <w:lang w:val="es-ES"/>
        </w:rPr>
        <w:t>n la actualidad se han realizado 10 sesiones ordinarias y 1 sesión extraordinaria (11 en total).</w:t>
      </w:r>
      <w:r w:rsidR="003E7E67" w:rsidRPr="003E7E67">
        <w:rPr>
          <w:lang w:val="es-ES"/>
        </w:rPr>
        <w:t xml:space="preserve"> Se abordan los temas referentes a Calidad del aire (PDA-Med. Provisionales) y otros dentro del territorio).</w:t>
      </w:r>
    </w:p>
    <w:p w14:paraId="472CCFB9" w14:textId="77777777" w:rsidR="003E7E67" w:rsidRPr="003E7E67" w:rsidRDefault="003E7E67" w:rsidP="003E7E67">
      <w:pPr>
        <w:jc w:val="both"/>
        <w:rPr>
          <w:b/>
          <w:lang w:val="es-ES"/>
        </w:rPr>
      </w:pPr>
      <w:r w:rsidRPr="003E7E67">
        <w:rPr>
          <w:b/>
          <w:lang w:val="es-ES"/>
        </w:rPr>
        <w:t>Medida vii) Programa de mejoramiento de espacios públicos</w:t>
      </w:r>
    </w:p>
    <w:p w14:paraId="1D29CC6B" w14:textId="77777777" w:rsidR="00680A9D" w:rsidRDefault="003E7E67" w:rsidP="003E7E67">
      <w:pPr>
        <w:jc w:val="both"/>
        <w:rPr>
          <w:lang w:val="es-ES"/>
        </w:rPr>
      </w:pPr>
      <w:r>
        <w:rPr>
          <w:lang w:val="es-ES"/>
        </w:rPr>
        <w:t>El Programa de espacios públicos de Codelco fue aprobado el día 05 de marzo por la Seremi del Medio Ambiente, esto mediante Res. Ex. N°1256/2025. Dicho programa considera el mejoramiento de 14 espacios públicos en la ciudad de Calama, el cual fue ejecutado durante 2024 por parte de Codelco, y reportado los avances el 12 de febrero de 2025.</w:t>
      </w:r>
    </w:p>
    <w:p w14:paraId="6793E109" w14:textId="77777777" w:rsidR="003E7E67" w:rsidRPr="003E7E67" w:rsidRDefault="003E7E67" w:rsidP="003E7E67">
      <w:pPr>
        <w:jc w:val="center"/>
        <w:rPr>
          <w:b/>
          <w:i/>
          <w:sz w:val="18"/>
        </w:rPr>
      </w:pPr>
      <w:r w:rsidRPr="003E7E67">
        <w:rPr>
          <w:b/>
          <w:i/>
          <w:sz w:val="18"/>
        </w:rPr>
        <w:t>Tabla 11: Cumplimiento de la medida</w:t>
      </w:r>
    </w:p>
    <w:p w14:paraId="2F2D1101" w14:textId="77777777" w:rsidR="003E7E67" w:rsidRDefault="003E7E67" w:rsidP="003E7E67">
      <w:pPr>
        <w:jc w:val="both"/>
        <w:rPr>
          <w:lang w:val="es-ES"/>
        </w:rPr>
      </w:pPr>
      <w:r>
        <w:rPr>
          <w:noProof/>
          <w:lang w:eastAsia="es-CL"/>
        </w:rPr>
        <w:drawing>
          <wp:inline distT="0" distB="0" distL="0" distR="0" wp14:anchorId="3102D201" wp14:editId="543F49D4">
            <wp:extent cx="5612130" cy="2186940"/>
            <wp:effectExtent l="0" t="0" r="762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186940"/>
                    </a:xfrm>
                    <a:prstGeom prst="rect">
                      <a:avLst/>
                    </a:prstGeom>
                  </pic:spPr>
                </pic:pic>
              </a:graphicData>
            </a:graphic>
          </wp:inline>
        </w:drawing>
      </w:r>
    </w:p>
    <w:p w14:paraId="6EF21B11" w14:textId="77777777" w:rsidR="003E7E67" w:rsidRDefault="003E7E67" w:rsidP="003E7E67">
      <w:pPr>
        <w:jc w:val="both"/>
        <w:rPr>
          <w:lang w:val="es-ES"/>
        </w:rPr>
      </w:pPr>
      <w:r w:rsidRPr="003E7E67">
        <w:rPr>
          <w:b/>
          <w:lang w:val="es-ES"/>
        </w:rPr>
        <w:t>Medida viii) Fondo concursable para la instalación de energías limpias familiares</w:t>
      </w:r>
    </w:p>
    <w:p w14:paraId="590554DC" w14:textId="77777777" w:rsidR="003E7E67" w:rsidRDefault="003E7E67" w:rsidP="003E7E67">
      <w:pPr>
        <w:jc w:val="both"/>
        <w:rPr>
          <w:lang w:val="es-ES"/>
        </w:rPr>
      </w:pPr>
      <w:r>
        <w:rPr>
          <w:lang w:val="es-ES"/>
        </w:rPr>
        <w:t>Medida ejecutada durante el año 2024, el fondo considera $150 millones por cada año para el total de postulantes. El fondo fue adjudica a 10 beneficiados, los cuales fueron publicados en diario el mercurio de Calama el día 09 de marzo del presente.</w:t>
      </w:r>
    </w:p>
    <w:p w14:paraId="3C955529" w14:textId="77777777" w:rsidR="003E7E67" w:rsidRPr="003E7E67" w:rsidRDefault="003E7E67" w:rsidP="003E7E67">
      <w:pPr>
        <w:jc w:val="both"/>
        <w:rPr>
          <w:b/>
          <w:lang w:val="es-ES"/>
        </w:rPr>
      </w:pPr>
      <w:r w:rsidRPr="003E7E67">
        <w:rPr>
          <w:b/>
          <w:lang w:val="es-ES"/>
        </w:rPr>
        <w:t>Medida ix) Programa de formación de monitores ambientales</w:t>
      </w:r>
    </w:p>
    <w:p w14:paraId="47F0EC8C" w14:textId="77777777" w:rsidR="003E7E67" w:rsidRDefault="003E7E67" w:rsidP="003E7E67">
      <w:pPr>
        <w:jc w:val="both"/>
        <w:rPr>
          <w:lang w:val="es-ES"/>
        </w:rPr>
      </w:pPr>
      <w:r>
        <w:rPr>
          <w:lang w:val="es-ES"/>
        </w:rPr>
        <w:t>Codelco remite voluntariamente el programa de monitores ambientales, al cual la Seremi del Medio Ambiente remitió observaciones respecto al contenido del programa, las cuales fueron acogidas por Codelco. Actualmente, la medida no ha sido aplicado, ya que el proceso de licitación ha tenido ajustes respecto a la designación sobre quién impartirá dicho programa.</w:t>
      </w:r>
    </w:p>
    <w:p w14:paraId="00AF8ADC" w14:textId="77777777" w:rsidR="003E7E67" w:rsidRPr="003E7E67" w:rsidRDefault="00B10A5A" w:rsidP="003E7E67">
      <w:pPr>
        <w:jc w:val="both"/>
        <w:rPr>
          <w:b/>
          <w:lang w:val="es-ES"/>
        </w:rPr>
      </w:pPr>
      <w:r>
        <w:rPr>
          <w:b/>
          <w:lang w:val="es-ES"/>
        </w:rPr>
        <w:t xml:space="preserve">Medida </w:t>
      </w:r>
      <w:r w:rsidR="003E7E67" w:rsidRPr="003E7E67">
        <w:rPr>
          <w:b/>
          <w:lang w:val="es-ES"/>
        </w:rPr>
        <w:t>x) Ingreso de norma de Calidad primaria de arsénico a Contraloría General de la República</w:t>
      </w:r>
    </w:p>
    <w:p w14:paraId="696EBEC9" w14:textId="77777777" w:rsidR="003E7E67" w:rsidRDefault="003E7E67" w:rsidP="003E7E67">
      <w:pPr>
        <w:jc w:val="both"/>
        <w:rPr>
          <w:lang w:val="es-ES"/>
        </w:rPr>
      </w:pPr>
      <w:r>
        <w:rPr>
          <w:lang w:val="es-ES"/>
        </w:rPr>
        <w:t>El D.S. N°09/2024 ya se encuentra ingresada en contraloría para su toma de razón (13 de noviembre de 2024).</w:t>
      </w:r>
    </w:p>
    <w:p w14:paraId="589A0CF2" w14:textId="77777777" w:rsidR="00B10A5A" w:rsidRPr="00B10A5A" w:rsidRDefault="00B10A5A" w:rsidP="003E7E67">
      <w:pPr>
        <w:jc w:val="both"/>
        <w:rPr>
          <w:b/>
          <w:lang w:val="es-ES"/>
        </w:rPr>
      </w:pPr>
      <w:r w:rsidRPr="00B10A5A">
        <w:rPr>
          <w:b/>
          <w:lang w:val="es-ES"/>
        </w:rPr>
        <w:lastRenderedPageBreak/>
        <w:t xml:space="preserve">Medida xi) Capacitación OAECA’s Sobre Criterio de evaluación para el </w:t>
      </w:r>
      <w:r w:rsidR="00D81E07" w:rsidRPr="00B10A5A">
        <w:rPr>
          <w:b/>
          <w:lang w:val="es-ES"/>
        </w:rPr>
        <w:t>impacto</w:t>
      </w:r>
      <w:r w:rsidRPr="00B10A5A">
        <w:rPr>
          <w:b/>
          <w:lang w:val="es-ES"/>
        </w:rPr>
        <w:t xml:space="preserve"> de emisiones en zonas saturadas por MP10 y MP2,5</w:t>
      </w:r>
    </w:p>
    <w:p w14:paraId="28EF82BF" w14:textId="77777777" w:rsidR="00B10A5A" w:rsidRDefault="00B10A5A" w:rsidP="003E7E67">
      <w:pPr>
        <w:jc w:val="both"/>
        <w:rPr>
          <w:lang w:val="es-ES"/>
        </w:rPr>
      </w:pPr>
      <w:r>
        <w:rPr>
          <w:lang w:val="es-ES"/>
        </w:rPr>
        <w:t>Capacitación realizada el 11 de julio de 2024 en colaboración del SEA, actividad en la cual asistieron 21 personas pertenecientes a diferentes servicios públicos de la región.</w:t>
      </w:r>
    </w:p>
    <w:p w14:paraId="0777A345" w14:textId="77777777" w:rsidR="00B10A5A" w:rsidRPr="00D51F34" w:rsidRDefault="00B10A5A" w:rsidP="00D51F34">
      <w:pPr>
        <w:rPr>
          <w:lang w:val="es-ES"/>
        </w:rPr>
      </w:pPr>
      <w:r>
        <w:rPr>
          <w:lang w:val="es-ES"/>
        </w:rPr>
        <w:t xml:space="preserve"> </w:t>
      </w:r>
      <w:r w:rsidRPr="00B10A5A">
        <w:rPr>
          <w:b/>
          <w:lang w:val="es-ES"/>
        </w:rPr>
        <w:t>Medida xii)</w:t>
      </w:r>
      <w:r>
        <w:rPr>
          <w:b/>
          <w:lang w:val="es-ES"/>
        </w:rPr>
        <w:t xml:space="preserve"> Programa de involucramiento comunitario y educación ambiental</w:t>
      </w:r>
    </w:p>
    <w:p w14:paraId="13BF454B" w14:textId="77777777" w:rsidR="00B10A5A" w:rsidRDefault="00B10A5A" w:rsidP="003E7E67">
      <w:pPr>
        <w:jc w:val="both"/>
        <w:rPr>
          <w:lang w:val="es-ES"/>
        </w:rPr>
      </w:pPr>
      <w:r>
        <w:rPr>
          <w:lang w:val="es-ES"/>
        </w:rPr>
        <w:t xml:space="preserve">El Programa IC y EA fue </w:t>
      </w:r>
      <w:r w:rsidR="00271C6E">
        <w:rPr>
          <w:lang w:val="es-ES"/>
        </w:rPr>
        <w:t>aprobado</w:t>
      </w:r>
      <w:r>
        <w:rPr>
          <w:lang w:val="es-ES"/>
        </w:rPr>
        <w:t xml:space="preserve"> por la SEREMI del Medio Ambiente el 04 de julio de 2024</w:t>
      </w:r>
      <w:r w:rsidR="0063643A">
        <w:rPr>
          <w:lang w:val="es-ES"/>
        </w:rPr>
        <w:t xml:space="preserve"> mediante Res. Ex. N°2426/2024, y se realizaron la totalidad de actividades durante el año, según lo indicado a continuación:</w:t>
      </w:r>
    </w:p>
    <w:p w14:paraId="2BD1FCB4" w14:textId="77777777" w:rsidR="0063643A" w:rsidRPr="0063643A" w:rsidRDefault="0063643A" w:rsidP="0063643A">
      <w:pPr>
        <w:jc w:val="center"/>
        <w:rPr>
          <w:b/>
          <w:i/>
          <w:sz w:val="18"/>
        </w:rPr>
      </w:pPr>
      <w:r w:rsidRPr="0063643A">
        <w:rPr>
          <w:b/>
          <w:i/>
          <w:sz w:val="18"/>
        </w:rPr>
        <w:t>Tabla 12: Cumplimiento actividades programa IC y EA</w:t>
      </w:r>
    </w:p>
    <w:p w14:paraId="31D8508B" w14:textId="77777777" w:rsidR="0063643A" w:rsidRPr="00B10A5A" w:rsidRDefault="0063643A" w:rsidP="003E7E67">
      <w:pPr>
        <w:jc w:val="both"/>
        <w:rPr>
          <w:lang w:val="es-ES"/>
        </w:rPr>
      </w:pPr>
      <w:r>
        <w:rPr>
          <w:noProof/>
          <w:lang w:eastAsia="es-CL"/>
        </w:rPr>
        <w:drawing>
          <wp:inline distT="0" distB="0" distL="0" distR="0" wp14:anchorId="1B001F36" wp14:editId="6EBA223F">
            <wp:extent cx="5612130" cy="132270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322705"/>
                    </a:xfrm>
                    <a:prstGeom prst="rect">
                      <a:avLst/>
                    </a:prstGeom>
                  </pic:spPr>
                </pic:pic>
              </a:graphicData>
            </a:graphic>
          </wp:inline>
        </w:drawing>
      </w:r>
    </w:p>
    <w:p w14:paraId="5296C574" w14:textId="77777777" w:rsidR="003E7E67" w:rsidRPr="003E7E67" w:rsidRDefault="003E7E67" w:rsidP="003E7E67">
      <w:pPr>
        <w:jc w:val="both"/>
        <w:rPr>
          <w:lang w:val="es-ES"/>
        </w:rPr>
      </w:pPr>
    </w:p>
    <w:p w14:paraId="7D21CEA0" w14:textId="77777777" w:rsidR="003E7E67" w:rsidRPr="001E1FE8" w:rsidRDefault="0063643A" w:rsidP="001E1FE8">
      <w:pPr>
        <w:jc w:val="both"/>
      </w:pPr>
      <w:r>
        <w:t>------Fin de Minuta-----</w:t>
      </w:r>
    </w:p>
    <w:p w14:paraId="1500C803" w14:textId="77777777" w:rsidR="001E1FE8" w:rsidRDefault="001E1FE8" w:rsidP="001E1FE8">
      <w:pPr>
        <w:jc w:val="both"/>
      </w:pPr>
    </w:p>
    <w:sectPr w:rsidR="001E1FE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8905" w14:textId="77777777" w:rsidR="007C67FA" w:rsidRDefault="007C67FA" w:rsidP="00D51F34">
      <w:pPr>
        <w:spacing w:after="0" w:line="240" w:lineRule="auto"/>
      </w:pPr>
      <w:r>
        <w:separator/>
      </w:r>
    </w:p>
  </w:endnote>
  <w:endnote w:type="continuationSeparator" w:id="0">
    <w:p w14:paraId="6F58DC2A" w14:textId="77777777" w:rsidR="007C67FA" w:rsidRDefault="007C67FA" w:rsidP="00D5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72940"/>
      <w:docPartObj>
        <w:docPartGallery w:val="Page Numbers (Bottom of Page)"/>
        <w:docPartUnique/>
      </w:docPartObj>
    </w:sdtPr>
    <w:sdtEndPr/>
    <w:sdtContent>
      <w:p w14:paraId="78DE0256" w14:textId="77777777" w:rsidR="00D51F34" w:rsidRDefault="00D51F34">
        <w:pPr>
          <w:pStyle w:val="Piedepgina"/>
          <w:jc w:val="right"/>
        </w:pPr>
        <w:r>
          <w:fldChar w:fldCharType="begin"/>
        </w:r>
        <w:r>
          <w:instrText>PAGE   \* MERGEFORMAT</w:instrText>
        </w:r>
        <w:r>
          <w:fldChar w:fldCharType="separate"/>
        </w:r>
        <w:r w:rsidRPr="00D51F34">
          <w:rPr>
            <w:noProof/>
            <w:lang w:val="es-ES"/>
          </w:rPr>
          <w:t>6</w:t>
        </w:r>
        <w:r>
          <w:fldChar w:fldCharType="end"/>
        </w:r>
      </w:p>
    </w:sdtContent>
  </w:sdt>
  <w:p w14:paraId="780C9413" w14:textId="77777777" w:rsidR="00D51F34" w:rsidRDefault="00D51F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BD99" w14:textId="77777777" w:rsidR="007C67FA" w:rsidRDefault="007C67FA" w:rsidP="00D51F34">
      <w:pPr>
        <w:spacing w:after="0" w:line="240" w:lineRule="auto"/>
      </w:pPr>
      <w:r>
        <w:separator/>
      </w:r>
    </w:p>
  </w:footnote>
  <w:footnote w:type="continuationSeparator" w:id="0">
    <w:p w14:paraId="0FCD6890" w14:textId="77777777" w:rsidR="007C67FA" w:rsidRDefault="007C67FA" w:rsidP="00D5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D8"/>
    <w:multiLevelType w:val="hybridMultilevel"/>
    <w:tmpl w:val="4E903FA4"/>
    <w:lvl w:ilvl="0" w:tplc="E45AF974">
      <w:start w:val="1"/>
      <w:numFmt w:val="bullet"/>
      <w:lvlText w:val="•"/>
      <w:lvlJc w:val="left"/>
      <w:pPr>
        <w:tabs>
          <w:tab w:val="num" w:pos="720"/>
        </w:tabs>
        <w:ind w:left="720" w:hanging="360"/>
      </w:pPr>
      <w:rPr>
        <w:rFonts w:ascii="Arial" w:hAnsi="Arial" w:hint="default"/>
      </w:rPr>
    </w:lvl>
    <w:lvl w:ilvl="1" w:tplc="78E8C5E0" w:tentative="1">
      <w:start w:val="1"/>
      <w:numFmt w:val="bullet"/>
      <w:lvlText w:val="•"/>
      <w:lvlJc w:val="left"/>
      <w:pPr>
        <w:tabs>
          <w:tab w:val="num" w:pos="1440"/>
        </w:tabs>
        <w:ind w:left="1440" w:hanging="360"/>
      </w:pPr>
      <w:rPr>
        <w:rFonts w:ascii="Arial" w:hAnsi="Arial" w:hint="default"/>
      </w:rPr>
    </w:lvl>
    <w:lvl w:ilvl="2" w:tplc="A636DB50" w:tentative="1">
      <w:start w:val="1"/>
      <w:numFmt w:val="bullet"/>
      <w:lvlText w:val="•"/>
      <w:lvlJc w:val="left"/>
      <w:pPr>
        <w:tabs>
          <w:tab w:val="num" w:pos="2160"/>
        </w:tabs>
        <w:ind w:left="2160" w:hanging="360"/>
      </w:pPr>
      <w:rPr>
        <w:rFonts w:ascii="Arial" w:hAnsi="Arial" w:hint="default"/>
      </w:rPr>
    </w:lvl>
    <w:lvl w:ilvl="3" w:tplc="1AAEF65C" w:tentative="1">
      <w:start w:val="1"/>
      <w:numFmt w:val="bullet"/>
      <w:lvlText w:val="•"/>
      <w:lvlJc w:val="left"/>
      <w:pPr>
        <w:tabs>
          <w:tab w:val="num" w:pos="2880"/>
        </w:tabs>
        <w:ind w:left="2880" w:hanging="360"/>
      </w:pPr>
      <w:rPr>
        <w:rFonts w:ascii="Arial" w:hAnsi="Arial" w:hint="default"/>
      </w:rPr>
    </w:lvl>
    <w:lvl w:ilvl="4" w:tplc="B468832C" w:tentative="1">
      <w:start w:val="1"/>
      <w:numFmt w:val="bullet"/>
      <w:lvlText w:val="•"/>
      <w:lvlJc w:val="left"/>
      <w:pPr>
        <w:tabs>
          <w:tab w:val="num" w:pos="3600"/>
        </w:tabs>
        <w:ind w:left="3600" w:hanging="360"/>
      </w:pPr>
      <w:rPr>
        <w:rFonts w:ascii="Arial" w:hAnsi="Arial" w:hint="default"/>
      </w:rPr>
    </w:lvl>
    <w:lvl w:ilvl="5" w:tplc="B73CF624" w:tentative="1">
      <w:start w:val="1"/>
      <w:numFmt w:val="bullet"/>
      <w:lvlText w:val="•"/>
      <w:lvlJc w:val="left"/>
      <w:pPr>
        <w:tabs>
          <w:tab w:val="num" w:pos="4320"/>
        </w:tabs>
        <w:ind w:left="4320" w:hanging="360"/>
      </w:pPr>
      <w:rPr>
        <w:rFonts w:ascii="Arial" w:hAnsi="Arial" w:hint="default"/>
      </w:rPr>
    </w:lvl>
    <w:lvl w:ilvl="6" w:tplc="82D6C806" w:tentative="1">
      <w:start w:val="1"/>
      <w:numFmt w:val="bullet"/>
      <w:lvlText w:val="•"/>
      <w:lvlJc w:val="left"/>
      <w:pPr>
        <w:tabs>
          <w:tab w:val="num" w:pos="5040"/>
        </w:tabs>
        <w:ind w:left="5040" w:hanging="360"/>
      </w:pPr>
      <w:rPr>
        <w:rFonts w:ascii="Arial" w:hAnsi="Arial" w:hint="default"/>
      </w:rPr>
    </w:lvl>
    <w:lvl w:ilvl="7" w:tplc="2D80144A" w:tentative="1">
      <w:start w:val="1"/>
      <w:numFmt w:val="bullet"/>
      <w:lvlText w:val="•"/>
      <w:lvlJc w:val="left"/>
      <w:pPr>
        <w:tabs>
          <w:tab w:val="num" w:pos="5760"/>
        </w:tabs>
        <w:ind w:left="5760" w:hanging="360"/>
      </w:pPr>
      <w:rPr>
        <w:rFonts w:ascii="Arial" w:hAnsi="Arial" w:hint="default"/>
      </w:rPr>
    </w:lvl>
    <w:lvl w:ilvl="8" w:tplc="975646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10AD9"/>
    <w:multiLevelType w:val="hybridMultilevel"/>
    <w:tmpl w:val="BFFCAD32"/>
    <w:lvl w:ilvl="0" w:tplc="F6A84110">
      <w:start w:val="1"/>
      <w:numFmt w:val="bullet"/>
      <w:lvlText w:val="•"/>
      <w:lvlJc w:val="left"/>
      <w:pPr>
        <w:tabs>
          <w:tab w:val="num" w:pos="720"/>
        </w:tabs>
        <w:ind w:left="720" w:hanging="360"/>
      </w:pPr>
      <w:rPr>
        <w:rFonts w:ascii="Arial" w:hAnsi="Arial" w:hint="default"/>
      </w:rPr>
    </w:lvl>
    <w:lvl w:ilvl="1" w:tplc="8080243C" w:tentative="1">
      <w:start w:val="1"/>
      <w:numFmt w:val="bullet"/>
      <w:lvlText w:val="•"/>
      <w:lvlJc w:val="left"/>
      <w:pPr>
        <w:tabs>
          <w:tab w:val="num" w:pos="1440"/>
        </w:tabs>
        <w:ind w:left="1440" w:hanging="360"/>
      </w:pPr>
      <w:rPr>
        <w:rFonts w:ascii="Arial" w:hAnsi="Arial" w:hint="default"/>
      </w:rPr>
    </w:lvl>
    <w:lvl w:ilvl="2" w:tplc="658888E6" w:tentative="1">
      <w:start w:val="1"/>
      <w:numFmt w:val="bullet"/>
      <w:lvlText w:val="•"/>
      <w:lvlJc w:val="left"/>
      <w:pPr>
        <w:tabs>
          <w:tab w:val="num" w:pos="2160"/>
        </w:tabs>
        <w:ind w:left="2160" w:hanging="360"/>
      </w:pPr>
      <w:rPr>
        <w:rFonts w:ascii="Arial" w:hAnsi="Arial" w:hint="default"/>
      </w:rPr>
    </w:lvl>
    <w:lvl w:ilvl="3" w:tplc="4C70C8FA" w:tentative="1">
      <w:start w:val="1"/>
      <w:numFmt w:val="bullet"/>
      <w:lvlText w:val="•"/>
      <w:lvlJc w:val="left"/>
      <w:pPr>
        <w:tabs>
          <w:tab w:val="num" w:pos="2880"/>
        </w:tabs>
        <w:ind w:left="2880" w:hanging="360"/>
      </w:pPr>
      <w:rPr>
        <w:rFonts w:ascii="Arial" w:hAnsi="Arial" w:hint="default"/>
      </w:rPr>
    </w:lvl>
    <w:lvl w:ilvl="4" w:tplc="998E4174" w:tentative="1">
      <w:start w:val="1"/>
      <w:numFmt w:val="bullet"/>
      <w:lvlText w:val="•"/>
      <w:lvlJc w:val="left"/>
      <w:pPr>
        <w:tabs>
          <w:tab w:val="num" w:pos="3600"/>
        </w:tabs>
        <w:ind w:left="3600" w:hanging="360"/>
      </w:pPr>
      <w:rPr>
        <w:rFonts w:ascii="Arial" w:hAnsi="Arial" w:hint="default"/>
      </w:rPr>
    </w:lvl>
    <w:lvl w:ilvl="5" w:tplc="5726A2E6" w:tentative="1">
      <w:start w:val="1"/>
      <w:numFmt w:val="bullet"/>
      <w:lvlText w:val="•"/>
      <w:lvlJc w:val="left"/>
      <w:pPr>
        <w:tabs>
          <w:tab w:val="num" w:pos="4320"/>
        </w:tabs>
        <w:ind w:left="4320" w:hanging="360"/>
      </w:pPr>
      <w:rPr>
        <w:rFonts w:ascii="Arial" w:hAnsi="Arial" w:hint="default"/>
      </w:rPr>
    </w:lvl>
    <w:lvl w:ilvl="6" w:tplc="005E51BE" w:tentative="1">
      <w:start w:val="1"/>
      <w:numFmt w:val="bullet"/>
      <w:lvlText w:val="•"/>
      <w:lvlJc w:val="left"/>
      <w:pPr>
        <w:tabs>
          <w:tab w:val="num" w:pos="5040"/>
        </w:tabs>
        <w:ind w:left="5040" w:hanging="360"/>
      </w:pPr>
      <w:rPr>
        <w:rFonts w:ascii="Arial" w:hAnsi="Arial" w:hint="default"/>
      </w:rPr>
    </w:lvl>
    <w:lvl w:ilvl="7" w:tplc="39B6538E" w:tentative="1">
      <w:start w:val="1"/>
      <w:numFmt w:val="bullet"/>
      <w:lvlText w:val="•"/>
      <w:lvlJc w:val="left"/>
      <w:pPr>
        <w:tabs>
          <w:tab w:val="num" w:pos="5760"/>
        </w:tabs>
        <w:ind w:left="5760" w:hanging="360"/>
      </w:pPr>
      <w:rPr>
        <w:rFonts w:ascii="Arial" w:hAnsi="Arial" w:hint="default"/>
      </w:rPr>
    </w:lvl>
    <w:lvl w:ilvl="8" w:tplc="CF0EF7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F6CD5"/>
    <w:multiLevelType w:val="hybridMultilevel"/>
    <w:tmpl w:val="D6FE74F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73171187">
    <w:abstractNumId w:val="0"/>
  </w:num>
  <w:num w:numId="2" w16cid:durableId="1751196300">
    <w:abstractNumId w:val="1"/>
  </w:num>
  <w:num w:numId="3" w16cid:durableId="206059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15"/>
    <w:rsid w:val="000F213B"/>
    <w:rsid w:val="001D13EF"/>
    <w:rsid w:val="001E1FE8"/>
    <w:rsid w:val="001F3D15"/>
    <w:rsid w:val="00271C6E"/>
    <w:rsid w:val="002D717F"/>
    <w:rsid w:val="003E7E67"/>
    <w:rsid w:val="005B0EA6"/>
    <w:rsid w:val="00631C07"/>
    <w:rsid w:val="0063643A"/>
    <w:rsid w:val="00680A9D"/>
    <w:rsid w:val="007C67FA"/>
    <w:rsid w:val="00896D5F"/>
    <w:rsid w:val="008F0751"/>
    <w:rsid w:val="00A93F6D"/>
    <w:rsid w:val="00B10A5A"/>
    <w:rsid w:val="00B20BB0"/>
    <w:rsid w:val="00D51F34"/>
    <w:rsid w:val="00D81E07"/>
    <w:rsid w:val="00D951E4"/>
    <w:rsid w:val="00F339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97F2"/>
  <w15:chartTrackingRefBased/>
  <w15:docId w15:val="{D3A7EFE4-EB28-4D45-BEB8-D3C5BB57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96D5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896D5F"/>
  </w:style>
  <w:style w:type="character" w:customStyle="1" w:styleId="eop">
    <w:name w:val="eop"/>
    <w:basedOn w:val="Fuentedeprrafopredeter"/>
    <w:rsid w:val="00896D5F"/>
  </w:style>
  <w:style w:type="paragraph" w:styleId="NormalWeb">
    <w:name w:val="Normal (Web)"/>
    <w:basedOn w:val="Normal"/>
    <w:uiPriority w:val="99"/>
    <w:semiHidden/>
    <w:unhideWhenUsed/>
    <w:rsid w:val="001E1FE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E7E67"/>
    <w:pPr>
      <w:spacing w:after="0" w:line="240" w:lineRule="auto"/>
      <w:ind w:left="720"/>
      <w:contextualSpacing/>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D51F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1F34"/>
  </w:style>
  <w:style w:type="paragraph" w:styleId="Piedepgina">
    <w:name w:val="footer"/>
    <w:basedOn w:val="Normal"/>
    <w:link w:val="PiedepginaCar"/>
    <w:uiPriority w:val="99"/>
    <w:unhideWhenUsed/>
    <w:rsid w:val="00D51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1691">
      <w:bodyDiv w:val="1"/>
      <w:marLeft w:val="0"/>
      <w:marRight w:val="0"/>
      <w:marTop w:val="0"/>
      <w:marBottom w:val="0"/>
      <w:divBdr>
        <w:top w:val="none" w:sz="0" w:space="0" w:color="auto"/>
        <w:left w:val="none" w:sz="0" w:space="0" w:color="auto"/>
        <w:bottom w:val="none" w:sz="0" w:space="0" w:color="auto"/>
        <w:right w:val="none" w:sz="0" w:space="0" w:color="auto"/>
      </w:divBdr>
    </w:div>
    <w:div w:id="353965309">
      <w:bodyDiv w:val="1"/>
      <w:marLeft w:val="0"/>
      <w:marRight w:val="0"/>
      <w:marTop w:val="0"/>
      <w:marBottom w:val="0"/>
      <w:divBdr>
        <w:top w:val="none" w:sz="0" w:space="0" w:color="auto"/>
        <w:left w:val="none" w:sz="0" w:space="0" w:color="auto"/>
        <w:bottom w:val="none" w:sz="0" w:space="0" w:color="auto"/>
        <w:right w:val="none" w:sz="0" w:space="0" w:color="auto"/>
      </w:divBdr>
      <w:divsChild>
        <w:div w:id="1656567772">
          <w:marLeft w:val="446"/>
          <w:marRight w:val="0"/>
          <w:marTop w:val="0"/>
          <w:marBottom w:val="0"/>
          <w:divBdr>
            <w:top w:val="none" w:sz="0" w:space="0" w:color="auto"/>
            <w:left w:val="none" w:sz="0" w:space="0" w:color="auto"/>
            <w:bottom w:val="none" w:sz="0" w:space="0" w:color="auto"/>
            <w:right w:val="none" w:sz="0" w:space="0" w:color="auto"/>
          </w:divBdr>
        </w:div>
      </w:divsChild>
    </w:div>
    <w:div w:id="360209030">
      <w:bodyDiv w:val="1"/>
      <w:marLeft w:val="0"/>
      <w:marRight w:val="0"/>
      <w:marTop w:val="0"/>
      <w:marBottom w:val="0"/>
      <w:divBdr>
        <w:top w:val="none" w:sz="0" w:space="0" w:color="auto"/>
        <w:left w:val="none" w:sz="0" w:space="0" w:color="auto"/>
        <w:bottom w:val="none" w:sz="0" w:space="0" w:color="auto"/>
        <w:right w:val="none" w:sz="0" w:space="0" w:color="auto"/>
      </w:divBdr>
      <w:divsChild>
        <w:div w:id="595214047">
          <w:marLeft w:val="446"/>
          <w:marRight w:val="0"/>
          <w:marTop w:val="0"/>
          <w:marBottom w:val="0"/>
          <w:divBdr>
            <w:top w:val="none" w:sz="0" w:space="0" w:color="auto"/>
            <w:left w:val="none" w:sz="0" w:space="0" w:color="auto"/>
            <w:bottom w:val="none" w:sz="0" w:space="0" w:color="auto"/>
            <w:right w:val="none" w:sz="0" w:space="0" w:color="auto"/>
          </w:divBdr>
        </w:div>
      </w:divsChild>
    </w:div>
    <w:div w:id="600261964">
      <w:bodyDiv w:val="1"/>
      <w:marLeft w:val="0"/>
      <w:marRight w:val="0"/>
      <w:marTop w:val="0"/>
      <w:marBottom w:val="0"/>
      <w:divBdr>
        <w:top w:val="none" w:sz="0" w:space="0" w:color="auto"/>
        <w:left w:val="none" w:sz="0" w:space="0" w:color="auto"/>
        <w:bottom w:val="none" w:sz="0" w:space="0" w:color="auto"/>
        <w:right w:val="none" w:sz="0" w:space="0" w:color="auto"/>
      </w:divBdr>
      <w:divsChild>
        <w:div w:id="1820346046">
          <w:marLeft w:val="0"/>
          <w:marRight w:val="0"/>
          <w:marTop w:val="0"/>
          <w:marBottom w:val="0"/>
          <w:divBdr>
            <w:top w:val="none" w:sz="0" w:space="0" w:color="auto"/>
            <w:left w:val="none" w:sz="0" w:space="0" w:color="auto"/>
            <w:bottom w:val="none" w:sz="0" w:space="0" w:color="auto"/>
            <w:right w:val="none" w:sz="0" w:space="0" w:color="auto"/>
          </w:divBdr>
          <w:divsChild>
            <w:div w:id="932054192">
              <w:marLeft w:val="0"/>
              <w:marRight w:val="0"/>
              <w:marTop w:val="0"/>
              <w:marBottom w:val="0"/>
              <w:divBdr>
                <w:top w:val="none" w:sz="0" w:space="0" w:color="auto"/>
                <w:left w:val="none" w:sz="0" w:space="0" w:color="auto"/>
                <w:bottom w:val="none" w:sz="0" w:space="0" w:color="auto"/>
                <w:right w:val="none" w:sz="0" w:space="0" w:color="auto"/>
              </w:divBdr>
            </w:div>
          </w:divsChild>
        </w:div>
        <w:div w:id="415711112">
          <w:marLeft w:val="0"/>
          <w:marRight w:val="0"/>
          <w:marTop w:val="0"/>
          <w:marBottom w:val="0"/>
          <w:divBdr>
            <w:top w:val="none" w:sz="0" w:space="0" w:color="auto"/>
            <w:left w:val="none" w:sz="0" w:space="0" w:color="auto"/>
            <w:bottom w:val="none" w:sz="0" w:space="0" w:color="auto"/>
            <w:right w:val="none" w:sz="0" w:space="0" w:color="auto"/>
          </w:divBdr>
          <w:divsChild>
            <w:div w:id="365452939">
              <w:marLeft w:val="0"/>
              <w:marRight w:val="0"/>
              <w:marTop w:val="0"/>
              <w:marBottom w:val="0"/>
              <w:divBdr>
                <w:top w:val="none" w:sz="0" w:space="0" w:color="auto"/>
                <w:left w:val="none" w:sz="0" w:space="0" w:color="auto"/>
                <w:bottom w:val="none" w:sz="0" w:space="0" w:color="auto"/>
                <w:right w:val="none" w:sz="0" w:space="0" w:color="auto"/>
              </w:divBdr>
            </w:div>
          </w:divsChild>
        </w:div>
        <w:div w:id="948900641">
          <w:marLeft w:val="0"/>
          <w:marRight w:val="0"/>
          <w:marTop w:val="0"/>
          <w:marBottom w:val="0"/>
          <w:divBdr>
            <w:top w:val="none" w:sz="0" w:space="0" w:color="auto"/>
            <w:left w:val="none" w:sz="0" w:space="0" w:color="auto"/>
            <w:bottom w:val="none" w:sz="0" w:space="0" w:color="auto"/>
            <w:right w:val="none" w:sz="0" w:space="0" w:color="auto"/>
          </w:divBdr>
          <w:divsChild>
            <w:div w:id="1464080384">
              <w:marLeft w:val="0"/>
              <w:marRight w:val="0"/>
              <w:marTop w:val="0"/>
              <w:marBottom w:val="0"/>
              <w:divBdr>
                <w:top w:val="none" w:sz="0" w:space="0" w:color="auto"/>
                <w:left w:val="none" w:sz="0" w:space="0" w:color="auto"/>
                <w:bottom w:val="none" w:sz="0" w:space="0" w:color="auto"/>
                <w:right w:val="none" w:sz="0" w:space="0" w:color="auto"/>
              </w:divBdr>
            </w:div>
          </w:divsChild>
        </w:div>
        <w:div w:id="713164297">
          <w:marLeft w:val="0"/>
          <w:marRight w:val="0"/>
          <w:marTop w:val="0"/>
          <w:marBottom w:val="0"/>
          <w:divBdr>
            <w:top w:val="none" w:sz="0" w:space="0" w:color="auto"/>
            <w:left w:val="none" w:sz="0" w:space="0" w:color="auto"/>
            <w:bottom w:val="none" w:sz="0" w:space="0" w:color="auto"/>
            <w:right w:val="none" w:sz="0" w:space="0" w:color="auto"/>
          </w:divBdr>
          <w:divsChild>
            <w:div w:id="1501309662">
              <w:marLeft w:val="0"/>
              <w:marRight w:val="0"/>
              <w:marTop w:val="0"/>
              <w:marBottom w:val="0"/>
              <w:divBdr>
                <w:top w:val="none" w:sz="0" w:space="0" w:color="auto"/>
                <w:left w:val="none" w:sz="0" w:space="0" w:color="auto"/>
                <w:bottom w:val="none" w:sz="0" w:space="0" w:color="auto"/>
                <w:right w:val="none" w:sz="0" w:space="0" w:color="auto"/>
              </w:divBdr>
            </w:div>
          </w:divsChild>
        </w:div>
        <w:div w:id="1873030923">
          <w:marLeft w:val="0"/>
          <w:marRight w:val="0"/>
          <w:marTop w:val="0"/>
          <w:marBottom w:val="0"/>
          <w:divBdr>
            <w:top w:val="none" w:sz="0" w:space="0" w:color="auto"/>
            <w:left w:val="none" w:sz="0" w:space="0" w:color="auto"/>
            <w:bottom w:val="none" w:sz="0" w:space="0" w:color="auto"/>
            <w:right w:val="none" w:sz="0" w:space="0" w:color="auto"/>
          </w:divBdr>
          <w:divsChild>
            <w:div w:id="51193871">
              <w:marLeft w:val="0"/>
              <w:marRight w:val="0"/>
              <w:marTop w:val="0"/>
              <w:marBottom w:val="0"/>
              <w:divBdr>
                <w:top w:val="none" w:sz="0" w:space="0" w:color="auto"/>
                <w:left w:val="none" w:sz="0" w:space="0" w:color="auto"/>
                <w:bottom w:val="none" w:sz="0" w:space="0" w:color="auto"/>
                <w:right w:val="none" w:sz="0" w:space="0" w:color="auto"/>
              </w:divBdr>
            </w:div>
            <w:div w:id="1367828256">
              <w:marLeft w:val="0"/>
              <w:marRight w:val="0"/>
              <w:marTop w:val="0"/>
              <w:marBottom w:val="0"/>
              <w:divBdr>
                <w:top w:val="none" w:sz="0" w:space="0" w:color="auto"/>
                <w:left w:val="none" w:sz="0" w:space="0" w:color="auto"/>
                <w:bottom w:val="none" w:sz="0" w:space="0" w:color="auto"/>
                <w:right w:val="none" w:sz="0" w:space="0" w:color="auto"/>
              </w:divBdr>
            </w:div>
          </w:divsChild>
        </w:div>
        <w:div w:id="389888472">
          <w:marLeft w:val="0"/>
          <w:marRight w:val="0"/>
          <w:marTop w:val="0"/>
          <w:marBottom w:val="0"/>
          <w:divBdr>
            <w:top w:val="none" w:sz="0" w:space="0" w:color="auto"/>
            <w:left w:val="none" w:sz="0" w:space="0" w:color="auto"/>
            <w:bottom w:val="none" w:sz="0" w:space="0" w:color="auto"/>
            <w:right w:val="none" w:sz="0" w:space="0" w:color="auto"/>
          </w:divBdr>
          <w:divsChild>
            <w:div w:id="1142697387">
              <w:marLeft w:val="0"/>
              <w:marRight w:val="0"/>
              <w:marTop w:val="0"/>
              <w:marBottom w:val="0"/>
              <w:divBdr>
                <w:top w:val="none" w:sz="0" w:space="0" w:color="auto"/>
                <w:left w:val="none" w:sz="0" w:space="0" w:color="auto"/>
                <w:bottom w:val="none" w:sz="0" w:space="0" w:color="auto"/>
                <w:right w:val="none" w:sz="0" w:space="0" w:color="auto"/>
              </w:divBdr>
            </w:div>
            <w:div w:id="2115247607">
              <w:marLeft w:val="0"/>
              <w:marRight w:val="0"/>
              <w:marTop w:val="0"/>
              <w:marBottom w:val="0"/>
              <w:divBdr>
                <w:top w:val="none" w:sz="0" w:space="0" w:color="auto"/>
                <w:left w:val="none" w:sz="0" w:space="0" w:color="auto"/>
                <w:bottom w:val="none" w:sz="0" w:space="0" w:color="auto"/>
                <w:right w:val="none" w:sz="0" w:space="0" w:color="auto"/>
              </w:divBdr>
            </w:div>
          </w:divsChild>
        </w:div>
        <w:div w:id="2070372530">
          <w:marLeft w:val="0"/>
          <w:marRight w:val="0"/>
          <w:marTop w:val="0"/>
          <w:marBottom w:val="0"/>
          <w:divBdr>
            <w:top w:val="none" w:sz="0" w:space="0" w:color="auto"/>
            <w:left w:val="none" w:sz="0" w:space="0" w:color="auto"/>
            <w:bottom w:val="none" w:sz="0" w:space="0" w:color="auto"/>
            <w:right w:val="none" w:sz="0" w:space="0" w:color="auto"/>
          </w:divBdr>
          <w:divsChild>
            <w:div w:id="638801262">
              <w:marLeft w:val="0"/>
              <w:marRight w:val="0"/>
              <w:marTop w:val="0"/>
              <w:marBottom w:val="0"/>
              <w:divBdr>
                <w:top w:val="none" w:sz="0" w:space="0" w:color="auto"/>
                <w:left w:val="none" w:sz="0" w:space="0" w:color="auto"/>
                <w:bottom w:val="none" w:sz="0" w:space="0" w:color="auto"/>
                <w:right w:val="none" w:sz="0" w:space="0" w:color="auto"/>
              </w:divBdr>
            </w:div>
          </w:divsChild>
        </w:div>
        <w:div w:id="1504467506">
          <w:marLeft w:val="0"/>
          <w:marRight w:val="0"/>
          <w:marTop w:val="0"/>
          <w:marBottom w:val="0"/>
          <w:divBdr>
            <w:top w:val="none" w:sz="0" w:space="0" w:color="auto"/>
            <w:left w:val="none" w:sz="0" w:space="0" w:color="auto"/>
            <w:bottom w:val="none" w:sz="0" w:space="0" w:color="auto"/>
            <w:right w:val="none" w:sz="0" w:space="0" w:color="auto"/>
          </w:divBdr>
          <w:divsChild>
            <w:div w:id="784736874">
              <w:marLeft w:val="0"/>
              <w:marRight w:val="0"/>
              <w:marTop w:val="0"/>
              <w:marBottom w:val="0"/>
              <w:divBdr>
                <w:top w:val="none" w:sz="0" w:space="0" w:color="auto"/>
                <w:left w:val="none" w:sz="0" w:space="0" w:color="auto"/>
                <w:bottom w:val="none" w:sz="0" w:space="0" w:color="auto"/>
                <w:right w:val="none" w:sz="0" w:space="0" w:color="auto"/>
              </w:divBdr>
            </w:div>
          </w:divsChild>
        </w:div>
        <w:div w:id="463305487">
          <w:marLeft w:val="0"/>
          <w:marRight w:val="0"/>
          <w:marTop w:val="0"/>
          <w:marBottom w:val="0"/>
          <w:divBdr>
            <w:top w:val="none" w:sz="0" w:space="0" w:color="auto"/>
            <w:left w:val="none" w:sz="0" w:space="0" w:color="auto"/>
            <w:bottom w:val="none" w:sz="0" w:space="0" w:color="auto"/>
            <w:right w:val="none" w:sz="0" w:space="0" w:color="auto"/>
          </w:divBdr>
          <w:divsChild>
            <w:div w:id="1258639106">
              <w:marLeft w:val="0"/>
              <w:marRight w:val="0"/>
              <w:marTop w:val="0"/>
              <w:marBottom w:val="0"/>
              <w:divBdr>
                <w:top w:val="none" w:sz="0" w:space="0" w:color="auto"/>
                <w:left w:val="none" w:sz="0" w:space="0" w:color="auto"/>
                <w:bottom w:val="none" w:sz="0" w:space="0" w:color="auto"/>
                <w:right w:val="none" w:sz="0" w:space="0" w:color="auto"/>
              </w:divBdr>
            </w:div>
          </w:divsChild>
        </w:div>
        <w:div w:id="1271858201">
          <w:marLeft w:val="0"/>
          <w:marRight w:val="0"/>
          <w:marTop w:val="0"/>
          <w:marBottom w:val="0"/>
          <w:divBdr>
            <w:top w:val="none" w:sz="0" w:space="0" w:color="auto"/>
            <w:left w:val="none" w:sz="0" w:space="0" w:color="auto"/>
            <w:bottom w:val="none" w:sz="0" w:space="0" w:color="auto"/>
            <w:right w:val="none" w:sz="0" w:space="0" w:color="auto"/>
          </w:divBdr>
          <w:divsChild>
            <w:div w:id="192310458">
              <w:marLeft w:val="0"/>
              <w:marRight w:val="0"/>
              <w:marTop w:val="0"/>
              <w:marBottom w:val="0"/>
              <w:divBdr>
                <w:top w:val="none" w:sz="0" w:space="0" w:color="auto"/>
                <w:left w:val="none" w:sz="0" w:space="0" w:color="auto"/>
                <w:bottom w:val="none" w:sz="0" w:space="0" w:color="auto"/>
                <w:right w:val="none" w:sz="0" w:space="0" w:color="auto"/>
              </w:divBdr>
            </w:div>
          </w:divsChild>
        </w:div>
        <w:div w:id="359671963">
          <w:marLeft w:val="0"/>
          <w:marRight w:val="0"/>
          <w:marTop w:val="0"/>
          <w:marBottom w:val="0"/>
          <w:divBdr>
            <w:top w:val="none" w:sz="0" w:space="0" w:color="auto"/>
            <w:left w:val="none" w:sz="0" w:space="0" w:color="auto"/>
            <w:bottom w:val="none" w:sz="0" w:space="0" w:color="auto"/>
            <w:right w:val="none" w:sz="0" w:space="0" w:color="auto"/>
          </w:divBdr>
          <w:divsChild>
            <w:div w:id="848830697">
              <w:marLeft w:val="0"/>
              <w:marRight w:val="0"/>
              <w:marTop w:val="0"/>
              <w:marBottom w:val="0"/>
              <w:divBdr>
                <w:top w:val="none" w:sz="0" w:space="0" w:color="auto"/>
                <w:left w:val="none" w:sz="0" w:space="0" w:color="auto"/>
                <w:bottom w:val="none" w:sz="0" w:space="0" w:color="auto"/>
                <w:right w:val="none" w:sz="0" w:space="0" w:color="auto"/>
              </w:divBdr>
            </w:div>
          </w:divsChild>
        </w:div>
        <w:div w:id="1718630053">
          <w:marLeft w:val="0"/>
          <w:marRight w:val="0"/>
          <w:marTop w:val="0"/>
          <w:marBottom w:val="0"/>
          <w:divBdr>
            <w:top w:val="none" w:sz="0" w:space="0" w:color="auto"/>
            <w:left w:val="none" w:sz="0" w:space="0" w:color="auto"/>
            <w:bottom w:val="none" w:sz="0" w:space="0" w:color="auto"/>
            <w:right w:val="none" w:sz="0" w:space="0" w:color="auto"/>
          </w:divBdr>
          <w:divsChild>
            <w:div w:id="1544826829">
              <w:marLeft w:val="0"/>
              <w:marRight w:val="0"/>
              <w:marTop w:val="0"/>
              <w:marBottom w:val="0"/>
              <w:divBdr>
                <w:top w:val="none" w:sz="0" w:space="0" w:color="auto"/>
                <w:left w:val="none" w:sz="0" w:space="0" w:color="auto"/>
                <w:bottom w:val="none" w:sz="0" w:space="0" w:color="auto"/>
                <w:right w:val="none" w:sz="0" w:space="0" w:color="auto"/>
              </w:divBdr>
            </w:div>
          </w:divsChild>
        </w:div>
        <w:div w:id="1762875365">
          <w:marLeft w:val="0"/>
          <w:marRight w:val="0"/>
          <w:marTop w:val="0"/>
          <w:marBottom w:val="0"/>
          <w:divBdr>
            <w:top w:val="none" w:sz="0" w:space="0" w:color="auto"/>
            <w:left w:val="none" w:sz="0" w:space="0" w:color="auto"/>
            <w:bottom w:val="none" w:sz="0" w:space="0" w:color="auto"/>
            <w:right w:val="none" w:sz="0" w:space="0" w:color="auto"/>
          </w:divBdr>
          <w:divsChild>
            <w:div w:id="13191873">
              <w:marLeft w:val="0"/>
              <w:marRight w:val="0"/>
              <w:marTop w:val="0"/>
              <w:marBottom w:val="0"/>
              <w:divBdr>
                <w:top w:val="none" w:sz="0" w:space="0" w:color="auto"/>
                <w:left w:val="none" w:sz="0" w:space="0" w:color="auto"/>
                <w:bottom w:val="none" w:sz="0" w:space="0" w:color="auto"/>
                <w:right w:val="none" w:sz="0" w:space="0" w:color="auto"/>
              </w:divBdr>
            </w:div>
          </w:divsChild>
        </w:div>
        <w:div w:id="1293559498">
          <w:marLeft w:val="0"/>
          <w:marRight w:val="0"/>
          <w:marTop w:val="0"/>
          <w:marBottom w:val="0"/>
          <w:divBdr>
            <w:top w:val="none" w:sz="0" w:space="0" w:color="auto"/>
            <w:left w:val="none" w:sz="0" w:space="0" w:color="auto"/>
            <w:bottom w:val="none" w:sz="0" w:space="0" w:color="auto"/>
            <w:right w:val="none" w:sz="0" w:space="0" w:color="auto"/>
          </w:divBdr>
          <w:divsChild>
            <w:div w:id="56361766">
              <w:marLeft w:val="0"/>
              <w:marRight w:val="0"/>
              <w:marTop w:val="0"/>
              <w:marBottom w:val="0"/>
              <w:divBdr>
                <w:top w:val="none" w:sz="0" w:space="0" w:color="auto"/>
                <w:left w:val="none" w:sz="0" w:space="0" w:color="auto"/>
                <w:bottom w:val="none" w:sz="0" w:space="0" w:color="auto"/>
                <w:right w:val="none" w:sz="0" w:space="0" w:color="auto"/>
              </w:divBdr>
            </w:div>
          </w:divsChild>
        </w:div>
        <w:div w:id="1070226705">
          <w:marLeft w:val="0"/>
          <w:marRight w:val="0"/>
          <w:marTop w:val="0"/>
          <w:marBottom w:val="0"/>
          <w:divBdr>
            <w:top w:val="none" w:sz="0" w:space="0" w:color="auto"/>
            <w:left w:val="none" w:sz="0" w:space="0" w:color="auto"/>
            <w:bottom w:val="none" w:sz="0" w:space="0" w:color="auto"/>
            <w:right w:val="none" w:sz="0" w:space="0" w:color="auto"/>
          </w:divBdr>
          <w:divsChild>
            <w:div w:id="616721310">
              <w:marLeft w:val="0"/>
              <w:marRight w:val="0"/>
              <w:marTop w:val="0"/>
              <w:marBottom w:val="0"/>
              <w:divBdr>
                <w:top w:val="none" w:sz="0" w:space="0" w:color="auto"/>
                <w:left w:val="none" w:sz="0" w:space="0" w:color="auto"/>
                <w:bottom w:val="none" w:sz="0" w:space="0" w:color="auto"/>
                <w:right w:val="none" w:sz="0" w:space="0" w:color="auto"/>
              </w:divBdr>
            </w:div>
          </w:divsChild>
        </w:div>
        <w:div w:id="1028139546">
          <w:marLeft w:val="0"/>
          <w:marRight w:val="0"/>
          <w:marTop w:val="0"/>
          <w:marBottom w:val="0"/>
          <w:divBdr>
            <w:top w:val="none" w:sz="0" w:space="0" w:color="auto"/>
            <w:left w:val="none" w:sz="0" w:space="0" w:color="auto"/>
            <w:bottom w:val="none" w:sz="0" w:space="0" w:color="auto"/>
            <w:right w:val="none" w:sz="0" w:space="0" w:color="auto"/>
          </w:divBdr>
          <w:divsChild>
            <w:div w:id="1984314831">
              <w:marLeft w:val="0"/>
              <w:marRight w:val="0"/>
              <w:marTop w:val="0"/>
              <w:marBottom w:val="0"/>
              <w:divBdr>
                <w:top w:val="none" w:sz="0" w:space="0" w:color="auto"/>
                <w:left w:val="none" w:sz="0" w:space="0" w:color="auto"/>
                <w:bottom w:val="none" w:sz="0" w:space="0" w:color="auto"/>
                <w:right w:val="none" w:sz="0" w:space="0" w:color="auto"/>
              </w:divBdr>
            </w:div>
          </w:divsChild>
        </w:div>
        <w:div w:id="693969040">
          <w:marLeft w:val="0"/>
          <w:marRight w:val="0"/>
          <w:marTop w:val="0"/>
          <w:marBottom w:val="0"/>
          <w:divBdr>
            <w:top w:val="none" w:sz="0" w:space="0" w:color="auto"/>
            <w:left w:val="none" w:sz="0" w:space="0" w:color="auto"/>
            <w:bottom w:val="none" w:sz="0" w:space="0" w:color="auto"/>
            <w:right w:val="none" w:sz="0" w:space="0" w:color="auto"/>
          </w:divBdr>
          <w:divsChild>
            <w:div w:id="830868685">
              <w:marLeft w:val="0"/>
              <w:marRight w:val="0"/>
              <w:marTop w:val="0"/>
              <w:marBottom w:val="0"/>
              <w:divBdr>
                <w:top w:val="none" w:sz="0" w:space="0" w:color="auto"/>
                <w:left w:val="none" w:sz="0" w:space="0" w:color="auto"/>
                <w:bottom w:val="none" w:sz="0" w:space="0" w:color="auto"/>
                <w:right w:val="none" w:sz="0" w:space="0" w:color="auto"/>
              </w:divBdr>
            </w:div>
          </w:divsChild>
        </w:div>
        <w:div w:id="1593472245">
          <w:marLeft w:val="0"/>
          <w:marRight w:val="0"/>
          <w:marTop w:val="0"/>
          <w:marBottom w:val="0"/>
          <w:divBdr>
            <w:top w:val="none" w:sz="0" w:space="0" w:color="auto"/>
            <w:left w:val="none" w:sz="0" w:space="0" w:color="auto"/>
            <w:bottom w:val="none" w:sz="0" w:space="0" w:color="auto"/>
            <w:right w:val="none" w:sz="0" w:space="0" w:color="auto"/>
          </w:divBdr>
          <w:divsChild>
            <w:div w:id="1051658140">
              <w:marLeft w:val="0"/>
              <w:marRight w:val="0"/>
              <w:marTop w:val="0"/>
              <w:marBottom w:val="0"/>
              <w:divBdr>
                <w:top w:val="none" w:sz="0" w:space="0" w:color="auto"/>
                <w:left w:val="none" w:sz="0" w:space="0" w:color="auto"/>
                <w:bottom w:val="none" w:sz="0" w:space="0" w:color="auto"/>
                <w:right w:val="none" w:sz="0" w:space="0" w:color="auto"/>
              </w:divBdr>
            </w:div>
            <w:div w:id="1995718356">
              <w:marLeft w:val="0"/>
              <w:marRight w:val="0"/>
              <w:marTop w:val="0"/>
              <w:marBottom w:val="0"/>
              <w:divBdr>
                <w:top w:val="none" w:sz="0" w:space="0" w:color="auto"/>
                <w:left w:val="none" w:sz="0" w:space="0" w:color="auto"/>
                <w:bottom w:val="none" w:sz="0" w:space="0" w:color="auto"/>
                <w:right w:val="none" w:sz="0" w:space="0" w:color="auto"/>
              </w:divBdr>
            </w:div>
          </w:divsChild>
        </w:div>
        <w:div w:id="127210393">
          <w:marLeft w:val="0"/>
          <w:marRight w:val="0"/>
          <w:marTop w:val="0"/>
          <w:marBottom w:val="0"/>
          <w:divBdr>
            <w:top w:val="none" w:sz="0" w:space="0" w:color="auto"/>
            <w:left w:val="none" w:sz="0" w:space="0" w:color="auto"/>
            <w:bottom w:val="none" w:sz="0" w:space="0" w:color="auto"/>
            <w:right w:val="none" w:sz="0" w:space="0" w:color="auto"/>
          </w:divBdr>
          <w:divsChild>
            <w:div w:id="2010211122">
              <w:marLeft w:val="0"/>
              <w:marRight w:val="0"/>
              <w:marTop w:val="0"/>
              <w:marBottom w:val="0"/>
              <w:divBdr>
                <w:top w:val="none" w:sz="0" w:space="0" w:color="auto"/>
                <w:left w:val="none" w:sz="0" w:space="0" w:color="auto"/>
                <w:bottom w:val="none" w:sz="0" w:space="0" w:color="auto"/>
                <w:right w:val="none" w:sz="0" w:space="0" w:color="auto"/>
              </w:divBdr>
            </w:div>
          </w:divsChild>
        </w:div>
        <w:div w:id="375740803">
          <w:marLeft w:val="0"/>
          <w:marRight w:val="0"/>
          <w:marTop w:val="0"/>
          <w:marBottom w:val="0"/>
          <w:divBdr>
            <w:top w:val="none" w:sz="0" w:space="0" w:color="auto"/>
            <w:left w:val="none" w:sz="0" w:space="0" w:color="auto"/>
            <w:bottom w:val="none" w:sz="0" w:space="0" w:color="auto"/>
            <w:right w:val="none" w:sz="0" w:space="0" w:color="auto"/>
          </w:divBdr>
          <w:divsChild>
            <w:div w:id="1338071951">
              <w:marLeft w:val="0"/>
              <w:marRight w:val="0"/>
              <w:marTop w:val="0"/>
              <w:marBottom w:val="0"/>
              <w:divBdr>
                <w:top w:val="none" w:sz="0" w:space="0" w:color="auto"/>
                <w:left w:val="none" w:sz="0" w:space="0" w:color="auto"/>
                <w:bottom w:val="none" w:sz="0" w:space="0" w:color="auto"/>
                <w:right w:val="none" w:sz="0" w:space="0" w:color="auto"/>
              </w:divBdr>
            </w:div>
          </w:divsChild>
        </w:div>
        <w:div w:id="120929876">
          <w:marLeft w:val="0"/>
          <w:marRight w:val="0"/>
          <w:marTop w:val="0"/>
          <w:marBottom w:val="0"/>
          <w:divBdr>
            <w:top w:val="none" w:sz="0" w:space="0" w:color="auto"/>
            <w:left w:val="none" w:sz="0" w:space="0" w:color="auto"/>
            <w:bottom w:val="none" w:sz="0" w:space="0" w:color="auto"/>
            <w:right w:val="none" w:sz="0" w:space="0" w:color="auto"/>
          </w:divBdr>
          <w:divsChild>
            <w:div w:id="558245804">
              <w:marLeft w:val="0"/>
              <w:marRight w:val="0"/>
              <w:marTop w:val="0"/>
              <w:marBottom w:val="0"/>
              <w:divBdr>
                <w:top w:val="none" w:sz="0" w:space="0" w:color="auto"/>
                <w:left w:val="none" w:sz="0" w:space="0" w:color="auto"/>
                <w:bottom w:val="none" w:sz="0" w:space="0" w:color="auto"/>
                <w:right w:val="none" w:sz="0" w:space="0" w:color="auto"/>
              </w:divBdr>
            </w:div>
          </w:divsChild>
        </w:div>
        <w:div w:id="387580350">
          <w:marLeft w:val="0"/>
          <w:marRight w:val="0"/>
          <w:marTop w:val="0"/>
          <w:marBottom w:val="0"/>
          <w:divBdr>
            <w:top w:val="none" w:sz="0" w:space="0" w:color="auto"/>
            <w:left w:val="none" w:sz="0" w:space="0" w:color="auto"/>
            <w:bottom w:val="none" w:sz="0" w:space="0" w:color="auto"/>
            <w:right w:val="none" w:sz="0" w:space="0" w:color="auto"/>
          </w:divBdr>
          <w:divsChild>
            <w:div w:id="1166942294">
              <w:marLeft w:val="0"/>
              <w:marRight w:val="0"/>
              <w:marTop w:val="0"/>
              <w:marBottom w:val="0"/>
              <w:divBdr>
                <w:top w:val="none" w:sz="0" w:space="0" w:color="auto"/>
                <w:left w:val="none" w:sz="0" w:space="0" w:color="auto"/>
                <w:bottom w:val="none" w:sz="0" w:space="0" w:color="auto"/>
                <w:right w:val="none" w:sz="0" w:space="0" w:color="auto"/>
              </w:divBdr>
            </w:div>
          </w:divsChild>
        </w:div>
        <w:div w:id="386954563">
          <w:marLeft w:val="0"/>
          <w:marRight w:val="0"/>
          <w:marTop w:val="0"/>
          <w:marBottom w:val="0"/>
          <w:divBdr>
            <w:top w:val="none" w:sz="0" w:space="0" w:color="auto"/>
            <w:left w:val="none" w:sz="0" w:space="0" w:color="auto"/>
            <w:bottom w:val="none" w:sz="0" w:space="0" w:color="auto"/>
            <w:right w:val="none" w:sz="0" w:space="0" w:color="auto"/>
          </w:divBdr>
          <w:divsChild>
            <w:div w:id="1381902152">
              <w:marLeft w:val="0"/>
              <w:marRight w:val="0"/>
              <w:marTop w:val="0"/>
              <w:marBottom w:val="0"/>
              <w:divBdr>
                <w:top w:val="none" w:sz="0" w:space="0" w:color="auto"/>
                <w:left w:val="none" w:sz="0" w:space="0" w:color="auto"/>
                <w:bottom w:val="none" w:sz="0" w:space="0" w:color="auto"/>
                <w:right w:val="none" w:sz="0" w:space="0" w:color="auto"/>
              </w:divBdr>
            </w:div>
          </w:divsChild>
        </w:div>
        <w:div w:id="164132681">
          <w:marLeft w:val="0"/>
          <w:marRight w:val="0"/>
          <w:marTop w:val="0"/>
          <w:marBottom w:val="0"/>
          <w:divBdr>
            <w:top w:val="none" w:sz="0" w:space="0" w:color="auto"/>
            <w:left w:val="none" w:sz="0" w:space="0" w:color="auto"/>
            <w:bottom w:val="none" w:sz="0" w:space="0" w:color="auto"/>
            <w:right w:val="none" w:sz="0" w:space="0" w:color="auto"/>
          </w:divBdr>
          <w:divsChild>
            <w:div w:id="787818232">
              <w:marLeft w:val="0"/>
              <w:marRight w:val="0"/>
              <w:marTop w:val="0"/>
              <w:marBottom w:val="0"/>
              <w:divBdr>
                <w:top w:val="none" w:sz="0" w:space="0" w:color="auto"/>
                <w:left w:val="none" w:sz="0" w:space="0" w:color="auto"/>
                <w:bottom w:val="none" w:sz="0" w:space="0" w:color="auto"/>
                <w:right w:val="none" w:sz="0" w:space="0" w:color="auto"/>
              </w:divBdr>
            </w:div>
            <w:div w:id="153768706">
              <w:marLeft w:val="0"/>
              <w:marRight w:val="0"/>
              <w:marTop w:val="0"/>
              <w:marBottom w:val="0"/>
              <w:divBdr>
                <w:top w:val="none" w:sz="0" w:space="0" w:color="auto"/>
                <w:left w:val="none" w:sz="0" w:space="0" w:color="auto"/>
                <w:bottom w:val="none" w:sz="0" w:space="0" w:color="auto"/>
                <w:right w:val="none" w:sz="0" w:space="0" w:color="auto"/>
              </w:divBdr>
            </w:div>
          </w:divsChild>
        </w:div>
        <w:div w:id="612633706">
          <w:marLeft w:val="0"/>
          <w:marRight w:val="0"/>
          <w:marTop w:val="0"/>
          <w:marBottom w:val="0"/>
          <w:divBdr>
            <w:top w:val="none" w:sz="0" w:space="0" w:color="auto"/>
            <w:left w:val="none" w:sz="0" w:space="0" w:color="auto"/>
            <w:bottom w:val="none" w:sz="0" w:space="0" w:color="auto"/>
            <w:right w:val="none" w:sz="0" w:space="0" w:color="auto"/>
          </w:divBdr>
          <w:divsChild>
            <w:div w:id="1608734603">
              <w:marLeft w:val="0"/>
              <w:marRight w:val="0"/>
              <w:marTop w:val="0"/>
              <w:marBottom w:val="0"/>
              <w:divBdr>
                <w:top w:val="none" w:sz="0" w:space="0" w:color="auto"/>
                <w:left w:val="none" w:sz="0" w:space="0" w:color="auto"/>
                <w:bottom w:val="none" w:sz="0" w:space="0" w:color="auto"/>
                <w:right w:val="none" w:sz="0" w:space="0" w:color="auto"/>
              </w:divBdr>
            </w:div>
          </w:divsChild>
        </w:div>
        <w:div w:id="12196665">
          <w:marLeft w:val="0"/>
          <w:marRight w:val="0"/>
          <w:marTop w:val="0"/>
          <w:marBottom w:val="0"/>
          <w:divBdr>
            <w:top w:val="none" w:sz="0" w:space="0" w:color="auto"/>
            <w:left w:val="none" w:sz="0" w:space="0" w:color="auto"/>
            <w:bottom w:val="none" w:sz="0" w:space="0" w:color="auto"/>
            <w:right w:val="none" w:sz="0" w:space="0" w:color="auto"/>
          </w:divBdr>
          <w:divsChild>
            <w:div w:id="1089230624">
              <w:marLeft w:val="0"/>
              <w:marRight w:val="0"/>
              <w:marTop w:val="0"/>
              <w:marBottom w:val="0"/>
              <w:divBdr>
                <w:top w:val="none" w:sz="0" w:space="0" w:color="auto"/>
                <w:left w:val="none" w:sz="0" w:space="0" w:color="auto"/>
                <w:bottom w:val="none" w:sz="0" w:space="0" w:color="auto"/>
                <w:right w:val="none" w:sz="0" w:space="0" w:color="auto"/>
              </w:divBdr>
            </w:div>
          </w:divsChild>
        </w:div>
        <w:div w:id="65540128">
          <w:marLeft w:val="0"/>
          <w:marRight w:val="0"/>
          <w:marTop w:val="0"/>
          <w:marBottom w:val="0"/>
          <w:divBdr>
            <w:top w:val="none" w:sz="0" w:space="0" w:color="auto"/>
            <w:left w:val="none" w:sz="0" w:space="0" w:color="auto"/>
            <w:bottom w:val="none" w:sz="0" w:space="0" w:color="auto"/>
            <w:right w:val="none" w:sz="0" w:space="0" w:color="auto"/>
          </w:divBdr>
          <w:divsChild>
            <w:div w:id="20797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10158</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Manuel Peñaloza Iturrieta</dc:creator>
  <cp:keywords/>
  <dc:description/>
  <cp:lastModifiedBy>Rocio Toro Rodriguez</cp:lastModifiedBy>
  <cp:revision>2</cp:revision>
  <dcterms:created xsi:type="dcterms:W3CDTF">2025-03-19T14:28:00Z</dcterms:created>
  <dcterms:modified xsi:type="dcterms:W3CDTF">2025-03-19T14:28:00Z</dcterms:modified>
</cp:coreProperties>
</file>