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9E65D" w14:textId="456FC938" w:rsidR="00DA1967" w:rsidRPr="00E51927" w:rsidRDefault="00DA1967" w:rsidP="00DA1967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16489" wp14:editId="47DA9756">
                <wp:simplePos x="0" y="0"/>
                <wp:positionH relativeFrom="column">
                  <wp:posOffset>-1123950</wp:posOffset>
                </wp:positionH>
                <wp:positionV relativeFrom="paragraph">
                  <wp:posOffset>-100965</wp:posOffset>
                </wp:positionV>
                <wp:extent cx="99123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C6C4D" w14:textId="77777777" w:rsidR="00DA1967" w:rsidRPr="004973CD" w:rsidRDefault="00DA1967" w:rsidP="00DA196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rp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/fgp</w:t>
                            </w:r>
                          </w:p>
                          <w:p w14:paraId="05438FEE" w14:textId="37207928" w:rsidR="00DA1967" w:rsidRPr="00E97014" w:rsidRDefault="00DA1967" w:rsidP="00DA1967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9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  <w:r w:rsidRPr="004973CD">
                              <w:rPr>
                                <w:rFonts w:ascii="*Courier New-3308-Identity-H" w:hAnsi="*Courier New-3308-Identity-H" w:cs="*Courier New-3308-Identity-H"/>
                                <w:color w:val="535353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/37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4973CD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E1648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8.5pt;margin-top:-7.95pt;width:78.05pt;height:25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" filled="f" stroked="f">
                <v:textbox style="mso-fit-shape-to-text:t">
                  <w:txbxContent>
                    <w:p w14:paraId="2A2C6C4D" w14:textId="77777777" w:rsidR="00DA1967" w:rsidRPr="004973CD" w:rsidRDefault="00DA1967" w:rsidP="00DA1967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rp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/fgp</w:t>
                      </w:r>
                    </w:p>
                    <w:p w14:paraId="05438FEE" w14:textId="37207928" w:rsidR="00DA1967" w:rsidRPr="00E97014" w:rsidRDefault="00DA1967" w:rsidP="00DA1967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</w:pP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9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  <w:r w:rsidRPr="004973CD">
                        <w:rPr>
                          <w:rFonts w:ascii="*Courier New-3308-Identity-H" w:hAnsi="*Courier New-3308-Identity-H" w:cs="*Courier New-3308-Identity-H"/>
                          <w:color w:val="535353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/37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4973CD">
                        <w:rPr>
                          <w:rFonts w:ascii="Courier New" w:hAnsi="Courier New" w:cs="Courier New"/>
                          <w:sz w:val="16"/>
                          <w:szCs w:val="16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B66892">
        <w:rPr>
          <w:rFonts w:ascii="Courier New" w:hAnsi="Courier New" w:cs="Courier New"/>
          <w:sz w:val="24"/>
          <w:szCs w:val="24"/>
        </w:rPr>
        <w:t xml:space="preserve">Oficio N° </w:t>
      </w:r>
      <w:r>
        <w:rPr>
          <w:rFonts w:ascii="Courier New" w:hAnsi="Courier New" w:cs="Courier New"/>
          <w:sz w:val="24"/>
          <w:szCs w:val="24"/>
        </w:rPr>
        <w:t>20.</w:t>
      </w:r>
      <w:r w:rsidR="002E7EAB">
        <w:rPr>
          <w:rFonts w:ascii="Courier New" w:hAnsi="Courier New" w:cs="Courier New"/>
          <w:sz w:val="24"/>
          <w:szCs w:val="24"/>
        </w:rPr>
        <w:t>307</w:t>
      </w:r>
    </w:p>
    <w:p w14:paraId="02976FAE" w14:textId="77777777" w:rsidR="00DA1967" w:rsidRDefault="00DA1967" w:rsidP="00DA1967">
      <w:pPr>
        <w:spacing w:line="360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6A41D49" w14:textId="34E1500F" w:rsidR="00DA1967" w:rsidRPr="00E51927" w:rsidRDefault="00DA1967" w:rsidP="00DA1967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VALPARAÍSO, 7 de abril de 2025.</w:t>
      </w:r>
    </w:p>
    <w:p w14:paraId="61044067" w14:textId="77777777" w:rsidR="00DA1967" w:rsidRDefault="00DA1967" w:rsidP="00DA1967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B2799CE" w14:textId="77777777" w:rsidR="00DA1967" w:rsidRDefault="00DA1967" w:rsidP="00DA1967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44620E" w14:textId="16E12260" w:rsidR="00DA1967" w:rsidRPr="00353C68" w:rsidRDefault="00DA1967" w:rsidP="00DA1967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178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Pr="00BA7A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proyecto de ley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que modifica la Ley General de Telecomunicaciones para facultar el retiro del cableado aéreo en desuso por parte de las municipalidades, correspondiente al boletín N° 17.042-15.</w:t>
      </w:r>
    </w:p>
    <w:p w14:paraId="0F72946C" w14:textId="77777777" w:rsidR="00DA1967" w:rsidRPr="00353C68" w:rsidRDefault="00DA1967" w:rsidP="00DA1967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9B4A4D6" w14:textId="77777777" w:rsidR="00DA1967" w:rsidRPr="00353C68" w:rsidRDefault="00DA1967" w:rsidP="00DA1967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B057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indicaciones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que se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transcriben</w:t>
      </w:r>
      <w:r w:rsidRPr="00CF7E4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</w:t>
      </w:r>
      <w:r w:rsidRPr="006640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totalidad de los antecedentes para que la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comisión que US. preside emita el segundo informe, de conformidad con lo estatuido en el inciso cuarto del artículo 130 del reglamento de la Corporación.</w:t>
      </w:r>
    </w:p>
    <w:p w14:paraId="62248905" w14:textId="77777777" w:rsidR="00DA1967" w:rsidRDefault="00DA1967" w:rsidP="00DA1967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EA97882" w14:textId="54E23BB4" w:rsidR="00DA1967" w:rsidRDefault="00DA1967" w:rsidP="00DA1967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a US. que la Sala aprobó en general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 proyecto de ley por</w:t>
      </w:r>
      <w:r w:rsidR="00933A8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8E49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122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favor, 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respecto de un total de 15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Pr="009C710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diputadas y diputados en ejercicio.</w:t>
      </w:r>
    </w:p>
    <w:p w14:paraId="3680D816" w14:textId="77777777" w:rsidR="00DA1967" w:rsidRDefault="00DA1967" w:rsidP="00DA1967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7EE9B10" w14:textId="7406B555" w:rsidR="00DA1967" w:rsidRPr="00353C68" w:rsidRDefault="00DA1967" w:rsidP="00DA1967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a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US., por orden de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Presidente </w:t>
      </w:r>
      <w:r w:rsidRPr="00A21AB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 la Cámara</w:t>
      </w:r>
      <w:r w:rsidRPr="00353C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Diputados.</w:t>
      </w:r>
    </w:p>
    <w:p w14:paraId="67BF6AD5" w14:textId="77777777" w:rsidR="00DA1967" w:rsidRPr="00E97014" w:rsidRDefault="00DA1967" w:rsidP="00DA1967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ECA798" wp14:editId="3CE63488">
            <wp:simplePos x="0" y="0"/>
            <wp:positionH relativeFrom="column">
              <wp:posOffset>1277620</wp:posOffset>
            </wp:positionH>
            <wp:positionV relativeFrom="paragraph">
              <wp:posOffset>53340</wp:posOffset>
            </wp:positionV>
            <wp:extent cx="2247900" cy="1800225"/>
            <wp:effectExtent l="0" t="0" r="0" b="9525"/>
            <wp:wrapNone/>
            <wp:docPr id="214808358" name="Imagen 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808358" name="Imagen 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726C29" w14:textId="77777777" w:rsidR="00DA1967" w:rsidRDefault="00DA1967" w:rsidP="00DA1967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01AC2143" w14:textId="77777777" w:rsidR="00DA1967" w:rsidRPr="00E97014" w:rsidRDefault="00DA1967" w:rsidP="00DA1967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384BBF1" w14:textId="77777777" w:rsidR="00DA1967" w:rsidRPr="00E97014" w:rsidRDefault="00DA1967" w:rsidP="00DA1967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7A15BA" wp14:editId="74A075FB">
            <wp:simplePos x="0" y="0"/>
            <wp:positionH relativeFrom="column">
              <wp:posOffset>4069715</wp:posOffset>
            </wp:positionH>
            <wp:positionV relativeFrom="paragraph">
              <wp:posOffset>8206105</wp:posOffset>
            </wp:positionV>
            <wp:extent cx="3095625" cy="1800225"/>
            <wp:effectExtent l="0" t="0" r="0" b="0"/>
            <wp:wrapNone/>
            <wp:docPr id="724986086" name="Imagen 1" descr="j_sm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Imagen" descr="j_smo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AD3A9" w14:textId="77777777" w:rsidR="00DA1967" w:rsidRPr="00E97014" w:rsidRDefault="00DA1967" w:rsidP="00DA1967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406D356" w14:textId="77777777" w:rsidR="00DA1967" w:rsidRPr="00285D5B" w:rsidRDefault="00DA1967" w:rsidP="00DA1967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285D5B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54E65505" w14:textId="77777777" w:rsidR="00DA1967" w:rsidRPr="00285D5B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285D5B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2358854C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15FE7E57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F419F41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3875DAC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B218041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3F41FF53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1ECF874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B046A28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3696F93" w14:textId="77777777" w:rsidR="00DA1967" w:rsidRDefault="00DA1967" w:rsidP="00DA1967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15E950E8" w14:textId="2FE84288" w:rsidR="002B5AB0" w:rsidRDefault="00DA1967" w:rsidP="00DA196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>
        <w:rPr>
          <w:rFonts w:ascii="Courier New" w:hAnsi="Courier New" w:cs="Courier New"/>
          <w:b/>
          <w:sz w:val="24"/>
          <w:szCs w:val="24"/>
          <w:lang w:val="es-MX"/>
        </w:rPr>
        <w:t xml:space="preserve">AL PRESIDENTE DE LA </w:t>
      </w:r>
      <w:r w:rsidRPr="008E5792">
        <w:rPr>
          <w:rFonts w:ascii="Courier New" w:hAnsi="Courier New" w:cs="Courier New"/>
          <w:b/>
          <w:sz w:val="24"/>
          <w:szCs w:val="24"/>
          <w:lang w:val="es-MX"/>
        </w:rPr>
        <w:t xml:space="preserve">COMISIÓN </w:t>
      </w:r>
      <w:r>
        <w:rPr>
          <w:rFonts w:ascii="Courier New" w:hAnsi="Courier New" w:cs="Courier New"/>
          <w:b/>
          <w:sz w:val="24"/>
          <w:szCs w:val="24"/>
          <w:lang w:val="es-MX"/>
        </w:rPr>
        <w:t>DE OBRAS PÚBLICAS, TRANSPORTES Y TELECOMUNICACIONES</w:t>
      </w:r>
    </w:p>
    <w:p w14:paraId="119BA631" w14:textId="77777777" w:rsidR="0029171D" w:rsidRDefault="0029171D" w:rsidP="00DA196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0385364B" w14:textId="77777777" w:rsidR="0029171D" w:rsidRDefault="0029171D" w:rsidP="00DA196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6843519E" w14:textId="77777777" w:rsidR="0029171D" w:rsidRDefault="0029171D" w:rsidP="00DA196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63D88523" w14:textId="77777777" w:rsidR="0029171D" w:rsidRDefault="0029171D" w:rsidP="00DA196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1F1688FA" w14:textId="77777777" w:rsidR="0029171D" w:rsidRDefault="0029171D" w:rsidP="00DA196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75D94EE9" w14:textId="77777777" w:rsidR="0029171D" w:rsidRDefault="0029171D" w:rsidP="00DA196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3F71A2FF" w14:textId="77777777" w:rsidR="0029171D" w:rsidRDefault="0029171D" w:rsidP="00DA1967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20E45E44" w14:textId="63FAA679" w:rsidR="0029171D" w:rsidRPr="0029171D" w:rsidRDefault="0029171D" w:rsidP="00DA1967">
      <w:pPr>
        <w:pStyle w:val="Piedepgina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  <w:r w:rsidRPr="0029171D">
        <w:rPr>
          <w:rFonts w:ascii="Courier New" w:hAnsi="Courier New" w:cs="Courier New"/>
          <w:bCs/>
          <w:sz w:val="24"/>
          <w:szCs w:val="24"/>
          <w:lang w:val="es-MX"/>
        </w:rPr>
        <w:lastRenderedPageBreak/>
        <w:t xml:space="preserve">INDICACIONES AL PROYECTO DE LEY QUE MODIFICA LA LEY GENERAL DE TELECOMUNICACIONES PARA FACULTAR EL RETIRO DE CABLEADO AÉREO EN DESUSO POR PARTE DE LAS MUNICIPALIDADES </w:t>
      </w:r>
    </w:p>
    <w:p w14:paraId="793BF869" w14:textId="77777777" w:rsidR="0029171D" w:rsidRPr="0029171D" w:rsidRDefault="0029171D" w:rsidP="00DA1967">
      <w:pPr>
        <w:pStyle w:val="Piedepgina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358C387F" w14:textId="78E78C0D" w:rsidR="0029171D" w:rsidRDefault="0029171D" w:rsidP="0029171D">
      <w:pPr>
        <w:pStyle w:val="Piedepgina"/>
        <w:jc w:val="right"/>
        <w:rPr>
          <w:rFonts w:ascii="Courier New" w:hAnsi="Courier New" w:cs="Courier New"/>
          <w:bCs/>
          <w:sz w:val="24"/>
          <w:szCs w:val="24"/>
          <w:lang w:val="es-MX"/>
        </w:rPr>
      </w:pPr>
      <w:r w:rsidRPr="0029171D">
        <w:rPr>
          <w:rFonts w:ascii="Courier New" w:hAnsi="Courier New" w:cs="Courier New"/>
          <w:bCs/>
          <w:sz w:val="24"/>
          <w:szCs w:val="24"/>
          <w:lang w:val="es-MX"/>
        </w:rPr>
        <w:t>Boletín N° 17.042-15</w:t>
      </w:r>
    </w:p>
    <w:p w14:paraId="458F8FEC" w14:textId="77777777" w:rsidR="0029171D" w:rsidRDefault="0029171D" w:rsidP="0029171D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5EBB179F" w14:textId="77777777" w:rsidR="00726045" w:rsidRDefault="00726045" w:rsidP="0029171D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56F1E796" w14:textId="77777777" w:rsidR="0029171D" w:rsidRDefault="0029171D" w:rsidP="0029171D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6D9CCC46" w14:textId="164102D4" w:rsidR="0029171D" w:rsidRPr="0029171D" w:rsidRDefault="0029171D" w:rsidP="0029171D">
      <w:pPr>
        <w:pStyle w:val="Piedepgina"/>
        <w:jc w:val="center"/>
        <w:rPr>
          <w:rFonts w:ascii="Courier New" w:hAnsi="Courier New" w:cs="Courier New"/>
          <w:b/>
          <w:sz w:val="24"/>
          <w:szCs w:val="24"/>
          <w:lang w:val="es-MX"/>
        </w:rPr>
      </w:pPr>
      <w:r w:rsidRPr="0029171D">
        <w:rPr>
          <w:rFonts w:ascii="Courier New" w:hAnsi="Courier New" w:cs="Courier New"/>
          <w:b/>
          <w:sz w:val="24"/>
          <w:szCs w:val="24"/>
          <w:lang w:val="es-MX"/>
        </w:rPr>
        <w:t>AL ARTÍCULO ÚNICO</w:t>
      </w:r>
    </w:p>
    <w:p w14:paraId="10CE26BE" w14:textId="77777777" w:rsidR="0029171D" w:rsidRPr="0029171D" w:rsidRDefault="0029171D" w:rsidP="0029171D">
      <w:pPr>
        <w:pStyle w:val="Piedepgina"/>
        <w:jc w:val="center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5176DB71" w14:textId="06E8172F" w:rsidR="0029171D" w:rsidRDefault="0029171D" w:rsidP="0029171D">
      <w:pPr>
        <w:pStyle w:val="Piedepgina"/>
        <w:jc w:val="center"/>
        <w:rPr>
          <w:rFonts w:ascii="Courier New" w:hAnsi="Courier New" w:cs="Courier New"/>
          <w:b/>
          <w:sz w:val="24"/>
          <w:szCs w:val="24"/>
          <w:lang w:val="es-MX"/>
        </w:rPr>
      </w:pPr>
      <w:r w:rsidRPr="0029171D">
        <w:rPr>
          <w:rFonts w:ascii="Courier New" w:hAnsi="Courier New" w:cs="Courier New"/>
          <w:b/>
          <w:sz w:val="24"/>
          <w:szCs w:val="24"/>
          <w:lang w:val="es-MX"/>
        </w:rPr>
        <w:t>Inciso décimo segundo propuesto</w:t>
      </w:r>
    </w:p>
    <w:p w14:paraId="6CAF8357" w14:textId="77777777" w:rsidR="00726045" w:rsidRDefault="00726045" w:rsidP="0029171D">
      <w:pPr>
        <w:pStyle w:val="Piedepgina"/>
        <w:jc w:val="center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03B09EF4" w14:textId="77777777" w:rsidR="00726045" w:rsidRDefault="00726045" w:rsidP="0029171D">
      <w:pPr>
        <w:pStyle w:val="Piedepgina"/>
        <w:jc w:val="center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4CD76AE4" w14:textId="49CD35ED" w:rsidR="00726045" w:rsidRDefault="00726045" w:rsidP="00726045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  <w:r>
        <w:rPr>
          <w:rFonts w:ascii="Courier New" w:hAnsi="Courier New" w:cs="Courier New"/>
          <w:bCs/>
          <w:sz w:val="24"/>
          <w:szCs w:val="24"/>
          <w:lang w:val="es-MX"/>
        </w:rPr>
        <w:t>- De la diputada Ana María Gazmuri Vieira:</w:t>
      </w:r>
    </w:p>
    <w:p w14:paraId="0ACB1FCE" w14:textId="77777777" w:rsidR="0029171D" w:rsidRDefault="0029171D" w:rsidP="0029171D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36A208EC" w14:textId="6D18AF36" w:rsidR="0029171D" w:rsidRPr="0029171D" w:rsidRDefault="0029171D" w:rsidP="0029171D">
      <w:pPr>
        <w:pStyle w:val="Piedepgina"/>
        <w:ind w:firstLine="851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  <w:r w:rsidRPr="0029171D">
        <w:rPr>
          <w:rFonts w:ascii="Courier New" w:hAnsi="Courier New" w:cs="Courier New"/>
          <w:bCs/>
          <w:sz w:val="24"/>
          <w:szCs w:val="24"/>
          <w:lang w:val="es-MX"/>
        </w:rPr>
        <w:t xml:space="preserve">Para incorporar, luego del punto </w:t>
      </w:r>
      <w:r w:rsidR="00527126">
        <w:rPr>
          <w:rFonts w:ascii="Courier New" w:hAnsi="Courier New" w:cs="Courier New"/>
          <w:bCs/>
          <w:sz w:val="24"/>
          <w:szCs w:val="24"/>
          <w:lang w:val="es-MX"/>
        </w:rPr>
        <w:t xml:space="preserve">y 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>aparte, que</w:t>
      </w:r>
      <w:r>
        <w:rPr>
          <w:rFonts w:ascii="Courier New" w:hAnsi="Courier New" w:cs="Courier New"/>
          <w:bCs/>
          <w:sz w:val="24"/>
          <w:szCs w:val="24"/>
          <w:lang w:val="es-MX"/>
        </w:rPr>
        <w:t xml:space="preserve"> 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 xml:space="preserve">pasa a ser </w:t>
      </w:r>
      <w:r w:rsidR="00527126">
        <w:rPr>
          <w:rFonts w:ascii="Courier New" w:hAnsi="Courier New" w:cs="Courier New"/>
          <w:bCs/>
          <w:sz w:val="24"/>
          <w:szCs w:val="24"/>
          <w:lang w:val="es-MX"/>
        </w:rPr>
        <w:t xml:space="preserve">punto y 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 xml:space="preserve">seguido, </w:t>
      </w:r>
      <w:r>
        <w:rPr>
          <w:rFonts w:ascii="Courier New" w:hAnsi="Courier New" w:cs="Courier New"/>
          <w:bCs/>
          <w:sz w:val="24"/>
          <w:szCs w:val="24"/>
          <w:lang w:val="es-MX"/>
        </w:rPr>
        <w:t>la siguiente oración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>:</w:t>
      </w:r>
    </w:p>
    <w:p w14:paraId="361F5DA8" w14:textId="77777777" w:rsidR="0029171D" w:rsidRDefault="0029171D" w:rsidP="0029171D">
      <w:pPr>
        <w:pStyle w:val="Piedepgina"/>
        <w:ind w:firstLine="851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690B24E4" w14:textId="4B96569B" w:rsidR="0029171D" w:rsidRDefault="0029171D" w:rsidP="0029171D">
      <w:pPr>
        <w:pStyle w:val="Piedepgina"/>
        <w:ind w:firstLine="851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  <w:r w:rsidRPr="0029171D">
        <w:rPr>
          <w:rFonts w:ascii="Courier New" w:hAnsi="Courier New" w:cs="Courier New"/>
          <w:bCs/>
          <w:sz w:val="24"/>
          <w:szCs w:val="24"/>
          <w:lang w:val="es-MX"/>
        </w:rPr>
        <w:t xml:space="preserve">“La municipalidad no será responsable por la </w:t>
      </w:r>
      <w:r>
        <w:rPr>
          <w:rFonts w:ascii="Courier New" w:hAnsi="Courier New" w:cs="Courier New"/>
          <w:bCs/>
          <w:sz w:val="24"/>
          <w:szCs w:val="24"/>
          <w:lang w:val="es-MX"/>
        </w:rPr>
        <w:t>a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>fectación de los servicios de</w:t>
      </w:r>
      <w:r>
        <w:rPr>
          <w:rFonts w:ascii="Courier New" w:hAnsi="Courier New" w:cs="Courier New"/>
          <w:bCs/>
          <w:sz w:val="24"/>
          <w:szCs w:val="24"/>
          <w:lang w:val="es-MX"/>
        </w:rPr>
        <w:t xml:space="preserve"> 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>telecomunicaciones en que pudiera incurrirse por la acción del retiro de las líneas</w:t>
      </w:r>
      <w:r>
        <w:rPr>
          <w:rFonts w:ascii="Courier New" w:hAnsi="Courier New" w:cs="Courier New"/>
          <w:bCs/>
          <w:sz w:val="24"/>
          <w:szCs w:val="24"/>
          <w:lang w:val="es-MX"/>
        </w:rPr>
        <w:t xml:space="preserve"> 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>aéreas, subterráneas u otros elementos de la red, realizado conforme a la presente</w:t>
      </w:r>
      <w:r>
        <w:rPr>
          <w:rFonts w:ascii="Courier New" w:hAnsi="Courier New" w:cs="Courier New"/>
          <w:bCs/>
          <w:sz w:val="24"/>
          <w:szCs w:val="24"/>
          <w:lang w:val="es-MX"/>
        </w:rPr>
        <w:t xml:space="preserve"> 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>disposición y de acuerdo al procedimiento establecido en la letra b) del artículo 24 de la</w:t>
      </w:r>
      <w:r>
        <w:rPr>
          <w:rFonts w:ascii="Courier New" w:hAnsi="Courier New" w:cs="Courier New"/>
          <w:bCs/>
          <w:sz w:val="24"/>
          <w:szCs w:val="24"/>
          <w:lang w:val="es-MX"/>
        </w:rPr>
        <w:t xml:space="preserve"> 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 xml:space="preserve">presente ley, que será </w:t>
      </w:r>
      <w:r>
        <w:rPr>
          <w:rFonts w:ascii="Courier New" w:hAnsi="Courier New" w:cs="Courier New"/>
          <w:bCs/>
          <w:sz w:val="24"/>
          <w:szCs w:val="24"/>
          <w:lang w:val="es-MX"/>
        </w:rPr>
        <w:t>r</w:t>
      </w:r>
      <w:r w:rsidRPr="0029171D">
        <w:rPr>
          <w:rFonts w:ascii="Courier New" w:hAnsi="Courier New" w:cs="Courier New"/>
          <w:bCs/>
          <w:sz w:val="24"/>
          <w:szCs w:val="24"/>
          <w:lang w:val="es-MX"/>
        </w:rPr>
        <w:t>esponsabilidad de la o las concesionarias o permisionarias</w:t>
      </w:r>
      <w:r>
        <w:rPr>
          <w:rFonts w:ascii="Courier New" w:hAnsi="Courier New" w:cs="Courier New"/>
          <w:bCs/>
          <w:sz w:val="24"/>
          <w:szCs w:val="24"/>
          <w:lang w:val="es-MX"/>
        </w:rPr>
        <w:t>.”.</w:t>
      </w:r>
    </w:p>
    <w:p w14:paraId="0101FD4E" w14:textId="77777777" w:rsidR="0029171D" w:rsidRDefault="0029171D" w:rsidP="0029171D">
      <w:pPr>
        <w:pStyle w:val="Piedepgina"/>
        <w:ind w:firstLine="851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02DA4586" w14:textId="2DBE6F5A" w:rsidR="0029171D" w:rsidRDefault="0029171D" w:rsidP="0029171D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6BF7197E" w14:textId="34895B53" w:rsidR="0029171D" w:rsidRPr="0029171D" w:rsidRDefault="0029171D" w:rsidP="0029171D">
      <w:pPr>
        <w:pStyle w:val="Piedepgina"/>
        <w:jc w:val="center"/>
        <w:rPr>
          <w:rFonts w:ascii="Courier New" w:hAnsi="Courier New" w:cs="Courier New"/>
          <w:b/>
          <w:sz w:val="24"/>
          <w:szCs w:val="24"/>
          <w:lang w:val="es-MX"/>
        </w:rPr>
      </w:pPr>
      <w:r w:rsidRPr="0029171D">
        <w:rPr>
          <w:rFonts w:ascii="Courier New" w:hAnsi="Courier New" w:cs="Courier New"/>
          <w:b/>
          <w:sz w:val="24"/>
          <w:szCs w:val="24"/>
          <w:lang w:val="es-MX"/>
        </w:rPr>
        <w:t>ARTÍCULO 2, NUEVO</w:t>
      </w:r>
    </w:p>
    <w:p w14:paraId="3E88393E" w14:textId="77777777" w:rsidR="0029171D" w:rsidRDefault="0029171D" w:rsidP="0029171D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1EA65456" w14:textId="609A993E" w:rsidR="00726045" w:rsidRDefault="00726045" w:rsidP="00726045">
      <w:pPr>
        <w:pStyle w:val="Piedepgina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  <w:r>
        <w:rPr>
          <w:rFonts w:ascii="Courier New" w:hAnsi="Courier New" w:cs="Courier New"/>
          <w:bCs/>
          <w:sz w:val="24"/>
          <w:szCs w:val="24"/>
          <w:lang w:val="es-MX"/>
        </w:rPr>
        <w:t>- De los diputados Miguel Mellado y Jaime Sáez:</w:t>
      </w:r>
    </w:p>
    <w:p w14:paraId="6C74BF2D" w14:textId="77777777" w:rsidR="00726045" w:rsidRDefault="00726045" w:rsidP="0029171D">
      <w:pPr>
        <w:pStyle w:val="Piedepgina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1D5E0D22" w14:textId="77777777" w:rsidR="00726045" w:rsidRDefault="0029171D" w:rsidP="00726045">
      <w:pPr>
        <w:pStyle w:val="Piedepgina"/>
        <w:ind w:firstLine="1134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  <w:r>
        <w:rPr>
          <w:rFonts w:ascii="Courier New" w:hAnsi="Courier New" w:cs="Courier New"/>
          <w:bCs/>
          <w:sz w:val="24"/>
          <w:szCs w:val="24"/>
          <w:lang w:val="es-MX"/>
        </w:rPr>
        <w:t>Para incorporar el siguiente artículo 2, nuevo:</w:t>
      </w:r>
    </w:p>
    <w:p w14:paraId="496F8592" w14:textId="77777777" w:rsidR="00726045" w:rsidRDefault="00726045" w:rsidP="00726045">
      <w:pPr>
        <w:pStyle w:val="Piedepgina"/>
        <w:ind w:firstLine="1134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323F3BB2" w14:textId="06416FC6" w:rsidR="00726045" w:rsidRPr="00726045" w:rsidRDefault="00726045" w:rsidP="00726045">
      <w:pPr>
        <w:pStyle w:val="Piedepgina"/>
        <w:ind w:firstLine="1134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  <w:r w:rsidRPr="00726045">
        <w:rPr>
          <w:rFonts w:ascii="Courier New" w:hAnsi="Courier New" w:cs="Courier New"/>
          <w:bCs/>
          <w:sz w:val="24"/>
          <w:szCs w:val="24"/>
          <w:lang w:val="es-MX"/>
        </w:rPr>
        <w:t xml:space="preserve">“Artículo 2.- En la ley N° 21.720 que prohíbe la fabricación, comercialización, adquisición, </w:t>
      </w:r>
      <w:r>
        <w:rPr>
          <w:rFonts w:ascii="Courier New" w:hAnsi="Courier New" w:cs="Courier New"/>
          <w:bCs/>
          <w:sz w:val="24"/>
          <w:szCs w:val="24"/>
          <w:lang w:val="es-MX"/>
        </w:rPr>
        <w:t>e</w:t>
      </w:r>
      <w:r w:rsidRPr="00726045">
        <w:rPr>
          <w:rFonts w:ascii="Courier New" w:hAnsi="Courier New" w:cs="Courier New"/>
          <w:bCs/>
          <w:sz w:val="24"/>
          <w:szCs w:val="24"/>
          <w:lang w:val="es-MX"/>
        </w:rPr>
        <w:t xml:space="preserve">xportación, utilización, tenencia y porte de dispositivos electrónicos aptos para interceptar, interferir o interrumpir cualquier tipo de se señal que se emita a través de un servicio de telecomunicaciones, y establece sanciones en caso de incumplimiento: </w:t>
      </w:r>
    </w:p>
    <w:p w14:paraId="3EE1DD14" w14:textId="77777777" w:rsidR="00726045" w:rsidRPr="00726045" w:rsidRDefault="00726045" w:rsidP="00726045">
      <w:pPr>
        <w:pStyle w:val="Piedepgina"/>
        <w:ind w:firstLine="1134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79EB11B1" w14:textId="77777777" w:rsidR="00726045" w:rsidRPr="00726045" w:rsidRDefault="00726045" w:rsidP="00726045">
      <w:pPr>
        <w:pStyle w:val="Piedepgina"/>
        <w:ind w:firstLine="1134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  <w:r w:rsidRPr="00726045">
        <w:rPr>
          <w:rFonts w:ascii="Courier New" w:hAnsi="Courier New" w:cs="Courier New"/>
          <w:bCs/>
          <w:sz w:val="24"/>
          <w:szCs w:val="24"/>
          <w:lang w:val="es-MX"/>
        </w:rPr>
        <w:t xml:space="preserve">1. Reemplázase en el artículo único la expresión “h)” por “i)” las dos veces que aparece en el texto. </w:t>
      </w:r>
    </w:p>
    <w:p w14:paraId="4A12B3CD" w14:textId="77777777" w:rsidR="00726045" w:rsidRPr="00726045" w:rsidRDefault="00726045" w:rsidP="00726045">
      <w:pPr>
        <w:pStyle w:val="Piedepgina"/>
        <w:ind w:firstLine="1134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</w:p>
    <w:p w14:paraId="6D70977D" w14:textId="4A88AD18" w:rsidR="0029171D" w:rsidRPr="0029171D" w:rsidRDefault="00726045" w:rsidP="00726045">
      <w:pPr>
        <w:pStyle w:val="Piedepgina"/>
        <w:ind w:firstLine="1134"/>
        <w:jc w:val="both"/>
        <w:rPr>
          <w:rFonts w:ascii="Courier New" w:hAnsi="Courier New" w:cs="Courier New"/>
          <w:bCs/>
          <w:sz w:val="24"/>
          <w:szCs w:val="24"/>
          <w:lang w:val="es-MX"/>
        </w:rPr>
      </w:pPr>
      <w:r w:rsidRPr="00726045">
        <w:rPr>
          <w:rFonts w:ascii="Courier New" w:hAnsi="Courier New" w:cs="Courier New"/>
          <w:bCs/>
          <w:sz w:val="24"/>
          <w:szCs w:val="24"/>
          <w:lang w:val="es-MX"/>
        </w:rPr>
        <w:t>2. Sustitúyese en el artículo primero transitorio la expresión “h)” por “i)””.</w:t>
      </w:r>
    </w:p>
    <w:sectPr w:rsidR="0029171D" w:rsidRPr="0029171D" w:rsidSect="00DA1967">
      <w:headerReference w:type="default" r:id="rId11"/>
      <w:headerReference w:type="first" r:id="rId12"/>
      <w:pgSz w:w="12242" w:h="18722" w:code="141"/>
      <w:pgMar w:top="2410" w:right="1701" w:bottom="851" w:left="2835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F360D" w14:textId="77777777" w:rsidR="00A30286" w:rsidRDefault="00A30286">
      <w:r>
        <w:separator/>
      </w:r>
    </w:p>
  </w:endnote>
  <w:endnote w:type="continuationSeparator" w:id="0">
    <w:p w14:paraId="3F74D022" w14:textId="77777777" w:rsidR="00A30286" w:rsidRDefault="00A3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99DFB" w14:textId="77777777" w:rsidR="00A30286" w:rsidRDefault="00A30286">
      <w:r>
        <w:separator/>
      </w:r>
    </w:p>
  </w:footnote>
  <w:footnote w:type="continuationSeparator" w:id="0">
    <w:p w14:paraId="1F9848C3" w14:textId="77777777" w:rsidR="00A30286" w:rsidRDefault="00A30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B1039" w14:textId="77777777" w:rsidR="00726045" w:rsidRDefault="00726045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510A463A" w14:textId="77777777" w:rsidR="00726045" w:rsidRDefault="0072604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78941413" wp14:editId="63D31888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1868593296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0C8FF" w14:textId="77777777" w:rsidR="00726045" w:rsidRDefault="0072604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4610E85" wp14:editId="0A76DA7D">
          <wp:simplePos x="0" y="0"/>
          <wp:positionH relativeFrom="column">
            <wp:posOffset>-1068705</wp:posOffset>
          </wp:positionH>
          <wp:positionV relativeFrom="paragraph">
            <wp:posOffset>-39370</wp:posOffset>
          </wp:positionV>
          <wp:extent cx="916305" cy="914400"/>
          <wp:effectExtent l="0" t="0" r="0" b="0"/>
          <wp:wrapNone/>
          <wp:docPr id="189849043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67"/>
    <w:rsid w:val="00051F0E"/>
    <w:rsid w:val="00153B2F"/>
    <w:rsid w:val="0029171D"/>
    <w:rsid w:val="002B5AB0"/>
    <w:rsid w:val="002E7EAB"/>
    <w:rsid w:val="00470594"/>
    <w:rsid w:val="00527126"/>
    <w:rsid w:val="00544764"/>
    <w:rsid w:val="00726045"/>
    <w:rsid w:val="00870FD3"/>
    <w:rsid w:val="008E4996"/>
    <w:rsid w:val="00933A88"/>
    <w:rsid w:val="00A30286"/>
    <w:rsid w:val="00D30FAE"/>
    <w:rsid w:val="00DA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B7DA5"/>
  <w15:chartTrackingRefBased/>
  <w15:docId w15:val="{23931A59-38EC-47DF-A7C6-A538BD62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67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A19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19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19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19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19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19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19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19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19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196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19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196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196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196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19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196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19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19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A19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A1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A19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A1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19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A196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A19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A196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196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196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A1967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196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1967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A196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967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66AFE44C-4BDE-4F85-BA5E-B3B99E606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05CD9-F1FF-4C55-AFEC-011D4755B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0094F0-7CB9-4536-B58D-185A618B5E9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5</cp:revision>
  <dcterms:created xsi:type="dcterms:W3CDTF">2025-04-07T22:43:00Z</dcterms:created>
  <dcterms:modified xsi:type="dcterms:W3CDTF">2025-04-07T23:33:00Z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