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56D2" w14:textId="1139E5A3" w:rsidR="001D169F" w:rsidRPr="00B4796A" w:rsidRDefault="00000000" w:rsidP="00BF1210">
      <w:pPr>
        <w:spacing w:line="360" w:lineRule="auto"/>
        <w:ind w:firstLine="2552"/>
        <w:rPr>
          <w:rFonts w:ascii="Courier New" w:hAnsi="Courier New" w:cs="Courier New"/>
          <w:b/>
          <w:sz w:val="24"/>
          <w:szCs w:val="24"/>
        </w:rPr>
      </w:pPr>
      <w:r>
        <w:rPr>
          <w:rFonts w:ascii="Courier New" w:hAnsi="Courier New" w:cs="Courier New"/>
          <w:noProof/>
        </w:rPr>
        <w:pict w14:anchorId="5A36E73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5CF7BDAD" w14:textId="77777777" w:rsidR="002500FD" w:rsidRPr="00B4796A" w:rsidRDefault="003D5A4F" w:rsidP="002500FD">
                  <w:pPr>
                    <w:jc w:val="center"/>
                    <w:rPr>
                      <w:rFonts w:ascii="Courier New" w:hAnsi="Courier New" w:cs="Courier New"/>
                      <w:sz w:val="16"/>
                      <w:szCs w:val="16"/>
                    </w:rPr>
                  </w:pPr>
                  <w:proofErr w:type="spellStart"/>
                  <w:r w:rsidRPr="00B4796A">
                    <w:rPr>
                      <w:rFonts w:ascii="Courier New" w:hAnsi="Courier New" w:cs="Courier New"/>
                      <w:sz w:val="16"/>
                      <w:szCs w:val="16"/>
                    </w:rPr>
                    <w:t>rrp</w:t>
                  </w:r>
                  <w:proofErr w:type="spellEnd"/>
                  <w:r w:rsidR="002500FD" w:rsidRPr="00B4796A">
                    <w:rPr>
                      <w:rFonts w:ascii="Courier New" w:hAnsi="Courier New" w:cs="Courier New"/>
                      <w:sz w:val="16"/>
                      <w:szCs w:val="16"/>
                    </w:rPr>
                    <w:t>/</w:t>
                  </w:r>
                  <w:proofErr w:type="spellStart"/>
                  <w:r w:rsidR="00627C58" w:rsidRPr="00B4796A">
                    <w:rPr>
                      <w:rFonts w:ascii="Courier New" w:hAnsi="Courier New" w:cs="Courier New"/>
                      <w:sz w:val="16"/>
                      <w:szCs w:val="16"/>
                    </w:rPr>
                    <w:t>mrb</w:t>
                  </w:r>
                  <w:proofErr w:type="spellEnd"/>
                </w:p>
                <w:p w14:paraId="2734839F" w14:textId="7214718A" w:rsidR="00627C58" w:rsidRPr="00627C58" w:rsidRDefault="00CE426B" w:rsidP="002500FD">
                  <w:pPr>
                    <w:jc w:val="center"/>
                    <w:rPr>
                      <w:rFonts w:ascii="Courier New" w:hAnsi="Courier New" w:cs="Courier New"/>
                      <w:sz w:val="16"/>
                      <w:szCs w:val="16"/>
                    </w:rPr>
                  </w:pPr>
                  <w:r w:rsidRPr="008E19F8">
                    <w:rPr>
                      <w:rFonts w:ascii="Courier New" w:hAnsi="Courier New" w:cs="Courier New"/>
                      <w:sz w:val="16"/>
                      <w:szCs w:val="16"/>
                    </w:rPr>
                    <w:t>S.</w:t>
                  </w:r>
                  <w:r w:rsidR="000919D3">
                    <w:rPr>
                      <w:rFonts w:ascii="Courier New" w:hAnsi="Courier New" w:cs="Courier New"/>
                      <w:sz w:val="16"/>
                      <w:szCs w:val="16"/>
                    </w:rPr>
                    <w:t>111</w:t>
                  </w:r>
                  <w:r w:rsidR="003602BC" w:rsidRPr="008E19F8">
                    <w:rPr>
                      <w:rFonts w:ascii="Courier New" w:hAnsi="Courier New" w:cs="Courier New"/>
                      <w:sz w:val="16"/>
                      <w:szCs w:val="16"/>
                      <w:vertAlign w:val="superscript"/>
                    </w:rPr>
                    <w:t>a</w:t>
                  </w:r>
                  <w:r w:rsidRPr="008E19F8">
                    <w:rPr>
                      <w:rFonts w:ascii="Courier New" w:hAnsi="Courier New" w:cs="Courier New"/>
                      <w:sz w:val="16"/>
                      <w:szCs w:val="16"/>
                    </w:rPr>
                    <w:t>/3</w:t>
                  </w:r>
                  <w:r w:rsidR="008E19F8" w:rsidRPr="008E19F8">
                    <w:rPr>
                      <w:rFonts w:ascii="Courier New" w:hAnsi="Courier New" w:cs="Courier New"/>
                      <w:sz w:val="16"/>
                      <w:szCs w:val="16"/>
                    </w:rPr>
                    <w:t>7</w:t>
                  </w:r>
                  <w:r w:rsidR="00815D16">
                    <w:rPr>
                      <w:rFonts w:ascii="Courier New" w:hAnsi="Courier New" w:cs="Courier New"/>
                      <w:sz w:val="16"/>
                      <w:szCs w:val="16"/>
                    </w:rPr>
                    <w:t>2</w:t>
                  </w:r>
                  <w:r w:rsidR="003602BC" w:rsidRPr="008E19F8">
                    <w:rPr>
                      <w:rFonts w:ascii="Courier New" w:hAnsi="Courier New" w:cs="Courier New"/>
                      <w:sz w:val="16"/>
                      <w:szCs w:val="16"/>
                      <w:vertAlign w:val="superscript"/>
                    </w:rPr>
                    <w:t>a</w:t>
                  </w:r>
                </w:p>
              </w:txbxContent>
            </v:textbox>
          </v:shape>
        </w:pict>
      </w:r>
      <w:r w:rsidR="00644622" w:rsidRPr="00B45EFC">
        <w:rPr>
          <w:rFonts w:ascii="Courier New" w:hAnsi="Courier New" w:cs="Courier New"/>
          <w:sz w:val="24"/>
          <w:szCs w:val="24"/>
        </w:rPr>
        <w:t xml:space="preserve">Oficio </w:t>
      </w:r>
      <w:r w:rsidR="00C23ED3" w:rsidRPr="00B45EFC">
        <w:rPr>
          <w:rFonts w:ascii="Courier New" w:hAnsi="Courier New" w:cs="Courier New"/>
          <w:sz w:val="24"/>
          <w:szCs w:val="24"/>
        </w:rPr>
        <w:t xml:space="preserve">N° </w:t>
      </w:r>
      <w:r w:rsidR="000602D7" w:rsidRPr="00B45EFC">
        <w:rPr>
          <w:rFonts w:ascii="Courier New" w:hAnsi="Courier New" w:cs="Courier New"/>
          <w:sz w:val="24"/>
          <w:szCs w:val="24"/>
        </w:rPr>
        <w:t>20</w:t>
      </w:r>
      <w:r w:rsidR="00044FAF" w:rsidRPr="00B45EFC">
        <w:rPr>
          <w:rFonts w:ascii="Courier New" w:hAnsi="Courier New" w:cs="Courier New"/>
          <w:sz w:val="24"/>
          <w:szCs w:val="24"/>
        </w:rPr>
        <w:t>.</w:t>
      </w:r>
      <w:r w:rsidR="00B45EFC" w:rsidRPr="00B45EFC">
        <w:rPr>
          <w:rFonts w:ascii="Courier New" w:hAnsi="Courier New" w:cs="Courier New"/>
          <w:sz w:val="24"/>
          <w:szCs w:val="24"/>
        </w:rPr>
        <w:t>068</w:t>
      </w:r>
    </w:p>
    <w:p w14:paraId="3DFC8304" w14:textId="77777777" w:rsidR="00AB7881" w:rsidRDefault="00AB7881"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5D65FE5" w14:textId="77777777" w:rsidR="00E950B4" w:rsidRDefault="00E950B4" w:rsidP="00BF1210">
      <w:pPr>
        <w:spacing w:line="360" w:lineRule="auto"/>
        <w:ind w:firstLine="2552"/>
        <w:rPr>
          <w:rFonts w:ascii="Courier New" w:hAnsi="Courier New" w:cs="Courier New"/>
          <w:sz w:val="24"/>
          <w:szCs w:val="24"/>
        </w:rPr>
      </w:pPr>
    </w:p>
    <w:p w14:paraId="4306B0EB" w14:textId="51DED56C" w:rsidR="00C23ED3" w:rsidRPr="008676FE" w:rsidRDefault="001E7DE1" w:rsidP="00BF1210">
      <w:pPr>
        <w:spacing w:line="360" w:lineRule="auto"/>
        <w:ind w:firstLine="2552"/>
        <w:rPr>
          <w:rFonts w:ascii="Courier New" w:hAnsi="Courier New" w:cs="Courier New"/>
          <w:sz w:val="24"/>
          <w:szCs w:val="24"/>
        </w:rPr>
      </w:pPr>
      <w:r w:rsidRPr="00B4796A">
        <w:rPr>
          <w:rFonts w:ascii="Courier New" w:hAnsi="Courier New" w:cs="Courier New"/>
          <w:sz w:val="24"/>
          <w:szCs w:val="24"/>
        </w:rPr>
        <w:t>VA</w:t>
      </w:r>
      <w:r w:rsidR="00902AB7" w:rsidRPr="00B4796A">
        <w:rPr>
          <w:rFonts w:ascii="Courier New" w:hAnsi="Courier New" w:cs="Courier New"/>
          <w:sz w:val="24"/>
          <w:szCs w:val="24"/>
        </w:rPr>
        <w:t xml:space="preserve">LPARAÍSO, </w:t>
      </w:r>
      <w:r w:rsidR="005B4243" w:rsidRPr="000D0B2F">
        <w:rPr>
          <w:rFonts w:ascii="Courier New" w:hAnsi="Courier New" w:cs="Courier New"/>
          <w:sz w:val="24"/>
          <w:szCs w:val="24"/>
        </w:rPr>
        <w:t>27</w:t>
      </w:r>
      <w:r w:rsidR="00B46589" w:rsidRPr="000D0B2F">
        <w:rPr>
          <w:rFonts w:ascii="Courier New" w:hAnsi="Courier New" w:cs="Courier New"/>
          <w:sz w:val="24"/>
          <w:szCs w:val="24"/>
        </w:rPr>
        <w:t xml:space="preserve"> de </w:t>
      </w:r>
      <w:r w:rsidR="001D352D" w:rsidRPr="000D0B2F">
        <w:rPr>
          <w:rFonts w:ascii="Courier New" w:hAnsi="Courier New" w:cs="Courier New"/>
          <w:sz w:val="24"/>
          <w:szCs w:val="24"/>
        </w:rPr>
        <w:t>noviembre</w:t>
      </w:r>
      <w:r w:rsidR="00B46589" w:rsidRPr="000D0B2F">
        <w:rPr>
          <w:rFonts w:ascii="Courier New" w:hAnsi="Courier New" w:cs="Courier New"/>
          <w:sz w:val="24"/>
          <w:szCs w:val="24"/>
        </w:rPr>
        <w:t xml:space="preserve"> de 202</w:t>
      </w:r>
      <w:r w:rsidR="00021CE8">
        <w:rPr>
          <w:rFonts w:ascii="Courier New" w:hAnsi="Courier New" w:cs="Courier New"/>
          <w:sz w:val="24"/>
          <w:szCs w:val="24"/>
        </w:rPr>
        <w:t>4</w:t>
      </w:r>
    </w:p>
    <w:p w14:paraId="72BE00C2" w14:textId="77777777" w:rsidR="001C111F" w:rsidRDefault="001C111F"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7E300710" w14:textId="77777777" w:rsidR="00644622" w:rsidRDefault="00644622"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38BE2EE" w14:textId="46556AF7" w:rsidR="00CE426B" w:rsidRPr="002A0BBE" w:rsidRDefault="00000000"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r>
        <w:rPr>
          <w:rFonts w:ascii="Courier New" w:hAnsi="Courier New" w:cs="Courier New"/>
          <w:noProof/>
          <w:sz w:val="24"/>
          <w:szCs w:val="24"/>
        </w:rPr>
        <w:pict w14:anchorId="0750E168">
          <v:shape id="Text Box 2" o:spid="_x0000_s2052" type="#_x0000_t202" style="position:absolute;left:0;text-align:left;margin-left:-130.5pt;margin-top:14.45pt;width:118.7pt;height:94.2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next-textbox:#Text Box 2;mso-fit-shape-to-text:t">
              <w:txbxContent>
                <w:p w14:paraId="3002FD0E" w14:textId="227E93DE" w:rsidR="002500FD" w:rsidRPr="002500FD" w:rsidRDefault="002A0BBE" w:rsidP="002A0BBE">
                  <w:pPr>
                    <w:tabs>
                      <w:tab w:val="left" w:pos="2552"/>
                    </w:tabs>
                    <w:spacing w:line="384" w:lineRule="auto"/>
                    <w:ind w:firstLine="2552"/>
                    <w:jc w:val="center"/>
                    <w:rPr>
                      <w:rFonts w:ascii="Courier New" w:hAnsi="Courier New" w:cs="Courier New"/>
                      <w:sz w:val="24"/>
                      <w:szCs w:val="24"/>
                    </w:rPr>
                  </w:pPr>
                  <w:r w:rsidRPr="002A0BBE">
                    <w:rPr>
                      <w:rFonts w:ascii="Courier New" w:eastAsia="Times New Roman" w:hAnsi="Courier New" w:cs="Courier New"/>
                      <w:caps/>
                      <w:sz w:val="24"/>
                      <w:szCs w:val="24"/>
                      <w:lang w:val="es-ES_tradnl" w:eastAsia="es-ES"/>
                    </w:rPr>
                    <w:t>AA S.E. EL PRESIDENTE DE LA REPÚBLICA</w:t>
                  </w:r>
                </w:p>
              </w:txbxContent>
            </v:textbox>
          </v:shape>
        </w:pict>
      </w:r>
      <w:r w:rsidR="002A0BBE" w:rsidRPr="002A0BBE">
        <w:rPr>
          <w:rFonts w:ascii="Courier New" w:hAnsi="Courier New" w:cs="Courier New"/>
          <w:noProof/>
          <w:sz w:val="24"/>
          <w:szCs w:val="24"/>
        </w:rPr>
        <w:t>Tengo a honra comunicar a V.E. que el Congreso Nacional ha prestado su aprobación al proyecto de ley</w:t>
      </w:r>
      <w:r w:rsidR="00F42F73" w:rsidRPr="002A0BBE">
        <w:rPr>
          <w:rFonts w:ascii="Courier New" w:hAnsi="Courier New" w:cs="Courier New"/>
          <w:noProof/>
          <w:sz w:val="24"/>
          <w:szCs w:val="24"/>
          <w:shd w:val="clear" w:color="auto" w:fill="FFFFFF"/>
          <w:lang w:val="es-CL" w:eastAsia="es-CL"/>
        </w:rPr>
        <w:t xml:space="preserve"> </w:t>
      </w:r>
      <w:r w:rsidR="00EC7EC0" w:rsidRPr="00EC7EC0">
        <w:rPr>
          <w:rFonts w:ascii="Courier New" w:hAnsi="Courier New" w:cs="Courier New"/>
          <w:noProof/>
          <w:sz w:val="24"/>
          <w:szCs w:val="24"/>
          <w:shd w:val="clear" w:color="auto" w:fill="FFFFFF"/>
          <w:lang w:val="es-CL" w:eastAsia="es-CL"/>
        </w:rPr>
        <w:t>de Presupuestos para el Sector Público correspondiente al año 2025</w:t>
      </w:r>
      <w:r w:rsidR="001D352D" w:rsidRPr="002A0BBE">
        <w:rPr>
          <w:rFonts w:ascii="Courier New" w:hAnsi="Courier New" w:cs="Courier New"/>
          <w:noProof/>
          <w:sz w:val="24"/>
          <w:szCs w:val="24"/>
          <w:shd w:val="clear" w:color="auto" w:fill="FFFFFF"/>
          <w:lang w:val="es-CL" w:eastAsia="es-CL"/>
        </w:rPr>
        <w:t xml:space="preserve">, </w:t>
      </w:r>
      <w:r w:rsidR="003E7855" w:rsidRPr="002A0BBE">
        <w:rPr>
          <w:rFonts w:ascii="Courier New" w:hAnsi="Courier New" w:cs="Courier New"/>
          <w:noProof/>
          <w:sz w:val="24"/>
          <w:szCs w:val="24"/>
          <w:shd w:val="clear" w:color="auto" w:fill="FFFFFF"/>
          <w:lang w:val="es-CL" w:eastAsia="es-CL"/>
        </w:rPr>
        <w:t>boletín</w:t>
      </w:r>
      <w:r w:rsidR="001D352D" w:rsidRPr="002A0BBE">
        <w:rPr>
          <w:rFonts w:ascii="Courier New" w:hAnsi="Courier New" w:cs="Courier New"/>
          <w:noProof/>
          <w:sz w:val="24"/>
          <w:szCs w:val="24"/>
          <w:shd w:val="clear" w:color="auto" w:fill="FFFFFF"/>
          <w:lang w:val="es-CL" w:eastAsia="es-CL"/>
        </w:rPr>
        <w:t xml:space="preserve"> N° </w:t>
      </w:r>
      <w:r w:rsidR="0072547E">
        <w:rPr>
          <w:rFonts w:ascii="Courier New" w:hAnsi="Courier New" w:cs="Courier New"/>
          <w:noProof/>
          <w:sz w:val="24"/>
          <w:szCs w:val="24"/>
          <w:shd w:val="clear" w:color="auto" w:fill="FFFFFF"/>
          <w:lang w:val="es-CL" w:eastAsia="es-CL"/>
        </w:rPr>
        <w:t>17.142</w:t>
      </w:r>
      <w:r w:rsidR="001D352D" w:rsidRPr="002A0BBE">
        <w:rPr>
          <w:rFonts w:ascii="Courier New" w:hAnsi="Courier New" w:cs="Courier New"/>
          <w:noProof/>
          <w:sz w:val="24"/>
          <w:szCs w:val="24"/>
          <w:shd w:val="clear" w:color="auto" w:fill="FFFFFF"/>
          <w:lang w:val="es-CL" w:eastAsia="es-CL"/>
        </w:rPr>
        <w:t>-05</w:t>
      </w:r>
      <w:r w:rsidR="002A0BBE" w:rsidRPr="002A0BBE">
        <w:rPr>
          <w:rFonts w:ascii="Courier New" w:hAnsi="Courier New" w:cs="Courier New"/>
          <w:noProof/>
          <w:sz w:val="24"/>
          <w:szCs w:val="24"/>
          <w:shd w:val="clear" w:color="auto" w:fill="FFFFFF"/>
          <w:lang w:val="es-CL" w:eastAsia="es-CL"/>
        </w:rPr>
        <w:t>.</w:t>
      </w:r>
    </w:p>
    <w:p w14:paraId="788D9083" w14:textId="77777777"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9EDD970" w14:textId="11A0E8FF"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r w:rsidRPr="002A0BBE">
        <w:rPr>
          <w:rFonts w:ascii="Courier New" w:eastAsia="Times New Roman" w:hAnsi="Courier New" w:cs="Courier New"/>
          <w:sz w:val="24"/>
          <w:szCs w:val="24"/>
          <w:lang w:val="es-ES_tradnl" w:eastAsia="es-ES"/>
        </w:rPr>
        <w:t>Sin embargo, teniendo presente que el proyecto contiene normas propias de ley orgánica constitucional, ha de ser enviado al Tribunal Constitucional, de conformidad con lo dispuesto en el inciso segundo del artículo</w:t>
      </w:r>
      <w:r w:rsidR="00C9311F">
        <w:rPr>
          <w:rFonts w:ascii="Courier New" w:eastAsia="Times New Roman" w:hAnsi="Courier New" w:cs="Courier New"/>
          <w:sz w:val="24"/>
          <w:szCs w:val="24"/>
          <w:lang w:val="es-ES_tradnl" w:eastAsia="es-ES"/>
        </w:rPr>
        <w:t xml:space="preserve"> </w:t>
      </w:r>
      <w:r w:rsidRPr="002A0BBE">
        <w:rPr>
          <w:rFonts w:ascii="Courier New" w:eastAsia="Times New Roman" w:hAnsi="Courier New" w:cs="Courier New"/>
          <w:sz w:val="24"/>
          <w:szCs w:val="24"/>
          <w:lang w:val="es-ES_tradnl" w:eastAsia="es-ES"/>
        </w:rPr>
        <w:t>93 de la Carta Fundamental, en relación con el número 1º de ese mismo precepto.</w:t>
      </w:r>
    </w:p>
    <w:p w14:paraId="64BB9499" w14:textId="77777777"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B40958A" w14:textId="77777777"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r w:rsidRPr="002A0BBE">
        <w:rPr>
          <w:rFonts w:ascii="Courier New" w:eastAsia="Times New Roman" w:hAnsi="Courier New" w:cs="Courier New"/>
          <w:sz w:val="24"/>
          <w:szCs w:val="24"/>
          <w:lang w:val="es-ES_tradnl" w:eastAsia="es-ES"/>
        </w:rPr>
        <w:t>En razón de lo anterior, la Cámara de Diputados, por ser cámara de origen, precisa saber previamente si V.E. hará uso de la facultad que le confiere el artículo 73 de la Constitución Política de la República.</w:t>
      </w:r>
    </w:p>
    <w:p w14:paraId="47B58E72" w14:textId="77777777"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B2697EA" w14:textId="77777777" w:rsidR="002A0BBE" w:rsidRPr="002A0BBE" w:rsidRDefault="002A0BBE" w:rsidP="002A0BBE">
      <w:pPr>
        <w:tabs>
          <w:tab w:val="left" w:pos="2552"/>
        </w:tabs>
        <w:spacing w:line="360" w:lineRule="auto"/>
        <w:ind w:firstLine="2552"/>
        <w:jc w:val="both"/>
        <w:rPr>
          <w:rFonts w:ascii="Courier New" w:eastAsia="Times New Roman" w:hAnsi="Courier New" w:cs="Courier New"/>
          <w:sz w:val="24"/>
          <w:szCs w:val="24"/>
          <w:lang w:val="es-ES_tradnl" w:eastAsia="es-ES"/>
        </w:rPr>
      </w:pPr>
      <w:r w:rsidRPr="002A0BBE">
        <w:rPr>
          <w:rFonts w:ascii="Courier New" w:eastAsia="Times New Roman" w:hAnsi="Courier New" w:cs="Courier New"/>
          <w:sz w:val="24"/>
          <w:szCs w:val="24"/>
          <w:lang w:val="es-ES_tradnl" w:eastAsia="es-ES"/>
        </w:rPr>
        <w:t>En el evento de que V.E. aprobare sin observaciones el texto que más adelante se transcribe, le solicito comunicarlo a esta Corporación, devolviendo el presente oficio.</w:t>
      </w:r>
    </w:p>
    <w:p w14:paraId="329EA016" w14:textId="77777777" w:rsidR="0086129E" w:rsidRDefault="0086129E"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0A7028B0" w14:textId="77777777" w:rsidR="00EF1C5C" w:rsidRDefault="002A0BBE"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0BD5A05D" w14:textId="77777777" w:rsidR="00CF460D" w:rsidRPr="008676FE" w:rsidRDefault="00CF460D" w:rsidP="00BF1210">
      <w:pPr>
        <w:tabs>
          <w:tab w:val="left" w:pos="2835"/>
        </w:tabs>
        <w:spacing w:line="360" w:lineRule="auto"/>
        <w:jc w:val="center"/>
        <w:rPr>
          <w:rFonts w:ascii="Courier New" w:eastAsia="Times New Roman" w:hAnsi="Courier New" w:cs="Courier New"/>
          <w:sz w:val="24"/>
          <w:szCs w:val="24"/>
          <w:lang w:val="es-ES_tradnl" w:eastAsia="es-ES"/>
        </w:rPr>
      </w:pPr>
      <w:r w:rsidRPr="008676FE">
        <w:rPr>
          <w:rFonts w:ascii="Courier New" w:eastAsia="Times New Roman" w:hAnsi="Courier New" w:cs="Courier New"/>
          <w:sz w:val="24"/>
          <w:szCs w:val="24"/>
          <w:lang w:val="es-ES_tradnl" w:eastAsia="es-ES"/>
        </w:rPr>
        <w:t>PROYECTO DE LEY</w:t>
      </w:r>
    </w:p>
    <w:p w14:paraId="1D75BAA6" w14:textId="77777777" w:rsidR="00644622" w:rsidRDefault="00644622"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488621E2" w14:textId="77777777" w:rsidR="005E7E7D" w:rsidRDefault="005E7E7D"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7DE65603" w14:textId="2D34ED16" w:rsidR="0097121B" w:rsidRPr="0097121B" w:rsidRDefault="000E653B" w:rsidP="0097121B">
      <w:pPr>
        <w:widowControl w:val="0"/>
        <w:spacing w:line="276" w:lineRule="auto"/>
        <w:ind w:firstLine="1134"/>
        <w:jc w:val="both"/>
        <w:rPr>
          <w:rFonts w:ascii="Courier New" w:eastAsia="Times New Roman" w:hAnsi="Courier New" w:cs="Courier New"/>
          <w:sz w:val="24"/>
          <w:szCs w:val="24"/>
          <w:lang w:val="es-CL"/>
        </w:rPr>
      </w:pPr>
      <w:r>
        <w:rPr>
          <w:rFonts w:ascii="Courier New" w:eastAsia="Times New Roman" w:hAnsi="Courier New" w:cs="Courier New"/>
          <w:sz w:val="24"/>
          <w:szCs w:val="24"/>
          <w:lang w:val="es-CL"/>
        </w:rPr>
        <w:t>“</w:t>
      </w:r>
      <w:r w:rsidR="0097121B" w:rsidRPr="0097121B">
        <w:rPr>
          <w:rFonts w:ascii="Courier New" w:eastAsia="Times New Roman" w:hAnsi="Courier New" w:cs="Courier New"/>
          <w:sz w:val="24"/>
          <w:szCs w:val="24"/>
          <w:lang w:val="es-CL"/>
        </w:rPr>
        <w:t xml:space="preserve">Artículo 1.- </w:t>
      </w:r>
      <w:proofErr w:type="spellStart"/>
      <w:r w:rsidR="0097121B" w:rsidRPr="0097121B">
        <w:rPr>
          <w:rFonts w:ascii="Courier New" w:eastAsia="Times New Roman" w:hAnsi="Courier New" w:cs="Courier New"/>
          <w:sz w:val="24"/>
          <w:szCs w:val="24"/>
          <w:lang w:val="es-CL"/>
        </w:rPr>
        <w:t>Apruébase</w:t>
      </w:r>
      <w:proofErr w:type="spellEnd"/>
      <w:r w:rsidR="0097121B" w:rsidRPr="0097121B">
        <w:rPr>
          <w:rFonts w:ascii="Courier New" w:eastAsia="Times New Roman" w:hAnsi="Courier New" w:cs="Courier New"/>
          <w:sz w:val="24"/>
          <w:szCs w:val="24"/>
          <w:lang w:val="es-CL"/>
        </w:rPr>
        <w:t xml:space="preserve"> el Presupuesto de Ingresos y Gastos del Sector Público, para el año 2025, según el detalle que se indica:</w:t>
      </w:r>
    </w:p>
    <w:p w14:paraId="087EB8F0" w14:textId="77777777" w:rsidR="0097121B" w:rsidRPr="0097121B" w:rsidRDefault="0097121B" w:rsidP="0097121B">
      <w:pPr>
        <w:widowControl w:val="0"/>
        <w:spacing w:line="276" w:lineRule="auto"/>
        <w:ind w:firstLine="1134"/>
        <w:jc w:val="both"/>
        <w:rPr>
          <w:rFonts w:ascii="Courier New" w:eastAsia="Times New Roman" w:hAnsi="Courier New" w:cs="Courier New"/>
          <w:sz w:val="24"/>
          <w:szCs w:val="24"/>
          <w:lang w:val="es-CL"/>
        </w:rPr>
      </w:pPr>
    </w:p>
    <w:p w14:paraId="00898ECE" w14:textId="77777777" w:rsidR="0097121B" w:rsidRPr="0097121B" w:rsidRDefault="0097121B" w:rsidP="0097121B">
      <w:pPr>
        <w:widowControl w:val="0"/>
        <w:spacing w:line="276" w:lineRule="auto"/>
        <w:ind w:firstLine="1134"/>
        <w:jc w:val="both"/>
        <w:rPr>
          <w:rFonts w:ascii="Courier New" w:eastAsia="Times New Roman" w:hAnsi="Courier New" w:cs="Courier New"/>
          <w:sz w:val="24"/>
          <w:szCs w:val="24"/>
          <w:lang w:val="es-CL"/>
        </w:rPr>
      </w:pPr>
    </w:p>
    <w:p w14:paraId="3838307B" w14:textId="77777777" w:rsidR="0097121B" w:rsidRPr="0097121B" w:rsidRDefault="0097121B" w:rsidP="00BB46D8">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Moneda Nacional</w:t>
      </w:r>
    </w:p>
    <w:p w14:paraId="5EA8A8A3" w14:textId="77777777" w:rsidR="0097121B" w:rsidRPr="0097121B" w:rsidRDefault="0097121B" w:rsidP="00BB46D8">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Miles de $</w:t>
      </w:r>
    </w:p>
    <w:p w14:paraId="1DF39B24" w14:textId="075A653D" w:rsidR="000E653B" w:rsidRDefault="000E653B" w:rsidP="007927E0">
      <w:pPr>
        <w:widowControl w:val="0"/>
        <w:spacing w:line="276" w:lineRule="auto"/>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620"/>
        <w:gridCol w:w="1362"/>
        <w:gridCol w:w="1414"/>
        <w:gridCol w:w="1388"/>
      </w:tblGrid>
      <w:tr w:rsidR="00243393" w:rsidRPr="00243393" w14:paraId="6CCB8811" w14:textId="77777777" w:rsidTr="00021CE8">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63DA4678" w14:textId="77777777" w:rsidR="00243393" w:rsidRPr="00243393" w:rsidRDefault="00243393" w:rsidP="00243393">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47CE5664" w14:textId="77777777" w:rsidR="00243393" w:rsidRPr="00243393" w:rsidRDefault="00243393" w:rsidP="00243393">
            <w:pPr>
              <w:jc w:val="center"/>
              <w:rPr>
                <w:rFonts w:ascii="Times New Roman" w:eastAsia="Times New Roman" w:hAnsi="Times New Roman"/>
                <w:sz w:val="20"/>
                <w:szCs w:val="20"/>
                <w:lang w:val="en-US"/>
              </w:rPr>
            </w:pPr>
            <w:proofErr w:type="spellStart"/>
            <w:r w:rsidRPr="00243393">
              <w:rPr>
                <w:rFonts w:ascii="Times New Roman" w:eastAsia="Times New Roman" w:hAnsi="Times New Roman"/>
                <w:b/>
                <w:color w:val="000000"/>
                <w:sz w:val="18"/>
                <w:szCs w:val="20"/>
                <w:lang w:val="en-US"/>
              </w:rPr>
              <w:t>Resumen</w:t>
            </w:r>
            <w:proofErr w:type="spellEnd"/>
            <w:r w:rsidRPr="00243393">
              <w:rPr>
                <w:rFonts w:ascii="Times New Roman" w:eastAsia="Times New Roman" w:hAnsi="Times New Roman"/>
                <w:b/>
                <w:color w:val="000000"/>
                <w:sz w:val="18"/>
                <w:szCs w:val="20"/>
                <w:lang w:val="en-US"/>
              </w:rPr>
              <w:t xml:space="preserve"> de </w:t>
            </w:r>
            <w:proofErr w:type="spellStart"/>
            <w:r w:rsidRPr="00243393">
              <w:rPr>
                <w:rFonts w:ascii="Times New Roman" w:eastAsia="Times New Roman" w:hAnsi="Times New Roman"/>
                <w:b/>
                <w:color w:val="000000"/>
                <w:sz w:val="18"/>
                <w:szCs w:val="20"/>
                <w:lang w:val="en-US"/>
              </w:rPr>
              <w:t>los</w:t>
            </w:r>
            <w:proofErr w:type="spellEnd"/>
            <w:r w:rsidRPr="00243393">
              <w:rPr>
                <w:rFonts w:ascii="Times New Roman" w:eastAsia="Times New Roman" w:hAnsi="Times New Roman"/>
                <w:b/>
                <w:color w:val="000000"/>
                <w:sz w:val="18"/>
                <w:szCs w:val="20"/>
                <w:lang w:val="en-US"/>
              </w:rPr>
              <w:t xml:space="preserve"> </w:t>
            </w:r>
            <w:proofErr w:type="spellStart"/>
            <w:r w:rsidRPr="00243393">
              <w:rPr>
                <w:rFonts w:ascii="Times New Roman" w:eastAsia="Times New Roman" w:hAnsi="Times New Roman"/>
                <w:b/>
                <w:color w:val="000000"/>
                <w:sz w:val="18"/>
                <w:szCs w:val="20"/>
                <w:lang w:val="en-US"/>
              </w:rPr>
              <w:t>Presupuestos</w:t>
            </w:r>
            <w:proofErr w:type="spellEnd"/>
            <w:r w:rsidRPr="00243393">
              <w:rPr>
                <w:rFonts w:ascii="Times New Roman" w:eastAsia="Times New Roman" w:hAnsi="Times New Roman"/>
                <w:b/>
                <w:color w:val="000000"/>
                <w:sz w:val="18"/>
                <w:szCs w:val="20"/>
                <w:lang w:val="en-US"/>
              </w:rPr>
              <w:t xml:space="preserve"> de las </w:t>
            </w:r>
            <w:proofErr w:type="spellStart"/>
            <w:r w:rsidRPr="00243393">
              <w:rPr>
                <w:rFonts w:ascii="Times New Roman" w:eastAsia="Times New Roman" w:hAnsi="Times New Roman"/>
                <w:b/>
                <w:color w:val="000000"/>
                <w:sz w:val="18"/>
                <w:szCs w:val="20"/>
                <w:lang w:val="en-US"/>
              </w:rPr>
              <w:t>Partidas</w:t>
            </w:r>
            <w:proofErr w:type="spellEnd"/>
          </w:p>
        </w:tc>
        <w:tc>
          <w:tcPr>
            <w:tcW w:w="1552" w:type="dxa"/>
            <w:tcBorders>
              <w:top w:val="single" w:sz="7" w:space="0" w:color="000000"/>
              <w:bottom w:val="single" w:sz="7" w:space="0" w:color="000000"/>
            </w:tcBorders>
            <w:tcMar>
              <w:top w:w="39" w:type="dxa"/>
              <w:left w:w="39" w:type="dxa"/>
              <w:bottom w:w="39" w:type="dxa"/>
              <w:right w:w="39" w:type="dxa"/>
            </w:tcMar>
          </w:tcPr>
          <w:p w14:paraId="51D50A47" w14:textId="77777777" w:rsidR="00243393" w:rsidRPr="00243393" w:rsidRDefault="00243393" w:rsidP="00243393">
            <w:pPr>
              <w:jc w:val="center"/>
              <w:rPr>
                <w:rFonts w:ascii="Times New Roman" w:eastAsia="Times New Roman" w:hAnsi="Times New Roman"/>
                <w:sz w:val="20"/>
                <w:szCs w:val="20"/>
                <w:lang w:val="en-US"/>
              </w:rPr>
            </w:pPr>
            <w:proofErr w:type="spellStart"/>
            <w:r w:rsidRPr="00243393">
              <w:rPr>
                <w:rFonts w:ascii="Times New Roman" w:eastAsia="Times New Roman" w:hAnsi="Times New Roman"/>
                <w:b/>
                <w:color w:val="000000"/>
                <w:sz w:val="18"/>
                <w:szCs w:val="20"/>
                <w:lang w:val="en-US"/>
              </w:rPr>
              <w:t>Deducciones</w:t>
            </w:r>
            <w:proofErr w:type="spellEnd"/>
            <w:r w:rsidRPr="00243393">
              <w:rPr>
                <w:rFonts w:ascii="Times New Roman" w:eastAsia="Times New Roman" w:hAnsi="Times New Roman"/>
                <w:b/>
                <w:color w:val="000000"/>
                <w:sz w:val="18"/>
                <w:szCs w:val="20"/>
                <w:lang w:val="en-US"/>
              </w:rPr>
              <w:t xml:space="preserve"> de </w:t>
            </w:r>
            <w:proofErr w:type="spellStart"/>
            <w:r w:rsidRPr="00243393">
              <w:rPr>
                <w:rFonts w:ascii="Times New Roman" w:eastAsia="Times New Roman" w:hAnsi="Times New Roman"/>
                <w:b/>
                <w:color w:val="000000"/>
                <w:sz w:val="18"/>
                <w:szCs w:val="20"/>
                <w:lang w:val="en-US"/>
              </w:rPr>
              <w:t>Transferencias</w:t>
            </w:r>
            <w:proofErr w:type="spellEnd"/>
            <w:r w:rsidRPr="00243393">
              <w:rPr>
                <w:rFonts w:ascii="Times New Roman" w:eastAsia="Times New Roman" w:hAnsi="Times New Roman"/>
                <w:b/>
                <w:color w:val="000000"/>
                <w:sz w:val="18"/>
                <w:szCs w:val="20"/>
                <w:lang w:val="en-US"/>
              </w:rPr>
              <w:t xml:space="preserve">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74F8185C" w14:textId="77777777" w:rsidR="00243393" w:rsidRPr="00243393" w:rsidRDefault="00243393" w:rsidP="00243393">
            <w:pPr>
              <w:jc w:val="center"/>
              <w:rPr>
                <w:rFonts w:ascii="Times New Roman" w:eastAsia="Times New Roman" w:hAnsi="Times New Roman"/>
                <w:sz w:val="20"/>
                <w:szCs w:val="20"/>
                <w:lang w:val="en-US"/>
              </w:rPr>
            </w:pPr>
            <w:r w:rsidRPr="00243393">
              <w:rPr>
                <w:rFonts w:ascii="Times New Roman" w:eastAsia="Times New Roman" w:hAnsi="Times New Roman"/>
                <w:b/>
                <w:color w:val="000000"/>
                <w:sz w:val="18"/>
                <w:szCs w:val="20"/>
                <w:lang w:val="en-US"/>
              </w:rPr>
              <w:t>Total</w:t>
            </w:r>
          </w:p>
        </w:tc>
      </w:tr>
      <w:tr w:rsidR="00243393" w:rsidRPr="00243393" w14:paraId="1FFC17A8" w14:textId="77777777" w:rsidTr="00021CE8">
        <w:trPr>
          <w:trHeight w:val="339"/>
        </w:trPr>
        <w:tc>
          <w:tcPr>
            <w:tcW w:w="4950" w:type="dxa"/>
            <w:tcBorders>
              <w:left w:val="single" w:sz="7" w:space="0" w:color="000000"/>
            </w:tcBorders>
            <w:tcMar>
              <w:top w:w="39" w:type="dxa"/>
              <w:left w:w="39" w:type="dxa"/>
              <w:bottom w:w="39" w:type="dxa"/>
              <w:right w:w="39" w:type="dxa"/>
            </w:tcMar>
          </w:tcPr>
          <w:p w14:paraId="572FDDC0"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625AE60A"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5437FEE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033B9627"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88.493.814.691</w:t>
            </w:r>
          </w:p>
        </w:tc>
      </w:tr>
      <w:tr w:rsidR="00243393" w:rsidRPr="00243393" w14:paraId="5B28DC54" w14:textId="77777777" w:rsidTr="00021CE8">
        <w:trPr>
          <w:trHeight w:val="339"/>
        </w:trPr>
        <w:tc>
          <w:tcPr>
            <w:tcW w:w="4950" w:type="dxa"/>
            <w:tcBorders>
              <w:left w:val="single" w:sz="7" w:space="0" w:color="000000"/>
            </w:tcBorders>
            <w:tcMar>
              <w:top w:w="39" w:type="dxa"/>
              <w:left w:w="39" w:type="dxa"/>
              <w:bottom w:w="39" w:type="dxa"/>
              <w:right w:w="39" w:type="dxa"/>
            </w:tcMar>
          </w:tcPr>
          <w:p w14:paraId="2524586F"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7E6160FA"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65.303.706.818</w:t>
            </w:r>
          </w:p>
        </w:tc>
        <w:tc>
          <w:tcPr>
            <w:tcW w:w="1552" w:type="dxa"/>
            <w:tcMar>
              <w:top w:w="39" w:type="dxa"/>
              <w:left w:w="39" w:type="dxa"/>
              <w:bottom w:w="39" w:type="dxa"/>
              <w:right w:w="39" w:type="dxa"/>
            </w:tcMar>
          </w:tcPr>
          <w:p w14:paraId="78D26209"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A07DFFE"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65.303.706.818</w:t>
            </w:r>
          </w:p>
        </w:tc>
      </w:tr>
      <w:tr w:rsidR="00243393" w:rsidRPr="00243393" w14:paraId="7D9C39E2" w14:textId="77777777" w:rsidTr="00021CE8">
        <w:trPr>
          <w:trHeight w:val="339"/>
        </w:trPr>
        <w:tc>
          <w:tcPr>
            <w:tcW w:w="4950" w:type="dxa"/>
            <w:tcBorders>
              <w:left w:val="single" w:sz="7" w:space="0" w:color="000000"/>
            </w:tcBorders>
            <w:tcMar>
              <w:top w:w="39" w:type="dxa"/>
              <w:left w:w="39" w:type="dxa"/>
              <w:bottom w:w="39" w:type="dxa"/>
              <w:right w:w="39" w:type="dxa"/>
            </w:tcMar>
          </w:tcPr>
          <w:p w14:paraId="4999602D"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IMPOSICIONES PREVISIONALES</w:t>
            </w:r>
          </w:p>
        </w:tc>
        <w:tc>
          <w:tcPr>
            <w:tcW w:w="1387" w:type="dxa"/>
            <w:tcMar>
              <w:top w:w="39" w:type="dxa"/>
              <w:left w:w="39" w:type="dxa"/>
              <w:bottom w:w="39" w:type="dxa"/>
              <w:right w:w="39" w:type="dxa"/>
            </w:tcMar>
          </w:tcPr>
          <w:p w14:paraId="1C0B7A23"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3.684.174.757</w:t>
            </w:r>
          </w:p>
        </w:tc>
        <w:tc>
          <w:tcPr>
            <w:tcW w:w="1552" w:type="dxa"/>
            <w:tcMar>
              <w:top w:w="39" w:type="dxa"/>
              <w:left w:w="39" w:type="dxa"/>
              <w:bottom w:w="39" w:type="dxa"/>
              <w:right w:w="39" w:type="dxa"/>
            </w:tcMar>
          </w:tcPr>
          <w:p w14:paraId="7F5957BE"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1881BB9"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3.684.174.757</w:t>
            </w:r>
          </w:p>
        </w:tc>
      </w:tr>
      <w:tr w:rsidR="00243393" w:rsidRPr="00243393" w14:paraId="0E0E7EB6" w14:textId="77777777" w:rsidTr="00021CE8">
        <w:trPr>
          <w:trHeight w:val="339"/>
        </w:trPr>
        <w:tc>
          <w:tcPr>
            <w:tcW w:w="4950" w:type="dxa"/>
            <w:tcBorders>
              <w:left w:val="single" w:sz="7" w:space="0" w:color="000000"/>
            </w:tcBorders>
            <w:tcMar>
              <w:top w:w="39" w:type="dxa"/>
              <w:left w:w="39" w:type="dxa"/>
              <w:bottom w:w="39" w:type="dxa"/>
              <w:right w:w="39" w:type="dxa"/>
            </w:tcMar>
          </w:tcPr>
          <w:p w14:paraId="6D657D59"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6986AF0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1.942.899.874</w:t>
            </w:r>
          </w:p>
        </w:tc>
        <w:tc>
          <w:tcPr>
            <w:tcW w:w="1552" w:type="dxa"/>
            <w:tcMar>
              <w:top w:w="39" w:type="dxa"/>
              <w:left w:w="39" w:type="dxa"/>
              <w:bottom w:w="39" w:type="dxa"/>
              <w:right w:w="39" w:type="dxa"/>
            </w:tcMar>
          </w:tcPr>
          <w:p w14:paraId="6EF658F7"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1.892.833.854</w:t>
            </w:r>
          </w:p>
        </w:tc>
        <w:tc>
          <w:tcPr>
            <w:tcW w:w="1432" w:type="dxa"/>
            <w:tcBorders>
              <w:right w:val="single" w:sz="7" w:space="0" w:color="000000"/>
            </w:tcBorders>
            <w:tcMar>
              <w:top w:w="39" w:type="dxa"/>
              <w:left w:w="39" w:type="dxa"/>
              <w:bottom w:w="39" w:type="dxa"/>
              <w:right w:w="39" w:type="dxa"/>
            </w:tcMar>
          </w:tcPr>
          <w:p w14:paraId="7BBFF45D"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50.066.020</w:t>
            </w:r>
          </w:p>
        </w:tc>
      </w:tr>
      <w:tr w:rsidR="00243393" w:rsidRPr="00243393" w14:paraId="1DAD602B" w14:textId="77777777" w:rsidTr="00021CE8">
        <w:trPr>
          <w:trHeight w:val="339"/>
        </w:trPr>
        <w:tc>
          <w:tcPr>
            <w:tcW w:w="4950" w:type="dxa"/>
            <w:tcBorders>
              <w:left w:val="single" w:sz="7" w:space="0" w:color="000000"/>
            </w:tcBorders>
            <w:tcMar>
              <w:top w:w="39" w:type="dxa"/>
              <w:left w:w="39" w:type="dxa"/>
              <w:bottom w:w="39" w:type="dxa"/>
              <w:right w:w="39" w:type="dxa"/>
            </w:tcMar>
          </w:tcPr>
          <w:p w14:paraId="5D1FC762"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2730EE7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1.561.832.764</w:t>
            </w:r>
          </w:p>
        </w:tc>
        <w:tc>
          <w:tcPr>
            <w:tcW w:w="1552" w:type="dxa"/>
            <w:tcMar>
              <w:top w:w="39" w:type="dxa"/>
              <w:left w:w="39" w:type="dxa"/>
              <w:bottom w:w="39" w:type="dxa"/>
              <w:right w:w="39" w:type="dxa"/>
            </w:tcMar>
          </w:tcPr>
          <w:p w14:paraId="1B3837D9"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6C34EA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1.561.832.764</w:t>
            </w:r>
          </w:p>
        </w:tc>
      </w:tr>
      <w:tr w:rsidR="00243393" w:rsidRPr="00243393" w14:paraId="57343369" w14:textId="77777777" w:rsidTr="00021CE8">
        <w:trPr>
          <w:trHeight w:val="339"/>
        </w:trPr>
        <w:tc>
          <w:tcPr>
            <w:tcW w:w="4950" w:type="dxa"/>
            <w:tcBorders>
              <w:left w:val="single" w:sz="7" w:space="0" w:color="000000"/>
            </w:tcBorders>
            <w:tcMar>
              <w:top w:w="39" w:type="dxa"/>
              <w:left w:w="39" w:type="dxa"/>
              <w:bottom w:w="39" w:type="dxa"/>
              <w:right w:w="39" w:type="dxa"/>
            </w:tcMar>
          </w:tcPr>
          <w:p w14:paraId="1F4F22FF"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39FE4E27"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1.226.579.474</w:t>
            </w:r>
          </w:p>
        </w:tc>
        <w:tc>
          <w:tcPr>
            <w:tcW w:w="1552" w:type="dxa"/>
            <w:tcMar>
              <w:top w:w="39" w:type="dxa"/>
              <w:left w:w="39" w:type="dxa"/>
              <w:bottom w:w="39" w:type="dxa"/>
              <w:right w:w="39" w:type="dxa"/>
            </w:tcMar>
          </w:tcPr>
          <w:p w14:paraId="6C090CE0"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23FDDFE"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1.226.579.474</w:t>
            </w:r>
          </w:p>
        </w:tc>
      </w:tr>
      <w:tr w:rsidR="00243393" w:rsidRPr="00243393" w14:paraId="2A879E7B" w14:textId="77777777" w:rsidTr="00021CE8">
        <w:trPr>
          <w:trHeight w:val="339"/>
        </w:trPr>
        <w:tc>
          <w:tcPr>
            <w:tcW w:w="4950" w:type="dxa"/>
            <w:tcBorders>
              <w:left w:val="single" w:sz="7" w:space="0" w:color="000000"/>
            </w:tcBorders>
            <w:tcMar>
              <w:top w:w="39" w:type="dxa"/>
              <w:left w:w="39" w:type="dxa"/>
              <w:bottom w:w="39" w:type="dxa"/>
              <w:right w:w="39" w:type="dxa"/>
            </w:tcMar>
          </w:tcPr>
          <w:p w14:paraId="08A530B2"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4449BF3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3.932.342.354</w:t>
            </w:r>
          </w:p>
        </w:tc>
        <w:tc>
          <w:tcPr>
            <w:tcW w:w="1552" w:type="dxa"/>
            <w:tcMar>
              <w:top w:w="39" w:type="dxa"/>
              <w:left w:w="39" w:type="dxa"/>
              <w:bottom w:w="39" w:type="dxa"/>
              <w:right w:w="39" w:type="dxa"/>
            </w:tcMar>
          </w:tcPr>
          <w:p w14:paraId="5C3923FA"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72611DA"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3.932.342.354</w:t>
            </w:r>
          </w:p>
        </w:tc>
      </w:tr>
      <w:tr w:rsidR="00243393" w:rsidRPr="00243393" w14:paraId="5E990CB3" w14:textId="77777777" w:rsidTr="00021CE8">
        <w:trPr>
          <w:trHeight w:val="339"/>
        </w:trPr>
        <w:tc>
          <w:tcPr>
            <w:tcW w:w="4950" w:type="dxa"/>
            <w:tcBorders>
              <w:left w:val="single" w:sz="7" w:space="0" w:color="000000"/>
            </w:tcBorders>
            <w:tcMar>
              <w:top w:w="39" w:type="dxa"/>
              <w:left w:w="39" w:type="dxa"/>
              <w:bottom w:w="39" w:type="dxa"/>
              <w:right w:w="39" w:type="dxa"/>
            </w:tcMar>
          </w:tcPr>
          <w:p w14:paraId="2FD796B2"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7CBD0579"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12.695.573</w:t>
            </w:r>
          </w:p>
        </w:tc>
        <w:tc>
          <w:tcPr>
            <w:tcW w:w="1552" w:type="dxa"/>
            <w:tcMar>
              <w:top w:w="39" w:type="dxa"/>
              <w:left w:w="39" w:type="dxa"/>
              <w:bottom w:w="39" w:type="dxa"/>
              <w:right w:w="39" w:type="dxa"/>
            </w:tcMar>
          </w:tcPr>
          <w:p w14:paraId="7A87F8DA"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D62B3D0"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12.695.573</w:t>
            </w:r>
          </w:p>
        </w:tc>
      </w:tr>
      <w:tr w:rsidR="00243393" w:rsidRPr="00243393" w14:paraId="0CC31FFD" w14:textId="77777777" w:rsidTr="00021CE8">
        <w:trPr>
          <w:trHeight w:val="339"/>
        </w:trPr>
        <w:tc>
          <w:tcPr>
            <w:tcW w:w="4950" w:type="dxa"/>
            <w:tcBorders>
              <w:left w:val="single" w:sz="7" w:space="0" w:color="000000"/>
            </w:tcBorders>
            <w:tcMar>
              <w:top w:w="39" w:type="dxa"/>
              <w:left w:w="39" w:type="dxa"/>
              <w:bottom w:w="39" w:type="dxa"/>
              <w:right w:w="39" w:type="dxa"/>
            </w:tcMar>
          </w:tcPr>
          <w:p w14:paraId="30891C93"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1719FC4F"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-2.540.007.869</w:t>
            </w:r>
          </w:p>
        </w:tc>
        <w:tc>
          <w:tcPr>
            <w:tcW w:w="1552" w:type="dxa"/>
            <w:tcMar>
              <w:top w:w="39" w:type="dxa"/>
              <w:left w:w="39" w:type="dxa"/>
              <w:bottom w:w="39" w:type="dxa"/>
              <w:right w:w="39" w:type="dxa"/>
            </w:tcMar>
          </w:tcPr>
          <w:p w14:paraId="5AF1326C"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2283D43"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-2.540.007.869</w:t>
            </w:r>
          </w:p>
        </w:tc>
      </w:tr>
      <w:tr w:rsidR="00243393" w:rsidRPr="00243393" w14:paraId="186638D9" w14:textId="77777777" w:rsidTr="00021CE8">
        <w:trPr>
          <w:trHeight w:val="339"/>
        </w:trPr>
        <w:tc>
          <w:tcPr>
            <w:tcW w:w="4950" w:type="dxa"/>
            <w:tcBorders>
              <w:left w:val="single" w:sz="7" w:space="0" w:color="000000"/>
            </w:tcBorders>
            <w:tcMar>
              <w:top w:w="39" w:type="dxa"/>
              <w:left w:w="39" w:type="dxa"/>
              <w:bottom w:w="39" w:type="dxa"/>
              <w:right w:w="39" w:type="dxa"/>
            </w:tcMar>
          </w:tcPr>
          <w:p w14:paraId="34AEEF13"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36166E4A"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1.485.724.163</w:t>
            </w:r>
          </w:p>
        </w:tc>
        <w:tc>
          <w:tcPr>
            <w:tcW w:w="1552" w:type="dxa"/>
            <w:tcMar>
              <w:top w:w="39" w:type="dxa"/>
              <w:left w:w="39" w:type="dxa"/>
              <w:bottom w:w="39" w:type="dxa"/>
              <w:right w:w="39" w:type="dxa"/>
            </w:tcMar>
          </w:tcPr>
          <w:p w14:paraId="1591E42D"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8EB5D47"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1.485.724.163</w:t>
            </w:r>
          </w:p>
        </w:tc>
      </w:tr>
      <w:tr w:rsidR="00243393" w:rsidRPr="00243393" w14:paraId="2A863A33" w14:textId="77777777" w:rsidTr="00021CE8">
        <w:trPr>
          <w:trHeight w:val="339"/>
        </w:trPr>
        <w:tc>
          <w:tcPr>
            <w:tcW w:w="4950" w:type="dxa"/>
            <w:tcBorders>
              <w:left w:val="single" w:sz="7" w:space="0" w:color="000000"/>
            </w:tcBorders>
            <w:tcMar>
              <w:top w:w="39" w:type="dxa"/>
              <w:left w:w="39" w:type="dxa"/>
              <w:bottom w:w="39" w:type="dxa"/>
              <w:right w:w="39" w:type="dxa"/>
            </w:tcMar>
          </w:tcPr>
          <w:p w14:paraId="249F9E52"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TRANSFERENCIAS PARA GASTOS DE CAPITAL</w:t>
            </w:r>
          </w:p>
        </w:tc>
        <w:tc>
          <w:tcPr>
            <w:tcW w:w="1387" w:type="dxa"/>
            <w:tcMar>
              <w:top w:w="39" w:type="dxa"/>
              <w:left w:w="39" w:type="dxa"/>
              <w:bottom w:w="39" w:type="dxa"/>
              <w:right w:w="39" w:type="dxa"/>
            </w:tcMar>
          </w:tcPr>
          <w:p w14:paraId="1A89803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1.934.063.068</w:t>
            </w:r>
          </w:p>
        </w:tc>
        <w:tc>
          <w:tcPr>
            <w:tcW w:w="1552" w:type="dxa"/>
            <w:tcMar>
              <w:top w:w="39" w:type="dxa"/>
              <w:left w:w="39" w:type="dxa"/>
              <w:bottom w:w="39" w:type="dxa"/>
              <w:right w:w="39" w:type="dxa"/>
            </w:tcMar>
          </w:tcPr>
          <w:p w14:paraId="2807877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43E45B0F"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64.672.154</w:t>
            </w:r>
          </w:p>
        </w:tc>
      </w:tr>
      <w:tr w:rsidR="00243393" w:rsidRPr="00243393" w14:paraId="04EA1028" w14:textId="77777777" w:rsidTr="00021CE8">
        <w:trPr>
          <w:trHeight w:val="339"/>
        </w:trPr>
        <w:tc>
          <w:tcPr>
            <w:tcW w:w="4950" w:type="dxa"/>
            <w:tcBorders>
              <w:left w:val="single" w:sz="7" w:space="0" w:color="000000"/>
            </w:tcBorders>
            <w:tcMar>
              <w:top w:w="39" w:type="dxa"/>
              <w:left w:w="39" w:type="dxa"/>
              <w:bottom w:w="39" w:type="dxa"/>
              <w:right w:w="39" w:type="dxa"/>
            </w:tcMar>
          </w:tcPr>
          <w:p w14:paraId="7A7371A4"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39DBACD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13.676.319.656</w:t>
            </w:r>
          </w:p>
        </w:tc>
        <w:tc>
          <w:tcPr>
            <w:tcW w:w="1552" w:type="dxa"/>
            <w:tcMar>
              <w:top w:w="39" w:type="dxa"/>
              <w:left w:w="39" w:type="dxa"/>
              <w:bottom w:w="39" w:type="dxa"/>
              <w:right w:w="39" w:type="dxa"/>
            </w:tcMar>
          </w:tcPr>
          <w:p w14:paraId="3B82B582"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07A0A4E"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13.676.319.656</w:t>
            </w:r>
          </w:p>
        </w:tc>
      </w:tr>
      <w:tr w:rsidR="00243393" w:rsidRPr="00243393" w14:paraId="10C827A9" w14:textId="77777777" w:rsidTr="00021CE8">
        <w:trPr>
          <w:trHeight w:val="339"/>
        </w:trPr>
        <w:tc>
          <w:tcPr>
            <w:tcW w:w="4950" w:type="dxa"/>
            <w:tcBorders>
              <w:left w:val="single" w:sz="7" w:space="0" w:color="000000"/>
            </w:tcBorders>
            <w:tcMar>
              <w:top w:w="39" w:type="dxa"/>
              <w:left w:w="39" w:type="dxa"/>
              <w:bottom w:w="39" w:type="dxa"/>
              <w:right w:w="39" w:type="dxa"/>
            </w:tcMar>
          </w:tcPr>
          <w:p w14:paraId="227A7C64"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5002C219"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35.708.827</w:t>
            </w:r>
          </w:p>
        </w:tc>
        <w:tc>
          <w:tcPr>
            <w:tcW w:w="1552" w:type="dxa"/>
            <w:tcMar>
              <w:top w:w="39" w:type="dxa"/>
              <w:left w:w="39" w:type="dxa"/>
              <w:bottom w:w="39" w:type="dxa"/>
              <w:right w:w="39" w:type="dxa"/>
            </w:tcMar>
          </w:tcPr>
          <w:p w14:paraId="14DD14A6"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06DD670"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35.708.827</w:t>
            </w:r>
          </w:p>
        </w:tc>
      </w:tr>
      <w:tr w:rsidR="00243393" w:rsidRPr="00243393" w14:paraId="4C70FA2D" w14:textId="77777777" w:rsidTr="00021CE8">
        <w:trPr>
          <w:trHeight w:val="339"/>
        </w:trPr>
        <w:tc>
          <w:tcPr>
            <w:tcW w:w="4950" w:type="dxa"/>
            <w:tcBorders>
              <w:left w:val="single" w:sz="7" w:space="0" w:color="000000"/>
            </w:tcBorders>
            <w:tcMar>
              <w:top w:w="39" w:type="dxa"/>
              <w:left w:w="39" w:type="dxa"/>
              <w:bottom w:w="39" w:type="dxa"/>
              <w:right w:w="39" w:type="dxa"/>
            </w:tcMar>
          </w:tcPr>
          <w:p w14:paraId="69A62EDF"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27611A5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533D0873"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6779F320"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b/>
                <w:color w:val="000000"/>
                <w:sz w:val="20"/>
                <w:szCs w:val="20"/>
                <w:lang w:val="en-US"/>
              </w:rPr>
              <w:t>88.493.814.691</w:t>
            </w:r>
          </w:p>
        </w:tc>
      </w:tr>
      <w:tr w:rsidR="00243393" w:rsidRPr="00243393" w14:paraId="408A170D" w14:textId="77777777" w:rsidTr="00021CE8">
        <w:trPr>
          <w:trHeight w:val="339"/>
        </w:trPr>
        <w:tc>
          <w:tcPr>
            <w:tcW w:w="4950" w:type="dxa"/>
            <w:tcBorders>
              <w:left w:val="single" w:sz="7" w:space="0" w:color="000000"/>
            </w:tcBorders>
            <w:tcMar>
              <w:top w:w="39" w:type="dxa"/>
              <w:left w:w="39" w:type="dxa"/>
              <w:bottom w:w="39" w:type="dxa"/>
              <w:right w:w="39" w:type="dxa"/>
            </w:tcMar>
          </w:tcPr>
          <w:p w14:paraId="253A6B3D"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4D30C34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15.929.685.011</w:t>
            </w:r>
          </w:p>
        </w:tc>
        <w:tc>
          <w:tcPr>
            <w:tcW w:w="1552" w:type="dxa"/>
            <w:tcMar>
              <w:top w:w="39" w:type="dxa"/>
              <w:left w:w="39" w:type="dxa"/>
              <w:bottom w:w="39" w:type="dxa"/>
              <w:right w:w="39" w:type="dxa"/>
            </w:tcMar>
          </w:tcPr>
          <w:p w14:paraId="62C12707"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703316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15.929.685.011</w:t>
            </w:r>
          </w:p>
        </w:tc>
      </w:tr>
      <w:tr w:rsidR="00243393" w:rsidRPr="00243393" w14:paraId="64CB9C82" w14:textId="77777777" w:rsidTr="00021CE8">
        <w:trPr>
          <w:trHeight w:val="339"/>
        </w:trPr>
        <w:tc>
          <w:tcPr>
            <w:tcW w:w="4950" w:type="dxa"/>
            <w:tcBorders>
              <w:left w:val="single" w:sz="7" w:space="0" w:color="000000"/>
            </w:tcBorders>
            <w:tcMar>
              <w:top w:w="39" w:type="dxa"/>
              <w:left w:w="39" w:type="dxa"/>
              <w:bottom w:w="39" w:type="dxa"/>
              <w:right w:w="39" w:type="dxa"/>
            </w:tcMar>
          </w:tcPr>
          <w:p w14:paraId="0CA32C23"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6AE0E91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5.812.458.077</w:t>
            </w:r>
          </w:p>
        </w:tc>
        <w:tc>
          <w:tcPr>
            <w:tcW w:w="1552" w:type="dxa"/>
            <w:tcMar>
              <w:top w:w="39" w:type="dxa"/>
              <w:left w:w="39" w:type="dxa"/>
              <w:bottom w:w="39" w:type="dxa"/>
              <w:right w:w="39" w:type="dxa"/>
            </w:tcMar>
          </w:tcPr>
          <w:p w14:paraId="515B2844"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1249DEF"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5.812.458.077</w:t>
            </w:r>
          </w:p>
        </w:tc>
      </w:tr>
      <w:tr w:rsidR="00243393" w:rsidRPr="00243393" w14:paraId="29FF5F4D" w14:textId="77777777" w:rsidTr="00021CE8">
        <w:trPr>
          <w:trHeight w:val="339"/>
        </w:trPr>
        <w:tc>
          <w:tcPr>
            <w:tcW w:w="4950" w:type="dxa"/>
            <w:tcBorders>
              <w:left w:val="single" w:sz="7" w:space="0" w:color="000000"/>
            </w:tcBorders>
            <w:tcMar>
              <w:top w:w="39" w:type="dxa"/>
              <w:left w:w="39" w:type="dxa"/>
              <w:bottom w:w="39" w:type="dxa"/>
              <w:right w:w="39" w:type="dxa"/>
            </w:tcMar>
          </w:tcPr>
          <w:p w14:paraId="72401A63"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20414F23"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14.912.622.500</w:t>
            </w:r>
          </w:p>
        </w:tc>
        <w:tc>
          <w:tcPr>
            <w:tcW w:w="1552" w:type="dxa"/>
            <w:tcMar>
              <w:top w:w="39" w:type="dxa"/>
              <w:left w:w="39" w:type="dxa"/>
              <w:bottom w:w="39" w:type="dxa"/>
              <w:right w:w="39" w:type="dxa"/>
            </w:tcMar>
          </w:tcPr>
          <w:p w14:paraId="0485BF45"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A076D7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14.912.622.500</w:t>
            </w:r>
          </w:p>
        </w:tc>
      </w:tr>
      <w:tr w:rsidR="00243393" w:rsidRPr="00243393" w14:paraId="71B5AA67" w14:textId="77777777" w:rsidTr="00021CE8">
        <w:trPr>
          <w:trHeight w:val="339"/>
        </w:trPr>
        <w:tc>
          <w:tcPr>
            <w:tcW w:w="4950" w:type="dxa"/>
            <w:tcBorders>
              <w:left w:val="single" w:sz="7" w:space="0" w:color="000000"/>
            </w:tcBorders>
            <w:tcMar>
              <w:top w:w="39" w:type="dxa"/>
              <w:left w:w="39" w:type="dxa"/>
              <w:bottom w:w="39" w:type="dxa"/>
              <w:right w:w="39" w:type="dxa"/>
            </w:tcMar>
          </w:tcPr>
          <w:p w14:paraId="44F7C41F"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702BA71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29.650.342.320</w:t>
            </w:r>
          </w:p>
        </w:tc>
        <w:tc>
          <w:tcPr>
            <w:tcW w:w="1552" w:type="dxa"/>
            <w:tcMar>
              <w:top w:w="39" w:type="dxa"/>
              <w:left w:w="39" w:type="dxa"/>
              <w:bottom w:w="39" w:type="dxa"/>
              <w:right w:w="39" w:type="dxa"/>
            </w:tcMar>
          </w:tcPr>
          <w:p w14:paraId="55B6D2CF"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978.025.550</w:t>
            </w:r>
          </w:p>
        </w:tc>
        <w:tc>
          <w:tcPr>
            <w:tcW w:w="1432" w:type="dxa"/>
            <w:tcBorders>
              <w:right w:val="single" w:sz="7" w:space="0" w:color="000000"/>
            </w:tcBorders>
            <w:tcMar>
              <w:top w:w="39" w:type="dxa"/>
              <w:left w:w="39" w:type="dxa"/>
              <w:bottom w:w="39" w:type="dxa"/>
              <w:right w:w="39" w:type="dxa"/>
            </w:tcMar>
          </w:tcPr>
          <w:p w14:paraId="61C22FEE"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28.672.316.770</w:t>
            </w:r>
          </w:p>
        </w:tc>
      </w:tr>
      <w:tr w:rsidR="00243393" w:rsidRPr="00243393" w14:paraId="021488A4" w14:textId="77777777" w:rsidTr="00021CE8">
        <w:trPr>
          <w:trHeight w:val="339"/>
        </w:trPr>
        <w:tc>
          <w:tcPr>
            <w:tcW w:w="4950" w:type="dxa"/>
            <w:tcBorders>
              <w:left w:val="single" w:sz="7" w:space="0" w:color="000000"/>
            </w:tcBorders>
            <w:tcMar>
              <w:top w:w="39" w:type="dxa"/>
              <w:left w:w="39" w:type="dxa"/>
              <w:bottom w:w="39" w:type="dxa"/>
              <w:right w:w="39" w:type="dxa"/>
            </w:tcMar>
          </w:tcPr>
          <w:p w14:paraId="615735AA"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69B2AB86"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945.557.318</w:t>
            </w:r>
          </w:p>
        </w:tc>
        <w:tc>
          <w:tcPr>
            <w:tcW w:w="1552" w:type="dxa"/>
            <w:tcMar>
              <w:top w:w="39" w:type="dxa"/>
              <w:left w:w="39" w:type="dxa"/>
              <w:bottom w:w="39" w:type="dxa"/>
              <w:right w:w="39" w:type="dxa"/>
            </w:tcMar>
          </w:tcPr>
          <w:p w14:paraId="066B1BAF"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914.808.304</w:t>
            </w:r>
          </w:p>
        </w:tc>
        <w:tc>
          <w:tcPr>
            <w:tcW w:w="1432" w:type="dxa"/>
            <w:tcBorders>
              <w:right w:val="single" w:sz="7" w:space="0" w:color="000000"/>
            </w:tcBorders>
            <w:tcMar>
              <w:top w:w="39" w:type="dxa"/>
              <w:left w:w="39" w:type="dxa"/>
              <w:bottom w:w="39" w:type="dxa"/>
              <w:right w:w="39" w:type="dxa"/>
            </w:tcMar>
          </w:tcPr>
          <w:p w14:paraId="5611C08B"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30.749.014</w:t>
            </w:r>
          </w:p>
        </w:tc>
      </w:tr>
      <w:tr w:rsidR="00243393" w:rsidRPr="00243393" w14:paraId="2267FB38" w14:textId="77777777" w:rsidTr="00021CE8">
        <w:trPr>
          <w:trHeight w:val="339"/>
        </w:trPr>
        <w:tc>
          <w:tcPr>
            <w:tcW w:w="4950" w:type="dxa"/>
            <w:tcBorders>
              <w:left w:val="single" w:sz="7" w:space="0" w:color="000000"/>
            </w:tcBorders>
            <w:tcMar>
              <w:top w:w="39" w:type="dxa"/>
              <w:left w:w="39" w:type="dxa"/>
              <w:bottom w:w="39" w:type="dxa"/>
              <w:right w:w="39" w:type="dxa"/>
            </w:tcMar>
          </w:tcPr>
          <w:p w14:paraId="68CA9D85"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4009DC06"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51.517.007</w:t>
            </w:r>
          </w:p>
        </w:tc>
        <w:tc>
          <w:tcPr>
            <w:tcW w:w="1552" w:type="dxa"/>
            <w:tcMar>
              <w:top w:w="39" w:type="dxa"/>
              <w:left w:w="39" w:type="dxa"/>
              <w:bottom w:w="39" w:type="dxa"/>
              <w:right w:w="39" w:type="dxa"/>
            </w:tcMar>
          </w:tcPr>
          <w:p w14:paraId="554AA174"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B20BFBA"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51.517.007</w:t>
            </w:r>
          </w:p>
        </w:tc>
      </w:tr>
      <w:tr w:rsidR="00243393" w:rsidRPr="00243393" w14:paraId="5C0396A8" w14:textId="77777777" w:rsidTr="00021CE8">
        <w:trPr>
          <w:trHeight w:val="339"/>
        </w:trPr>
        <w:tc>
          <w:tcPr>
            <w:tcW w:w="4950" w:type="dxa"/>
            <w:tcBorders>
              <w:left w:val="single" w:sz="7" w:space="0" w:color="000000"/>
            </w:tcBorders>
            <w:tcMar>
              <w:top w:w="39" w:type="dxa"/>
              <w:left w:w="39" w:type="dxa"/>
              <w:bottom w:w="39" w:type="dxa"/>
              <w:right w:w="39" w:type="dxa"/>
            </w:tcMar>
          </w:tcPr>
          <w:p w14:paraId="0A1D531D"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220A22C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379.321.572</w:t>
            </w:r>
          </w:p>
        </w:tc>
        <w:tc>
          <w:tcPr>
            <w:tcW w:w="1552" w:type="dxa"/>
            <w:tcMar>
              <w:top w:w="39" w:type="dxa"/>
              <w:left w:w="39" w:type="dxa"/>
              <w:bottom w:w="39" w:type="dxa"/>
              <w:right w:w="39" w:type="dxa"/>
            </w:tcMar>
          </w:tcPr>
          <w:p w14:paraId="79E407D2"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C0D0EF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379.321.572</w:t>
            </w:r>
          </w:p>
        </w:tc>
      </w:tr>
      <w:tr w:rsidR="00243393" w:rsidRPr="00243393" w14:paraId="63CB972E" w14:textId="77777777" w:rsidTr="00021CE8">
        <w:trPr>
          <w:trHeight w:val="339"/>
        </w:trPr>
        <w:tc>
          <w:tcPr>
            <w:tcW w:w="4950" w:type="dxa"/>
            <w:tcBorders>
              <w:left w:val="single" w:sz="7" w:space="0" w:color="000000"/>
            </w:tcBorders>
            <w:tcMar>
              <w:top w:w="39" w:type="dxa"/>
              <w:left w:w="39" w:type="dxa"/>
              <w:bottom w:w="39" w:type="dxa"/>
              <w:right w:w="39" w:type="dxa"/>
            </w:tcMar>
          </w:tcPr>
          <w:p w14:paraId="10B79A14"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6E9EAC1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1.706.937.353</w:t>
            </w:r>
          </w:p>
        </w:tc>
        <w:tc>
          <w:tcPr>
            <w:tcW w:w="1552" w:type="dxa"/>
            <w:tcMar>
              <w:top w:w="39" w:type="dxa"/>
              <w:left w:w="39" w:type="dxa"/>
              <w:bottom w:w="39" w:type="dxa"/>
              <w:right w:w="39" w:type="dxa"/>
            </w:tcMar>
          </w:tcPr>
          <w:p w14:paraId="583C9205"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6BAB557"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1.706.937.353</w:t>
            </w:r>
          </w:p>
        </w:tc>
      </w:tr>
      <w:tr w:rsidR="00243393" w:rsidRPr="00243393" w14:paraId="766EA840" w14:textId="77777777" w:rsidTr="00021CE8">
        <w:trPr>
          <w:trHeight w:val="339"/>
        </w:trPr>
        <w:tc>
          <w:tcPr>
            <w:tcW w:w="4950" w:type="dxa"/>
            <w:tcBorders>
              <w:left w:val="single" w:sz="7" w:space="0" w:color="000000"/>
            </w:tcBorders>
            <w:tcMar>
              <w:top w:w="39" w:type="dxa"/>
              <w:left w:w="39" w:type="dxa"/>
              <w:bottom w:w="39" w:type="dxa"/>
              <w:right w:w="39" w:type="dxa"/>
            </w:tcMar>
          </w:tcPr>
          <w:p w14:paraId="1473B1FB"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lastRenderedPageBreak/>
              <w:t xml:space="preserve">  INICIATIVAS DE INVERSIÓN</w:t>
            </w:r>
          </w:p>
        </w:tc>
        <w:tc>
          <w:tcPr>
            <w:tcW w:w="1387" w:type="dxa"/>
            <w:tcMar>
              <w:top w:w="39" w:type="dxa"/>
              <w:left w:w="39" w:type="dxa"/>
              <w:bottom w:w="39" w:type="dxa"/>
              <w:right w:w="39" w:type="dxa"/>
            </w:tcMar>
          </w:tcPr>
          <w:p w14:paraId="357F9DBC"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5.304.847.831</w:t>
            </w:r>
          </w:p>
        </w:tc>
        <w:tc>
          <w:tcPr>
            <w:tcW w:w="1552" w:type="dxa"/>
            <w:tcMar>
              <w:top w:w="39" w:type="dxa"/>
              <w:left w:w="39" w:type="dxa"/>
              <w:bottom w:w="39" w:type="dxa"/>
              <w:right w:w="39" w:type="dxa"/>
            </w:tcMar>
          </w:tcPr>
          <w:p w14:paraId="7BD30DEF"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ACA8574"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5.304.847.831</w:t>
            </w:r>
          </w:p>
        </w:tc>
      </w:tr>
      <w:tr w:rsidR="00243393" w:rsidRPr="00243393" w14:paraId="3A2B16E5" w14:textId="77777777" w:rsidTr="00021CE8">
        <w:trPr>
          <w:trHeight w:val="339"/>
        </w:trPr>
        <w:tc>
          <w:tcPr>
            <w:tcW w:w="4950" w:type="dxa"/>
            <w:tcBorders>
              <w:left w:val="single" w:sz="7" w:space="0" w:color="000000"/>
            </w:tcBorders>
            <w:tcMar>
              <w:top w:w="39" w:type="dxa"/>
              <w:left w:w="39" w:type="dxa"/>
              <w:bottom w:w="39" w:type="dxa"/>
              <w:right w:w="39" w:type="dxa"/>
            </w:tcMar>
          </w:tcPr>
          <w:p w14:paraId="0E399BDC"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531CFD1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2.316.389.272</w:t>
            </w:r>
          </w:p>
        </w:tc>
        <w:tc>
          <w:tcPr>
            <w:tcW w:w="1552" w:type="dxa"/>
            <w:tcMar>
              <w:top w:w="39" w:type="dxa"/>
              <w:left w:w="39" w:type="dxa"/>
              <w:bottom w:w="39" w:type="dxa"/>
              <w:right w:w="39" w:type="dxa"/>
            </w:tcMar>
          </w:tcPr>
          <w:p w14:paraId="1A266813"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E735906"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2.316.389.272</w:t>
            </w:r>
          </w:p>
        </w:tc>
      </w:tr>
      <w:tr w:rsidR="00243393" w:rsidRPr="00243393" w14:paraId="7B109F4B" w14:textId="77777777" w:rsidTr="00021CE8">
        <w:trPr>
          <w:trHeight w:val="339"/>
        </w:trPr>
        <w:tc>
          <w:tcPr>
            <w:tcW w:w="4950" w:type="dxa"/>
            <w:tcBorders>
              <w:left w:val="single" w:sz="7" w:space="0" w:color="000000"/>
            </w:tcBorders>
            <w:tcMar>
              <w:top w:w="39" w:type="dxa"/>
              <w:left w:w="39" w:type="dxa"/>
              <w:bottom w:w="39" w:type="dxa"/>
              <w:right w:w="39" w:type="dxa"/>
            </w:tcMar>
          </w:tcPr>
          <w:p w14:paraId="221A0F42"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TRANSFERENCIAS DE CAPITAL</w:t>
            </w:r>
          </w:p>
        </w:tc>
        <w:tc>
          <w:tcPr>
            <w:tcW w:w="1387" w:type="dxa"/>
            <w:tcMar>
              <w:top w:w="39" w:type="dxa"/>
              <w:left w:w="39" w:type="dxa"/>
              <w:bottom w:w="39" w:type="dxa"/>
              <w:right w:w="39" w:type="dxa"/>
            </w:tcMar>
          </w:tcPr>
          <w:p w14:paraId="5CC8161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9.267.908.983</w:t>
            </w:r>
          </w:p>
        </w:tc>
        <w:tc>
          <w:tcPr>
            <w:tcW w:w="1552" w:type="dxa"/>
            <w:tcMar>
              <w:top w:w="39" w:type="dxa"/>
              <w:left w:w="39" w:type="dxa"/>
              <w:bottom w:w="39" w:type="dxa"/>
              <w:right w:w="39" w:type="dxa"/>
            </w:tcMar>
          </w:tcPr>
          <w:p w14:paraId="030361C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33CA8301"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7.398.518.069</w:t>
            </w:r>
          </w:p>
        </w:tc>
      </w:tr>
      <w:tr w:rsidR="00243393" w:rsidRPr="00243393" w14:paraId="756CF086" w14:textId="77777777" w:rsidTr="00021CE8">
        <w:trPr>
          <w:trHeight w:val="339"/>
        </w:trPr>
        <w:tc>
          <w:tcPr>
            <w:tcW w:w="4950" w:type="dxa"/>
            <w:tcBorders>
              <w:left w:val="single" w:sz="7" w:space="0" w:color="000000"/>
            </w:tcBorders>
            <w:tcMar>
              <w:top w:w="39" w:type="dxa"/>
              <w:left w:w="39" w:type="dxa"/>
              <w:bottom w:w="39" w:type="dxa"/>
              <w:right w:w="39" w:type="dxa"/>
            </w:tcMar>
          </w:tcPr>
          <w:p w14:paraId="47BC0099"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126FCD4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5.964.968.100</w:t>
            </w:r>
          </w:p>
        </w:tc>
        <w:tc>
          <w:tcPr>
            <w:tcW w:w="1552" w:type="dxa"/>
            <w:tcMar>
              <w:top w:w="39" w:type="dxa"/>
              <w:left w:w="39" w:type="dxa"/>
              <w:bottom w:w="39" w:type="dxa"/>
              <w:right w:w="39" w:type="dxa"/>
            </w:tcMar>
          </w:tcPr>
          <w:p w14:paraId="662281D1" w14:textId="77777777" w:rsidR="00243393" w:rsidRPr="00243393" w:rsidRDefault="00243393" w:rsidP="00243393">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4DB2024"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5.964.968.100</w:t>
            </w:r>
          </w:p>
        </w:tc>
      </w:tr>
      <w:tr w:rsidR="00243393" w:rsidRPr="00243393" w14:paraId="1D070DAC" w14:textId="77777777" w:rsidTr="00021CE8">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6F5430A6" w14:textId="77777777" w:rsidR="00243393" w:rsidRPr="00243393" w:rsidRDefault="00243393" w:rsidP="00243393">
            <w:pPr>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0BDB46C5"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13.484.115</w:t>
            </w:r>
          </w:p>
        </w:tc>
        <w:tc>
          <w:tcPr>
            <w:tcW w:w="1552" w:type="dxa"/>
            <w:tcBorders>
              <w:bottom w:val="single" w:sz="7" w:space="0" w:color="000000"/>
            </w:tcBorders>
            <w:tcMar>
              <w:top w:w="39" w:type="dxa"/>
              <w:left w:w="39" w:type="dxa"/>
              <w:bottom w:w="39" w:type="dxa"/>
              <w:right w:w="39" w:type="dxa"/>
            </w:tcMar>
          </w:tcPr>
          <w:p w14:paraId="7636ADC8" w14:textId="77777777" w:rsidR="00243393" w:rsidRPr="00243393" w:rsidRDefault="00243393" w:rsidP="00243393">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2AB5D708" w14:textId="77777777" w:rsidR="00243393" w:rsidRPr="00243393" w:rsidRDefault="00243393" w:rsidP="00243393">
            <w:pPr>
              <w:jc w:val="right"/>
              <w:rPr>
                <w:rFonts w:ascii="Times New Roman" w:eastAsia="Times New Roman" w:hAnsi="Times New Roman"/>
                <w:sz w:val="20"/>
                <w:szCs w:val="20"/>
                <w:lang w:val="en-US"/>
              </w:rPr>
            </w:pPr>
            <w:r w:rsidRPr="00243393">
              <w:rPr>
                <w:rFonts w:ascii="Times New Roman" w:eastAsia="Times New Roman" w:hAnsi="Times New Roman"/>
                <w:color w:val="000000"/>
                <w:sz w:val="20"/>
                <w:szCs w:val="20"/>
                <w:lang w:val="en-US"/>
              </w:rPr>
              <w:t>13.484.115</w:t>
            </w:r>
          </w:p>
        </w:tc>
      </w:tr>
    </w:tbl>
    <w:p w14:paraId="4A8D63A7" w14:textId="77777777" w:rsidR="00BB46D8" w:rsidRDefault="00BB46D8" w:rsidP="00BB46D8">
      <w:pPr>
        <w:widowControl w:val="0"/>
        <w:spacing w:line="276" w:lineRule="auto"/>
        <w:jc w:val="both"/>
        <w:rPr>
          <w:rFonts w:ascii="Courier New" w:eastAsia="Times New Roman" w:hAnsi="Courier New" w:cs="Courier New"/>
          <w:sz w:val="24"/>
          <w:szCs w:val="24"/>
          <w:lang w:val="es-CL"/>
        </w:rPr>
      </w:pPr>
    </w:p>
    <w:p w14:paraId="460C8400" w14:textId="77777777" w:rsidR="00BB46D8" w:rsidRDefault="00BB46D8" w:rsidP="00026E74">
      <w:pPr>
        <w:widowControl w:val="0"/>
        <w:spacing w:line="276" w:lineRule="auto"/>
        <w:jc w:val="both"/>
        <w:rPr>
          <w:rFonts w:ascii="Courier New" w:eastAsia="Times New Roman" w:hAnsi="Courier New" w:cs="Courier New"/>
          <w:sz w:val="24"/>
          <w:szCs w:val="24"/>
          <w:lang w:val="es-CL"/>
        </w:rPr>
      </w:pPr>
    </w:p>
    <w:p w14:paraId="78D8F563" w14:textId="77777777" w:rsidR="00026E74" w:rsidRPr="00026E74" w:rsidRDefault="00026E74" w:rsidP="00026E74">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En Moneda Extranjera Convertida a Dólares</w:t>
      </w:r>
    </w:p>
    <w:p w14:paraId="6DE5CFAA" w14:textId="77777777" w:rsidR="00026E74" w:rsidRPr="00026E74" w:rsidRDefault="00026E74" w:rsidP="00026E74">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En Miles de US$</w:t>
      </w:r>
    </w:p>
    <w:p w14:paraId="749296CB" w14:textId="77777777" w:rsidR="00026E74" w:rsidRDefault="00026E74" w:rsidP="00026E74">
      <w:pPr>
        <w:widowControl w:val="0"/>
        <w:spacing w:line="276" w:lineRule="auto"/>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806"/>
        <w:gridCol w:w="1278"/>
        <w:gridCol w:w="1434"/>
        <w:gridCol w:w="1266"/>
      </w:tblGrid>
      <w:tr w:rsidR="008B677B" w:rsidRPr="008B677B" w14:paraId="61979D52" w14:textId="77777777" w:rsidTr="00021CE8">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20315CBA" w14:textId="77777777" w:rsidR="008B677B" w:rsidRPr="008B677B" w:rsidRDefault="008B677B" w:rsidP="008B677B">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20BF0172" w14:textId="77777777" w:rsidR="008B677B" w:rsidRPr="008B677B" w:rsidRDefault="008B677B" w:rsidP="008B677B">
            <w:pPr>
              <w:jc w:val="center"/>
              <w:rPr>
                <w:rFonts w:ascii="Times New Roman" w:eastAsia="Times New Roman" w:hAnsi="Times New Roman"/>
                <w:sz w:val="20"/>
                <w:szCs w:val="20"/>
                <w:lang w:val="en-US"/>
              </w:rPr>
            </w:pPr>
            <w:proofErr w:type="spellStart"/>
            <w:r w:rsidRPr="008B677B">
              <w:rPr>
                <w:rFonts w:ascii="Times New Roman" w:eastAsia="Times New Roman" w:hAnsi="Times New Roman"/>
                <w:b/>
                <w:color w:val="000000"/>
                <w:sz w:val="18"/>
                <w:szCs w:val="20"/>
                <w:lang w:val="en-US"/>
              </w:rPr>
              <w:t>Resumen</w:t>
            </w:r>
            <w:proofErr w:type="spellEnd"/>
            <w:r w:rsidRPr="008B677B">
              <w:rPr>
                <w:rFonts w:ascii="Times New Roman" w:eastAsia="Times New Roman" w:hAnsi="Times New Roman"/>
                <w:b/>
                <w:color w:val="000000"/>
                <w:sz w:val="18"/>
                <w:szCs w:val="20"/>
                <w:lang w:val="en-US"/>
              </w:rPr>
              <w:t xml:space="preserve"> de </w:t>
            </w:r>
            <w:proofErr w:type="spellStart"/>
            <w:r w:rsidRPr="008B677B">
              <w:rPr>
                <w:rFonts w:ascii="Times New Roman" w:eastAsia="Times New Roman" w:hAnsi="Times New Roman"/>
                <w:b/>
                <w:color w:val="000000"/>
                <w:sz w:val="18"/>
                <w:szCs w:val="20"/>
                <w:lang w:val="en-US"/>
              </w:rPr>
              <w:t>los</w:t>
            </w:r>
            <w:proofErr w:type="spellEnd"/>
            <w:r w:rsidRPr="008B677B">
              <w:rPr>
                <w:rFonts w:ascii="Times New Roman" w:eastAsia="Times New Roman" w:hAnsi="Times New Roman"/>
                <w:b/>
                <w:color w:val="000000"/>
                <w:sz w:val="18"/>
                <w:szCs w:val="20"/>
                <w:lang w:val="en-US"/>
              </w:rPr>
              <w:t xml:space="preserve"> </w:t>
            </w:r>
            <w:proofErr w:type="spellStart"/>
            <w:r w:rsidRPr="008B677B">
              <w:rPr>
                <w:rFonts w:ascii="Times New Roman" w:eastAsia="Times New Roman" w:hAnsi="Times New Roman"/>
                <w:b/>
                <w:color w:val="000000"/>
                <w:sz w:val="18"/>
                <w:szCs w:val="20"/>
                <w:lang w:val="en-US"/>
              </w:rPr>
              <w:t>Presupuestos</w:t>
            </w:r>
            <w:proofErr w:type="spellEnd"/>
            <w:r w:rsidRPr="008B677B">
              <w:rPr>
                <w:rFonts w:ascii="Times New Roman" w:eastAsia="Times New Roman" w:hAnsi="Times New Roman"/>
                <w:b/>
                <w:color w:val="000000"/>
                <w:sz w:val="18"/>
                <w:szCs w:val="20"/>
                <w:lang w:val="en-US"/>
              </w:rPr>
              <w:t xml:space="preserve"> de las </w:t>
            </w:r>
            <w:proofErr w:type="spellStart"/>
            <w:r w:rsidRPr="008B677B">
              <w:rPr>
                <w:rFonts w:ascii="Times New Roman" w:eastAsia="Times New Roman" w:hAnsi="Times New Roman"/>
                <w:b/>
                <w:color w:val="000000"/>
                <w:sz w:val="18"/>
                <w:szCs w:val="20"/>
                <w:lang w:val="en-US"/>
              </w:rPr>
              <w:t>Partidas</w:t>
            </w:r>
            <w:proofErr w:type="spellEnd"/>
          </w:p>
        </w:tc>
        <w:tc>
          <w:tcPr>
            <w:tcW w:w="1552" w:type="dxa"/>
            <w:tcBorders>
              <w:top w:val="single" w:sz="7" w:space="0" w:color="000000"/>
              <w:bottom w:val="single" w:sz="7" w:space="0" w:color="000000"/>
            </w:tcBorders>
            <w:tcMar>
              <w:top w:w="39" w:type="dxa"/>
              <w:left w:w="39" w:type="dxa"/>
              <w:bottom w:w="39" w:type="dxa"/>
              <w:right w:w="39" w:type="dxa"/>
            </w:tcMar>
          </w:tcPr>
          <w:p w14:paraId="5AA73CE4" w14:textId="77777777" w:rsidR="008B677B" w:rsidRPr="008B677B" w:rsidRDefault="008B677B" w:rsidP="008B677B">
            <w:pPr>
              <w:jc w:val="center"/>
              <w:rPr>
                <w:rFonts w:ascii="Times New Roman" w:eastAsia="Times New Roman" w:hAnsi="Times New Roman"/>
                <w:sz w:val="20"/>
                <w:szCs w:val="20"/>
                <w:lang w:val="en-US"/>
              </w:rPr>
            </w:pPr>
            <w:proofErr w:type="spellStart"/>
            <w:r w:rsidRPr="008B677B">
              <w:rPr>
                <w:rFonts w:ascii="Times New Roman" w:eastAsia="Times New Roman" w:hAnsi="Times New Roman"/>
                <w:b/>
                <w:color w:val="000000"/>
                <w:sz w:val="18"/>
                <w:szCs w:val="20"/>
                <w:lang w:val="en-US"/>
              </w:rPr>
              <w:t>Deducciones</w:t>
            </w:r>
            <w:proofErr w:type="spellEnd"/>
            <w:r w:rsidRPr="008B677B">
              <w:rPr>
                <w:rFonts w:ascii="Times New Roman" w:eastAsia="Times New Roman" w:hAnsi="Times New Roman"/>
                <w:b/>
                <w:color w:val="000000"/>
                <w:sz w:val="18"/>
                <w:szCs w:val="20"/>
                <w:lang w:val="en-US"/>
              </w:rPr>
              <w:t xml:space="preserve"> de </w:t>
            </w:r>
            <w:proofErr w:type="spellStart"/>
            <w:r w:rsidRPr="008B677B">
              <w:rPr>
                <w:rFonts w:ascii="Times New Roman" w:eastAsia="Times New Roman" w:hAnsi="Times New Roman"/>
                <w:b/>
                <w:color w:val="000000"/>
                <w:sz w:val="18"/>
                <w:szCs w:val="20"/>
                <w:lang w:val="en-US"/>
              </w:rPr>
              <w:t>Transferencias</w:t>
            </w:r>
            <w:proofErr w:type="spellEnd"/>
            <w:r w:rsidRPr="008B677B">
              <w:rPr>
                <w:rFonts w:ascii="Times New Roman" w:eastAsia="Times New Roman" w:hAnsi="Times New Roman"/>
                <w:b/>
                <w:color w:val="000000"/>
                <w:sz w:val="18"/>
                <w:szCs w:val="20"/>
                <w:lang w:val="en-US"/>
              </w:rPr>
              <w:t xml:space="preserve">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5CD7E5CC" w14:textId="77777777" w:rsidR="008B677B" w:rsidRPr="008B677B" w:rsidRDefault="008B677B" w:rsidP="008B677B">
            <w:pPr>
              <w:jc w:val="center"/>
              <w:rPr>
                <w:rFonts w:ascii="Times New Roman" w:eastAsia="Times New Roman" w:hAnsi="Times New Roman"/>
                <w:sz w:val="20"/>
                <w:szCs w:val="20"/>
                <w:lang w:val="en-US"/>
              </w:rPr>
            </w:pPr>
            <w:r w:rsidRPr="008B677B">
              <w:rPr>
                <w:rFonts w:ascii="Times New Roman" w:eastAsia="Times New Roman" w:hAnsi="Times New Roman"/>
                <w:b/>
                <w:color w:val="000000"/>
                <w:sz w:val="18"/>
                <w:szCs w:val="20"/>
                <w:lang w:val="en-US"/>
              </w:rPr>
              <w:t>Total</w:t>
            </w:r>
          </w:p>
        </w:tc>
      </w:tr>
      <w:tr w:rsidR="008B677B" w:rsidRPr="008B677B" w14:paraId="58240480" w14:textId="77777777" w:rsidTr="00021CE8">
        <w:trPr>
          <w:trHeight w:val="339"/>
        </w:trPr>
        <w:tc>
          <w:tcPr>
            <w:tcW w:w="4950" w:type="dxa"/>
            <w:tcBorders>
              <w:left w:val="single" w:sz="7" w:space="0" w:color="000000"/>
            </w:tcBorders>
            <w:tcMar>
              <w:top w:w="39" w:type="dxa"/>
              <w:left w:w="39" w:type="dxa"/>
              <w:bottom w:w="39" w:type="dxa"/>
              <w:right w:w="39" w:type="dxa"/>
            </w:tcMar>
          </w:tcPr>
          <w:p w14:paraId="107B474E"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646B401E"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0187B55D"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4E456AEE"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14.974.607</w:t>
            </w:r>
          </w:p>
        </w:tc>
      </w:tr>
      <w:tr w:rsidR="008B677B" w:rsidRPr="008B677B" w14:paraId="49C3B2C7" w14:textId="77777777" w:rsidTr="00021CE8">
        <w:trPr>
          <w:trHeight w:val="339"/>
        </w:trPr>
        <w:tc>
          <w:tcPr>
            <w:tcW w:w="4950" w:type="dxa"/>
            <w:tcBorders>
              <w:left w:val="single" w:sz="7" w:space="0" w:color="000000"/>
            </w:tcBorders>
            <w:tcMar>
              <w:top w:w="39" w:type="dxa"/>
              <w:left w:w="39" w:type="dxa"/>
              <w:bottom w:w="39" w:type="dxa"/>
              <w:right w:w="39" w:type="dxa"/>
            </w:tcMar>
          </w:tcPr>
          <w:p w14:paraId="78CD9836"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0255372C"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324.647</w:t>
            </w:r>
          </w:p>
        </w:tc>
        <w:tc>
          <w:tcPr>
            <w:tcW w:w="1552" w:type="dxa"/>
            <w:tcMar>
              <w:top w:w="39" w:type="dxa"/>
              <w:left w:w="39" w:type="dxa"/>
              <w:bottom w:w="39" w:type="dxa"/>
              <w:right w:w="39" w:type="dxa"/>
            </w:tcMar>
          </w:tcPr>
          <w:p w14:paraId="1A3247A9"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5F3EC7A"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324.647</w:t>
            </w:r>
          </w:p>
        </w:tc>
      </w:tr>
      <w:tr w:rsidR="008B677B" w:rsidRPr="008B677B" w14:paraId="04FB1DCA" w14:textId="77777777" w:rsidTr="00021CE8">
        <w:trPr>
          <w:trHeight w:val="339"/>
        </w:trPr>
        <w:tc>
          <w:tcPr>
            <w:tcW w:w="4950" w:type="dxa"/>
            <w:tcBorders>
              <w:left w:val="single" w:sz="7" w:space="0" w:color="000000"/>
            </w:tcBorders>
            <w:tcMar>
              <w:top w:w="39" w:type="dxa"/>
              <w:left w:w="39" w:type="dxa"/>
              <w:bottom w:w="39" w:type="dxa"/>
              <w:right w:w="39" w:type="dxa"/>
            </w:tcMar>
          </w:tcPr>
          <w:p w14:paraId="73AE4771"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7FF7C15E"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5EC23526"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5B7DD256" w14:textId="77777777" w:rsidR="008B677B" w:rsidRPr="008B677B" w:rsidRDefault="008B677B" w:rsidP="008B677B">
            <w:pPr>
              <w:rPr>
                <w:rFonts w:ascii="Times New Roman" w:eastAsia="Times New Roman" w:hAnsi="Times New Roman"/>
                <w:sz w:val="20"/>
                <w:szCs w:val="20"/>
                <w:lang w:val="en-US"/>
              </w:rPr>
            </w:pPr>
          </w:p>
        </w:tc>
      </w:tr>
      <w:tr w:rsidR="008B677B" w:rsidRPr="008B677B" w14:paraId="29442019" w14:textId="77777777" w:rsidTr="00021CE8">
        <w:trPr>
          <w:trHeight w:val="339"/>
        </w:trPr>
        <w:tc>
          <w:tcPr>
            <w:tcW w:w="4950" w:type="dxa"/>
            <w:tcBorders>
              <w:left w:val="single" w:sz="7" w:space="0" w:color="000000"/>
            </w:tcBorders>
            <w:tcMar>
              <w:top w:w="39" w:type="dxa"/>
              <w:left w:w="39" w:type="dxa"/>
              <w:bottom w:w="39" w:type="dxa"/>
              <w:right w:w="39" w:type="dxa"/>
            </w:tcMar>
          </w:tcPr>
          <w:p w14:paraId="30B27B1E"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4A29F23C"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1.967.934</w:t>
            </w:r>
          </w:p>
        </w:tc>
        <w:tc>
          <w:tcPr>
            <w:tcW w:w="1552" w:type="dxa"/>
            <w:tcMar>
              <w:top w:w="39" w:type="dxa"/>
              <w:left w:w="39" w:type="dxa"/>
              <w:bottom w:w="39" w:type="dxa"/>
              <w:right w:w="39" w:type="dxa"/>
            </w:tcMar>
          </w:tcPr>
          <w:p w14:paraId="463EB473"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E9D72A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1.967.934</w:t>
            </w:r>
          </w:p>
        </w:tc>
      </w:tr>
      <w:tr w:rsidR="008B677B" w:rsidRPr="008B677B" w14:paraId="5334318D" w14:textId="77777777" w:rsidTr="00021CE8">
        <w:trPr>
          <w:trHeight w:val="339"/>
        </w:trPr>
        <w:tc>
          <w:tcPr>
            <w:tcW w:w="4950" w:type="dxa"/>
            <w:tcBorders>
              <w:left w:val="single" w:sz="7" w:space="0" w:color="000000"/>
            </w:tcBorders>
            <w:tcMar>
              <w:top w:w="39" w:type="dxa"/>
              <w:left w:w="39" w:type="dxa"/>
              <w:bottom w:w="39" w:type="dxa"/>
              <w:right w:w="39" w:type="dxa"/>
            </w:tcMar>
          </w:tcPr>
          <w:p w14:paraId="3590382C"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78C7C8B2"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3.710</w:t>
            </w:r>
          </w:p>
        </w:tc>
        <w:tc>
          <w:tcPr>
            <w:tcW w:w="1552" w:type="dxa"/>
            <w:tcMar>
              <w:top w:w="39" w:type="dxa"/>
              <w:left w:w="39" w:type="dxa"/>
              <w:bottom w:w="39" w:type="dxa"/>
              <w:right w:w="39" w:type="dxa"/>
            </w:tcMar>
          </w:tcPr>
          <w:p w14:paraId="236B5744"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7FF9641"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3.710</w:t>
            </w:r>
          </w:p>
        </w:tc>
      </w:tr>
      <w:tr w:rsidR="008B677B" w:rsidRPr="008B677B" w14:paraId="3AFBE32F" w14:textId="77777777" w:rsidTr="00021CE8">
        <w:trPr>
          <w:trHeight w:val="339"/>
        </w:trPr>
        <w:tc>
          <w:tcPr>
            <w:tcW w:w="4950" w:type="dxa"/>
            <w:tcBorders>
              <w:left w:val="single" w:sz="7" w:space="0" w:color="000000"/>
            </w:tcBorders>
            <w:tcMar>
              <w:top w:w="39" w:type="dxa"/>
              <w:left w:w="39" w:type="dxa"/>
              <w:bottom w:w="39" w:type="dxa"/>
              <w:right w:w="39" w:type="dxa"/>
            </w:tcMar>
          </w:tcPr>
          <w:p w14:paraId="145DC451"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6C4125F3"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8.016</w:t>
            </w:r>
          </w:p>
        </w:tc>
        <w:tc>
          <w:tcPr>
            <w:tcW w:w="1552" w:type="dxa"/>
            <w:tcMar>
              <w:top w:w="39" w:type="dxa"/>
              <w:left w:w="39" w:type="dxa"/>
              <w:bottom w:w="39" w:type="dxa"/>
              <w:right w:w="39" w:type="dxa"/>
            </w:tcMar>
          </w:tcPr>
          <w:p w14:paraId="1A59C2E8"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096F9DA"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8.016</w:t>
            </w:r>
          </w:p>
        </w:tc>
      </w:tr>
      <w:tr w:rsidR="008B677B" w:rsidRPr="008B677B" w14:paraId="646BADC9" w14:textId="77777777" w:rsidTr="00021CE8">
        <w:trPr>
          <w:trHeight w:val="339"/>
        </w:trPr>
        <w:tc>
          <w:tcPr>
            <w:tcW w:w="4950" w:type="dxa"/>
            <w:tcBorders>
              <w:left w:val="single" w:sz="7" w:space="0" w:color="000000"/>
            </w:tcBorders>
            <w:tcMar>
              <w:top w:w="39" w:type="dxa"/>
              <w:left w:w="39" w:type="dxa"/>
              <w:bottom w:w="39" w:type="dxa"/>
              <w:right w:w="39" w:type="dxa"/>
            </w:tcMar>
          </w:tcPr>
          <w:p w14:paraId="6C474462"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051765C2"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10</w:t>
            </w:r>
          </w:p>
        </w:tc>
        <w:tc>
          <w:tcPr>
            <w:tcW w:w="1552" w:type="dxa"/>
            <w:tcMar>
              <w:top w:w="39" w:type="dxa"/>
              <w:left w:w="39" w:type="dxa"/>
              <w:bottom w:w="39" w:type="dxa"/>
              <w:right w:w="39" w:type="dxa"/>
            </w:tcMar>
          </w:tcPr>
          <w:p w14:paraId="6DA76438"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9BCA0A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10</w:t>
            </w:r>
          </w:p>
        </w:tc>
      </w:tr>
      <w:tr w:rsidR="008B677B" w:rsidRPr="008B677B" w14:paraId="47135CB8" w14:textId="77777777" w:rsidTr="00021CE8">
        <w:trPr>
          <w:trHeight w:val="339"/>
        </w:trPr>
        <w:tc>
          <w:tcPr>
            <w:tcW w:w="4950" w:type="dxa"/>
            <w:tcBorders>
              <w:left w:val="single" w:sz="7" w:space="0" w:color="000000"/>
            </w:tcBorders>
            <w:tcMar>
              <w:top w:w="39" w:type="dxa"/>
              <w:left w:w="39" w:type="dxa"/>
              <w:bottom w:w="39" w:type="dxa"/>
              <w:right w:w="39" w:type="dxa"/>
            </w:tcMar>
          </w:tcPr>
          <w:p w14:paraId="11F6DBAD"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465645A7"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12.543.690</w:t>
            </w:r>
          </w:p>
        </w:tc>
        <w:tc>
          <w:tcPr>
            <w:tcW w:w="1552" w:type="dxa"/>
            <w:tcMar>
              <w:top w:w="39" w:type="dxa"/>
              <w:left w:w="39" w:type="dxa"/>
              <w:bottom w:w="39" w:type="dxa"/>
              <w:right w:w="39" w:type="dxa"/>
            </w:tcMar>
          </w:tcPr>
          <w:p w14:paraId="76BAEE48"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C543F7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12.543.690</w:t>
            </w:r>
          </w:p>
        </w:tc>
      </w:tr>
      <w:tr w:rsidR="008B677B" w:rsidRPr="008B677B" w14:paraId="0E3229A8" w14:textId="77777777" w:rsidTr="00021CE8">
        <w:trPr>
          <w:trHeight w:val="339"/>
        </w:trPr>
        <w:tc>
          <w:tcPr>
            <w:tcW w:w="4950" w:type="dxa"/>
            <w:tcBorders>
              <w:left w:val="single" w:sz="7" w:space="0" w:color="000000"/>
            </w:tcBorders>
            <w:tcMar>
              <w:top w:w="39" w:type="dxa"/>
              <w:left w:w="39" w:type="dxa"/>
              <w:bottom w:w="39" w:type="dxa"/>
              <w:right w:w="39" w:type="dxa"/>
            </w:tcMar>
          </w:tcPr>
          <w:p w14:paraId="4CD8EA5E"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38A3E4BA"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028A7F7A"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6491EE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2.385</w:t>
            </w:r>
          </w:p>
        </w:tc>
      </w:tr>
      <w:tr w:rsidR="008B677B" w:rsidRPr="008B677B" w14:paraId="3FEFD09B" w14:textId="77777777" w:rsidTr="00021CE8">
        <w:trPr>
          <w:trHeight w:val="339"/>
        </w:trPr>
        <w:tc>
          <w:tcPr>
            <w:tcW w:w="4950" w:type="dxa"/>
            <w:tcBorders>
              <w:left w:val="single" w:sz="7" w:space="0" w:color="000000"/>
            </w:tcBorders>
            <w:tcMar>
              <w:top w:w="39" w:type="dxa"/>
              <w:left w:w="39" w:type="dxa"/>
              <w:bottom w:w="39" w:type="dxa"/>
              <w:right w:w="39" w:type="dxa"/>
            </w:tcMar>
          </w:tcPr>
          <w:p w14:paraId="3574D7F1"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5E8CFE1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122.175</w:t>
            </w:r>
          </w:p>
        </w:tc>
        <w:tc>
          <w:tcPr>
            <w:tcW w:w="1552" w:type="dxa"/>
            <w:tcMar>
              <w:top w:w="39" w:type="dxa"/>
              <w:left w:w="39" w:type="dxa"/>
              <w:bottom w:w="39" w:type="dxa"/>
              <w:right w:w="39" w:type="dxa"/>
            </w:tcMar>
          </w:tcPr>
          <w:p w14:paraId="61FC5B0C"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93DB90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122.175</w:t>
            </w:r>
          </w:p>
        </w:tc>
      </w:tr>
      <w:tr w:rsidR="008B677B" w:rsidRPr="008B677B" w14:paraId="10FADC26" w14:textId="77777777" w:rsidTr="00021CE8">
        <w:trPr>
          <w:trHeight w:val="339"/>
        </w:trPr>
        <w:tc>
          <w:tcPr>
            <w:tcW w:w="4950" w:type="dxa"/>
            <w:tcBorders>
              <w:left w:val="single" w:sz="7" w:space="0" w:color="000000"/>
            </w:tcBorders>
            <w:tcMar>
              <w:top w:w="39" w:type="dxa"/>
              <w:left w:w="39" w:type="dxa"/>
              <w:bottom w:w="39" w:type="dxa"/>
              <w:right w:w="39" w:type="dxa"/>
            </w:tcMar>
          </w:tcPr>
          <w:p w14:paraId="6E229157"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3F2E97F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2.040</w:t>
            </w:r>
          </w:p>
        </w:tc>
        <w:tc>
          <w:tcPr>
            <w:tcW w:w="1552" w:type="dxa"/>
            <w:tcMar>
              <w:top w:w="39" w:type="dxa"/>
              <w:left w:w="39" w:type="dxa"/>
              <w:bottom w:w="39" w:type="dxa"/>
              <w:right w:w="39" w:type="dxa"/>
            </w:tcMar>
          </w:tcPr>
          <w:p w14:paraId="7987AA3A"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49A5D51"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2.040</w:t>
            </w:r>
          </w:p>
        </w:tc>
      </w:tr>
      <w:tr w:rsidR="008B677B" w:rsidRPr="008B677B" w14:paraId="5D6E3B15" w14:textId="77777777" w:rsidTr="00021CE8">
        <w:trPr>
          <w:trHeight w:val="339"/>
        </w:trPr>
        <w:tc>
          <w:tcPr>
            <w:tcW w:w="4950" w:type="dxa"/>
            <w:tcBorders>
              <w:left w:val="single" w:sz="7" w:space="0" w:color="000000"/>
            </w:tcBorders>
            <w:tcMar>
              <w:top w:w="39" w:type="dxa"/>
              <w:left w:w="39" w:type="dxa"/>
              <w:bottom w:w="39" w:type="dxa"/>
              <w:right w:w="39" w:type="dxa"/>
            </w:tcMar>
          </w:tcPr>
          <w:p w14:paraId="02DC4A9E"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58273456"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730FB623"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3CCB46F7"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b/>
                <w:color w:val="000000"/>
                <w:sz w:val="20"/>
                <w:szCs w:val="20"/>
                <w:lang w:val="en-US"/>
              </w:rPr>
              <w:t>14.974.607</w:t>
            </w:r>
          </w:p>
        </w:tc>
      </w:tr>
      <w:tr w:rsidR="008B677B" w:rsidRPr="008B677B" w14:paraId="1351A3C1" w14:textId="77777777" w:rsidTr="00021CE8">
        <w:trPr>
          <w:trHeight w:val="339"/>
        </w:trPr>
        <w:tc>
          <w:tcPr>
            <w:tcW w:w="4950" w:type="dxa"/>
            <w:tcBorders>
              <w:left w:val="single" w:sz="7" w:space="0" w:color="000000"/>
            </w:tcBorders>
            <w:tcMar>
              <w:top w:w="39" w:type="dxa"/>
              <w:left w:w="39" w:type="dxa"/>
              <w:bottom w:w="39" w:type="dxa"/>
              <w:right w:w="39" w:type="dxa"/>
            </w:tcMar>
          </w:tcPr>
          <w:p w14:paraId="68DD8E29"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16A3AC9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143.566</w:t>
            </w:r>
          </w:p>
        </w:tc>
        <w:tc>
          <w:tcPr>
            <w:tcW w:w="1552" w:type="dxa"/>
            <w:tcMar>
              <w:top w:w="39" w:type="dxa"/>
              <w:left w:w="39" w:type="dxa"/>
              <w:bottom w:w="39" w:type="dxa"/>
              <w:right w:w="39" w:type="dxa"/>
            </w:tcMar>
          </w:tcPr>
          <w:p w14:paraId="201FD8D8"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0CEA9B8"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143.566</w:t>
            </w:r>
          </w:p>
        </w:tc>
      </w:tr>
      <w:tr w:rsidR="008B677B" w:rsidRPr="008B677B" w14:paraId="704A448B" w14:textId="77777777" w:rsidTr="00021CE8">
        <w:trPr>
          <w:trHeight w:val="339"/>
        </w:trPr>
        <w:tc>
          <w:tcPr>
            <w:tcW w:w="4950" w:type="dxa"/>
            <w:tcBorders>
              <w:left w:val="single" w:sz="7" w:space="0" w:color="000000"/>
            </w:tcBorders>
            <w:tcMar>
              <w:top w:w="39" w:type="dxa"/>
              <w:left w:w="39" w:type="dxa"/>
              <w:bottom w:w="39" w:type="dxa"/>
              <w:right w:w="39" w:type="dxa"/>
            </w:tcMar>
          </w:tcPr>
          <w:p w14:paraId="3E03E786"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36D5DECD"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139.804</w:t>
            </w:r>
          </w:p>
        </w:tc>
        <w:tc>
          <w:tcPr>
            <w:tcW w:w="1552" w:type="dxa"/>
            <w:tcMar>
              <w:top w:w="39" w:type="dxa"/>
              <w:left w:w="39" w:type="dxa"/>
              <w:bottom w:w="39" w:type="dxa"/>
              <w:right w:w="39" w:type="dxa"/>
            </w:tcMar>
          </w:tcPr>
          <w:p w14:paraId="45D13BD5"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6F140A9"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139.804</w:t>
            </w:r>
          </w:p>
        </w:tc>
      </w:tr>
      <w:tr w:rsidR="008B677B" w:rsidRPr="008B677B" w14:paraId="55EDF572" w14:textId="77777777" w:rsidTr="00021CE8">
        <w:trPr>
          <w:trHeight w:val="339"/>
        </w:trPr>
        <w:tc>
          <w:tcPr>
            <w:tcW w:w="4950" w:type="dxa"/>
            <w:tcBorders>
              <w:left w:val="single" w:sz="7" w:space="0" w:color="000000"/>
            </w:tcBorders>
            <w:tcMar>
              <w:top w:w="39" w:type="dxa"/>
              <w:left w:w="39" w:type="dxa"/>
              <w:bottom w:w="39" w:type="dxa"/>
              <w:right w:w="39" w:type="dxa"/>
            </w:tcMar>
          </w:tcPr>
          <w:p w14:paraId="6C348EB1"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3753026E"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320</w:t>
            </w:r>
          </w:p>
        </w:tc>
        <w:tc>
          <w:tcPr>
            <w:tcW w:w="1552" w:type="dxa"/>
            <w:tcMar>
              <w:top w:w="39" w:type="dxa"/>
              <w:left w:w="39" w:type="dxa"/>
              <w:bottom w:w="39" w:type="dxa"/>
              <w:right w:w="39" w:type="dxa"/>
            </w:tcMar>
          </w:tcPr>
          <w:p w14:paraId="0690FF9F"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3AB191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320</w:t>
            </w:r>
          </w:p>
        </w:tc>
      </w:tr>
      <w:tr w:rsidR="008B677B" w:rsidRPr="008B677B" w14:paraId="0DFCD4D6" w14:textId="77777777" w:rsidTr="00021CE8">
        <w:trPr>
          <w:trHeight w:val="339"/>
        </w:trPr>
        <w:tc>
          <w:tcPr>
            <w:tcW w:w="4950" w:type="dxa"/>
            <w:tcBorders>
              <w:left w:val="single" w:sz="7" w:space="0" w:color="000000"/>
            </w:tcBorders>
            <w:tcMar>
              <w:top w:w="39" w:type="dxa"/>
              <w:left w:w="39" w:type="dxa"/>
              <w:bottom w:w="39" w:type="dxa"/>
              <w:right w:w="39" w:type="dxa"/>
            </w:tcMar>
          </w:tcPr>
          <w:p w14:paraId="24EE06CF"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5A87F85B"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97.920</w:t>
            </w:r>
          </w:p>
        </w:tc>
        <w:tc>
          <w:tcPr>
            <w:tcW w:w="1552" w:type="dxa"/>
            <w:tcMar>
              <w:top w:w="39" w:type="dxa"/>
              <w:left w:w="39" w:type="dxa"/>
              <w:bottom w:w="39" w:type="dxa"/>
              <w:right w:w="39" w:type="dxa"/>
            </w:tcMar>
          </w:tcPr>
          <w:p w14:paraId="2D4FAE00"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4D301E7"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97.920</w:t>
            </w:r>
          </w:p>
        </w:tc>
      </w:tr>
      <w:tr w:rsidR="008B677B" w:rsidRPr="008B677B" w14:paraId="22F08763" w14:textId="77777777" w:rsidTr="00021CE8">
        <w:trPr>
          <w:trHeight w:val="339"/>
        </w:trPr>
        <w:tc>
          <w:tcPr>
            <w:tcW w:w="4950" w:type="dxa"/>
            <w:tcBorders>
              <w:left w:val="single" w:sz="7" w:space="0" w:color="000000"/>
            </w:tcBorders>
            <w:tcMar>
              <w:top w:w="39" w:type="dxa"/>
              <w:left w:w="39" w:type="dxa"/>
              <w:bottom w:w="39" w:type="dxa"/>
              <w:right w:w="39" w:type="dxa"/>
            </w:tcMar>
          </w:tcPr>
          <w:p w14:paraId="377DC805"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6F6F3D1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19874398"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7538E686" w14:textId="77777777" w:rsidR="008B677B" w:rsidRPr="008B677B" w:rsidRDefault="008B677B" w:rsidP="008B677B">
            <w:pPr>
              <w:rPr>
                <w:rFonts w:ascii="Times New Roman" w:eastAsia="Times New Roman" w:hAnsi="Times New Roman"/>
                <w:sz w:val="20"/>
                <w:szCs w:val="20"/>
                <w:lang w:val="en-US"/>
              </w:rPr>
            </w:pPr>
          </w:p>
        </w:tc>
      </w:tr>
      <w:tr w:rsidR="008B677B" w:rsidRPr="008B677B" w14:paraId="3C7A99C8" w14:textId="77777777" w:rsidTr="00021CE8">
        <w:trPr>
          <w:trHeight w:val="339"/>
        </w:trPr>
        <w:tc>
          <w:tcPr>
            <w:tcW w:w="4950" w:type="dxa"/>
            <w:tcBorders>
              <w:left w:val="single" w:sz="7" w:space="0" w:color="000000"/>
            </w:tcBorders>
            <w:tcMar>
              <w:top w:w="39" w:type="dxa"/>
              <w:left w:w="39" w:type="dxa"/>
              <w:bottom w:w="39" w:type="dxa"/>
              <w:right w:w="39" w:type="dxa"/>
            </w:tcMar>
          </w:tcPr>
          <w:p w14:paraId="0086993D"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46B17C72"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110</w:t>
            </w:r>
          </w:p>
        </w:tc>
        <w:tc>
          <w:tcPr>
            <w:tcW w:w="1552" w:type="dxa"/>
            <w:tcMar>
              <w:top w:w="39" w:type="dxa"/>
              <w:left w:w="39" w:type="dxa"/>
              <w:bottom w:w="39" w:type="dxa"/>
              <w:right w:w="39" w:type="dxa"/>
            </w:tcMar>
          </w:tcPr>
          <w:p w14:paraId="21FFFF9A"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4FD823F"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110</w:t>
            </w:r>
          </w:p>
        </w:tc>
      </w:tr>
      <w:tr w:rsidR="008B677B" w:rsidRPr="008B677B" w14:paraId="3CEFBDDB" w14:textId="77777777" w:rsidTr="00021CE8">
        <w:trPr>
          <w:trHeight w:val="339"/>
        </w:trPr>
        <w:tc>
          <w:tcPr>
            <w:tcW w:w="4950" w:type="dxa"/>
            <w:tcBorders>
              <w:left w:val="single" w:sz="7" w:space="0" w:color="000000"/>
            </w:tcBorders>
            <w:tcMar>
              <w:top w:w="39" w:type="dxa"/>
              <w:left w:w="39" w:type="dxa"/>
              <w:bottom w:w="39" w:type="dxa"/>
              <w:right w:w="39" w:type="dxa"/>
            </w:tcMar>
          </w:tcPr>
          <w:p w14:paraId="466A60E7"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7A14503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3.044</w:t>
            </w:r>
          </w:p>
        </w:tc>
        <w:tc>
          <w:tcPr>
            <w:tcW w:w="1552" w:type="dxa"/>
            <w:tcMar>
              <w:top w:w="39" w:type="dxa"/>
              <w:left w:w="39" w:type="dxa"/>
              <w:bottom w:w="39" w:type="dxa"/>
              <w:right w:w="39" w:type="dxa"/>
            </w:tcMar>
          </w:tcPr>
          <w:p w14:paraId="78552C35"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68DE74F"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3.044</w:t>
            </w:r>
          </w:p>
        </w:tc>
      </w:tr>
      <w:tr w:rsidR="008B677B" w:rsidRPr="008B677B" w14:paraId="0CC8D649" w14:textId="77777777" w:rsidTr="00021CE8">
        <w:trPr>
          <w:trHeight w:val="339"/>
        </w:trPr>
        <w:tc>
          <w:tcPr>
            <w:tcW w:w="4950" w:type="dxa"/>
            <w:tcBorders>
              <w:left w:val="single" w:sz="7" w:space="0" w:color="000000"/>
            </w:tcBorders>
            <w:tcMar>
              <w:top w:w="39" w:type="dxa"/>
              <w:left w:w="39" w:type="dxa"/>
              <w:bottom w:w="39" w:type="dxa"/>
              <w:right w:w="39" w:type="dxa"/>
            </w:tcMar>
          </w:tcPr>
          <w:p w14:paraId="545353A6"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1BBCE006"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10.877.435</w:t>
            </w:r>
          </w:p>
        </w:tc>
        <w:tc>
          <w:tcPr>
            <w:tcW w:w="1552" w:type="dxa"/>
            <w:tcMar>
              <w:top w:w="39" w:type="dxa"/>
              <w:left w:w="39" w:type="dxa"/>
              <w:bottom w:w="39" w:type="dxa"/>
              <w:right w:w="39" w:type="dxa"/>
            </w:tcMar>
          </w:tcPr>
          <w:p w14:paraId="37EAFC0E"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CD46F9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10.877.435</w:t>
            </w:r>
          </w:p>
        </w:tc>
      </w:tr>
      <w:tr w:rsidR="008B677B" w:rsidRPr="008B677B" w14:paraId="113CDD79" w14:textId="77777777" w:rsidTr="00021CE8">
        <w:trPr>
          <w:trHeight w:val="339"/>
        </w:trPr>
        <w:tc>
          <w:tcPr>
            <w:tcW w:w="4950" w:type="dxa"/>
            <w:tcBorders>
              <w:left w:val="single" w:sz="7" w:space="0" w:color="000000"/>
            </w:tcBorders>
            <w:tcMar>
              <w:top w:w="39" w:type="dxa"/>
              <w:left w:w="39" w:type="dxa"/>
              <w:bottom w:w="39" w:type="dxa"/>
              <w:right w:w="39" w:type="dxa"/>
            </w:tcMar>
          </w:tcPr>
          <w:p w14:paraId="0FD16260"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INICIATIVAS DE INVERSIÓN</w:t>
            </w:r>
          </w:p>
        </w:tc>
        <w:tc>
          <w:tcPr>
            <w:tcW w:w="1387" w:type="dxa"/>
            <w:tcMar>
              <w:top w:w="39" w:type="dxa"/>
              <w:left w:w="39" w:type="dxa"/>
              <w:bottom w:w="39" w:type="dxa"/>
              <w:right w:w="39" w:type="dxa"/>
            </w:tcMar>
          </w:tcPr>
          <w:p w14:paraId="6EB7A4A9"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414</w:t>
            </w:r>
          </w:p>
        </w:tc>
        <w:tc>
          <w:tcPr>
            <w:tcW w:w="1552" w:type="dxa"/>
            <w:tcMar>
              <w:top w:w="39" w:type="dxa"/>
              <w:left w:w="39" w:type="dxa"/>
              <w:bottom w:w="39" w:type="dxa"/>
              <w:right w:w="39" w:type="dxa"/>
            </w:tcMar>
          </w:tcPr>
          <w:p w14:paraId="1634D28B"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37DEEC0"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414</w:t>
            </w:r>
          </w:p>
        </w:tc>
      </w:tr>
      <w:tr w:rsidR="008B677B" w:rsidRPr="008B677B" w14:paraId="5F3414DF" w14:textId="77777777" w:rsidTr="00021CE8">
        <w:trPr>
          <w:trHeight w:val="339"/>
        </w:trPr>
        <w:tc>
          <w:tcPr>
            <w:tcW w:w="4950" w:type="dxa"/>
            <w:tcBorders>
              <w:left w:val="single" w:sz="7" w:space="0" w:color="000000"/>
            </w:tcBorders>
            <w:tcMar>
              <w:top w:w="39" w:type="dxa"/>
              <w:left w:w="39" w:type="dxa"/>
              <w:bottom w:w="39" w:type="dxa"/>
              <w:right w:w="39" w:type="dxa"/>
            </w:tcMar>
          </w:tcPr>
          <w:p w14:paraId="67091464"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62602B53"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1E6AF7AE"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8AC909A"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2.385</w:t>
            </w:r>
          </w:p>
        </w:tc>
      </w:tr>
      <w:tr w:rsidR="008B677B" w:rsidRPr="008B677B" w14:paraId="69E55AEE" w14:textId="77777777" w:rsidTr="00021CE8">
        <w:trPr>
          <w:trHeight w:val="339"/>
        </w:trPr>
        <w:tc>
          <w:tcPr>
            <w:tcW w:w="4950" w:type="dxa"/>
            <w:tcBorders>
              <w:left w:val="single" w:sz="7" w:space="0" w:color="000000"/>
            </w:tcBorders>
            <w:tcMar>
              <w:top w:w="39" w:type="dxa"/>
              <w:left w:w="39" w:type="dxa"/>
              <w:bottom w:w="39" w:type="dxa"/>
              <w:right w:w="39" w:type="dxa"/>
            </w:tcMar>
          </w:tcPr>
          <w:p w14:paraId="6C11A04D"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7B3F9C63"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3.707.609</w:t>
            </w:r>
          </w:p>
        </w:tc>
        <w:tc>
          <w:tcPr>
            <w:tcW w:w="1552" w:type="dxa"/>
            <w:tcMar>
              <w:top w:w="39" w:type="dxa"/>
              <w:left w:w="39" w:type="dxa"/>
              <w:bottom w:w="39" w:type="dxa"/>
              <w:right w:w="39" w:type="dxa"/>
            </w:tcMar>
          </w:tcPr>
          <w:p w14:paraId="525F69E4" w14:textId="77777777" w:rsidR="008B677B" w:rsidRPr="008B677B" w:rsidRDefault="008B677B" w:rsidP="008B67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16E2745"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3.707.609</w:t>
            </w:r>
          </w:p>
        </w:tc>
      </w:tr>
      <w:tr w:rsidR="008B677B" w:rsidRPr="008B677B" w14:paraId="08AF0501" w14:textId="77777777" w:rsidTr="00021CE8">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1EDE46A3" w14:textId="77777777" w:rsidR="008B677B" w:rsidRPr="008B677B" w:rsidRDefault="008B677B" w:rsidP="008B677B">
            <w:pPr>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50489D73"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2.000</w:t>
            </w:r>
          </w:p>
        </w:tc>
        <w:tc>
          <w:tcPr>
            <w:tcW w:w="1552" w:type="dxa"/>
            <w:tcBorders>
              <w:bottom w:val="single" w:sz="7" w:space="0" w:color="000000"/>
            </w:tcBorders>
            <w:tcMar>
              <w:top w:w="39" w:type="dxa"/>
              <w:left w:w="39" w:type="dxa"/>
              <w:bottom w:w="39" w:type="dxa"/>
              <w:right w:w="39" w:type="dxa"/>
            </w:tcMar>
          </w:tcPr>
          <w:p w14:paraId="0CCD3480" w14:textId="77777777" w:rsidR="008B677B" w:rsidRPr="008B677B" w:rsidRDefault="008B677B" w:rsidP="008B677B">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3763BF4F" w14:textId="77777777" w:rsidR="008B677B" w:rsidRPr="008B677B" w:rsidRDefault="008B677B" w:rsidP="008B677B">
            <w:pPr>
              <w:jc w:val="right"/>
              <w:rPr>
                <w:rFonts w:ascii="Times New Roman" w:eastAsia="Times New Roman" w:hAnsi="Times New Roman"/>
                <w:sz w:val="20"/>
                <w:szCs w:val="20"/>
                <w:lang w:val="en-US"/>
              </w:rPr>
            </w:pPr>
            <w:r w:rsidRPr="008B677B">
              <w:rPr>
                <w:rFonts w:ascii="Times New Roman" w:eastAsia="Times New Roman" w:hAnsi="Times New Roman"/>
                <w:color w:val="000000"/>
                <w:sz w:val="20"/>
                <w:szCs w:val="20"/>
                <w:lang w:val="en-US"/>
              </w:rPr>
              <w:t>2.000</w:t>
            </w:r>
          </w:p>
        </w:tc>
      </w:tr>
    </w:tbl>
    <w:p w14:paraId="0E4D3A30" w14:textId="77777777" w:rsidR="00BB46D8" w:rsidRDefault="00BB46D8" w:rsidP="00026E74">
      <w:pPr>
        <w:widowControl w:val="0"/>
        <w:spacing w:line="276" w:lineRule="auto"/>
        <w:rPr>
          <w:rFonts w:ascii="Courier New" w:eastAsia="Times New Roman" w:hAnsi="Courier New" w:cs="Courier New"/>
          <w:sz w:val="24"/>
          <w:szCs w:val="24"/>
          <w:lang w:val="es-CL"/>
        </w:rPr>
      </w:pPr>
    </w:p>
    <w:p w14:paraId="3AE9161D" w14:textId="77777777" w:rsidR="00B33006" w:rsidRDefault="00B33006" w:rsidP="00026E74">
      <w:pPr>
        <w:widowControl w:val="0"/>
        <w:spacing w:line="276" w:lineRule="auto"/>
        <w:rPr>
          <w:rFonts w:ascii="Courier New" w:eastAsia="Times New Roman" w:hAnsi="Courier New" w:cs="Courier New"/>
          <w:sz w:val="24"/>
          <w:szCs w:val="24"/>
          <w:lang w:val="es-CL"/>
        </w:rPr>
      </w:pPr>
    </w:p>
    <w:p w14:paraId="627D152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 Durante el año 2025 el Presidente de la República podrá otorgar la garantía del Estado a los créditos que contraigan o a los bonos que emitan las empresas del sector público y </w:t>
      </w:r>
      <w:r w:rsidRPr="0041491F">
        <w:rPr>
          <w:rFonts w:ascii="Courier New" w:eastAsia="Times New Roman" w:hAnsi="Courier New" w:cs="Courier New"/>
          <w:sz w:val="24"/>
          <w:szCs w:val="24"/>
          <w:lang w:val="es-MX" w:eastAsia="es-ES"/>
        </w:rPr>
        <w:t>las u</w:t>
      </w:r>
      <w:r w:rsidRPr="00624769">
        <w:rPr>
          <w:rFonts w:ascii="Courier New" w:eastAsia="Times New Roman" w:hAnsi="Courier New" w:cs="Courier New"/>
          <w:sz w:val="24"/>
          <w:szCs w:val="24"/>
          <w:lang w:val="es-MX" w:eastAsia="es-ES"/>
        </w:rPr>
        <w:t xml:space="preserve">niversidades estatales, hasta por la cantidad de US$500.000.000 o su equivalente en otras monedas extranjeras o en moneda nacional. </w:t>
      </w:r>
    </w:p>
    <w:p w14:paraId="73A070A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D0E6C1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autorización que se otorga al Presidente de la República será ejercida mediante uno o más decretos supremos expedidos a través del Ministerio de Hacienda, en los cuales se identificará el destino específico de las obligaciones por contraer, y se indicarán las fuentes de los recursos con cargo a los cuales debe hacerse el servicio de la deuda. Estos decretos podrán incluir los requisitos de información y otras actuaciones que deberán cumplir las empresas y universidades señaladas mientras se encuentren vigentes los créditos o bonos. </w:t>
      </w:r>
    </w:p>
    <w:p w14:paraId="5D559BD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847D60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14:paraId="36EAA55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62D6739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señaladas en el inciso primero, para obtener la garantía estatal indicada deberán suscribir previamente, cuando corresponda,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el inciso segundo del artículo 2 de la ley N° 19.847. </w:t>
      </w:r>
    </w:p>
    <w:p w14:paraId="581D586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8D5142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roofErr w:type="spellStart"/>
      <w:r w:rsidRPr="00624769">
        <w:rPr>
          <w:rFonts w:ascii="Courier New" w:eastAsia="Times New Roman" w:hAnsi="Courier New" w:cs="Courier New"/>
          <w:sz w:val="24"/>
          <w:szCs w:val="24"/>
          <w:lang w:val="es-MX" w:eastAsia="es-ES"/>
        </w:rPr>
        <w:t>Autorízase</w:t>
      </w:r>
      <w:proofErr w:type="spellEnd"/>
      <w:r w:rsidRPr="00624769">
        <w:rPr>
          <w:rFonts w:ascii="Courier New" w:eastAsia="Times New Roman" w:hAnsi="Courier New" w:cs="Courier New"/>
          <w:sz w:val="24"/>
          <w:szCs w:val="24"/>
          <w:lang w:val="es-MX" w:eastAsia="es-ES"/>
        </w:rPr>
        <w:t xml:space="preserve"> a las universidades estatales para contratar durante el año 2025 empréstitos para el financiamiento de capital de trabajo y de remuneraciones, -con excepción de incrementos </w:t>
      </w:r>
      <w:proofErr w:type="spellStart"/>
      <w:r w:rsidRPr="00624769">
        <w:rPr>
          <w:rFonts w:ascii="Courier New" w:eastAsia="Times New Roman" w:hAnsi="Courier New" w:cs="Courier New"/>
          <w:sz w:val="24"/>
          <w:szCs w:val="24"/>
          <w:lang w:val="es-MX" w:eastAsia="es-ES"/>
        </w:rPr>
        <w:lastRenderedPageBreak/>
        <w:t>remuneracionales</w:t>
      </w:r>
      <w:proofErr w:type="spellEnd"/>
      <w:r w:rsidRPr="00624769">
        <w:rPr>
          <w:rFonts w:ascii="Courier New" w:eastAsia="Times New Roman" w:hAnsi="Courier New" w:cs="Courier New"/>
          <w:sz w:val="24"/>
          <w:szCs w:val="24"/>
          <w:lang w:val="es-MX" w:eastAsia="es-ES"/>
        </w:rPr>
        <w:t>-, refinanciamiento de pasivos, y/o proyectos de inversión, por períodos de hasta veinte años, de forma que, con los montos que se contraten, el nivel de endeudamiento total</w:t>
      </w:r>
      <w:r w:rsidRPr="00C25F50">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 cada una de ellas no exceda del cien por ciento de sus patrimonios, exceptuado los aportes </w:t>
      </w:r>
      <w:proofErr w:type="gramStart"/>
      <w:r w:rsidRPr="00624769">
        <w:rPr>
          <w:rFonts w:ascii="Courier New" w:eastAsia="Times New Roman" w:hAnsi="Courier New" w:cs="Courier New"/>
          <w:sz w:val="24"/>
          <w:szCs w:val="24"/>
          <w:lang w:val="es-MX" w:eastAsia="es-ES"/>
        </w:rPr>
        <w:t>estatales,.</w:t>
      </w:r>
      <w:proofErr w:type="gramEnd"/>
      <w:r w:rsidRPr="00624769">
        <w:rPr>
          <w:rFonts w:ascii="Courier New" w:eastAsia="Times New Roman" w:hAnsi="Courier New" w:cs="Courier New"/>
          <w:sz w:val="24"/>
          <w:szCs w:val="24"/>
          <w:lang w:val="es-MX" w:eastAsia="es-ES"/>
        </w:rPr>
        <w:t xml:space="preserve"> El servicio de la deuda se realizará con cargo al patrimonio de las mismas universidades estatales que las contraigan. Estos empréstitos, deberán contar con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previa del Ministerio de Hacienda. </w:t>
      </w:r>
    </w:p>
    <w:p w14:paraId="2172E08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F1B818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respuesta por parte del Ministerio de Hacienda deberá efectuarse dentro del plazo de noventa días corridos, a contar de la recepción conforme de los respectivos antecedentes. Para la contratación de empréstitos cuyo vencimiento no exceda la duración del actual período presidencial,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 Hacienda deberá efectuarse dentro del plazo de veinte días corridos. El análisis de la relación deuda-patrimonio se realizará </w:t>
      </w:r>
      <w:r w:rsidRPr="00AF1BCB">
        <w:rPr>
          <w:rFonts w:ascii="Courier New" w:eastAsia="Times New Roman" w:hAnsi="Courier New" w:cs="Courier New"/>
          <w:sz w:val="24"/>
          <w:szCs w:val="24"/>
          <w:lang w:val="es-MX" w:eastAsia="es-ES"/>
        </w:rPr>
        <w:t>habida consideración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estados financieros trimestrales de la respectiva universidad estatal correspondientes al trimestre anterior al de la solicitud. </w:t>
      </w:r>
    </w:p>
    <w:p w14:paraId="6D4477D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6B5AF7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contratación de los empréstitos que se autorizan a las universidades estatales no estará sujeta a las normas de la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19.886 y su reglamento. En todo caso, las universidades deberán llamar a propuesta pública para seleccionar la o las entidades financieras que les concederán el o los empréstitos. </w:t>
      </w:r>
    </w:p>
    <w:p w14:paraId="3318818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E2D0A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electrónica de los contratos de los antedichos empréstitos, con indicación del monto y las condiciones bajo las cuales fueron suscritos, además de un informe que especifique los objetivos y los resultados esperados de cada operación de endeudamiento, serán enviados al Ministerio de Educación y a la Comisión Especial Mixta de Presupuestos, dentro de los diez días siguientes al de su contratación.</w:t>
      </w:r>
    </w:p>
    <w:p w14:paraId="30FE8BE0"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048D6BC"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562B346" w14:textId="77777777" w:rsidR="009E1F6D" w:rsidRPr="00493C4B"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8723C5">
        <w:rPr>
          <w:rFonts w:ascii="Courier New" w:eastAsia="Times New Roman" w:hAnsi="Courier New" w:cs="Courier New"/>
          <w:sz w:val="24"/>
          <w:szCs w:val="24"/>
          <w:lang w:val="es-MX" w:eastAsia="es-ES"/>
        </w:rPr>
        <w:t xml:space="preserve">Artículo 3.- </w:t>
      </w:r>
      <w:proofErr w:type="spellStart"/>
      <w:r w:rsidRPr="008723C5">
        <w:rPr>
          <w:rFonts w:ascii="Courier New" w:eastAsia="Times New Roman" w:hAnsi="Courier New" w:cs="Courier New"/>
          <w:sz w:val="24"/>
          <w:szCs w:val="24"/>
          <w:lang w:val="es-MX" w:eastAsia="es-ES"/>
        </w:rPr>
        <w:t>Autorízase</w:t>
      </w:r>
      <w:proofErr w:type="spellEnd"/>
      <w:r w:rsidRPr="008723C5">
        <w:rPr>
          <w:rFonts w:ascii="Courier New" w:eastAsia="Times New Roman" w:hAnsi="Courier New" w:cs="Courier New"/>
          <w:sz w:val="24"/>
          <w:szCs w:val="24"/>
          <w:lang w:val="es-MX" w:eastAsia="es-ES"/>
        </w:rPr>
        <w:t xml:space="preserve"> al Presidente de la República para</w:t>
      </w:r>
      <w:r w:rsidRPr="00493C4B">
        <w:rPr>
          <w:rFonts w:ascii="Courier New" w:eastAsia="Times New Roman" w:hAnsi="Courier New" w:cs="Courier New"/>
          <w:sz w:val="24"/>
          <w:szCs w:val="24"/>
          <w:lang w:val="es-MX" w:eastAsia="es-ES"/>
        </w:rPr>
        <w:t xml:space="preserve"> contraer obligaciones, en el país o en el exterior, en moneda nacional o en monedas </w:t>
      </w:r>
      <w:r w:rsidRPr="00493C4B">
        <w:rPr>
          <w:rFonts w:ascii="Courier New" w:eastAsia="Times New Roman" w:hAnsi="Courier New" w:cs="Courier New"/>
          <w:sz w:val="24"/>
          <w:szCs w:val="24"/>
          <w:lang w:val="es-MX" w:eastAsia="es-ES"/>
        </w:rPr>
        <w:lastRenderedPageBreak/>
        <w:t>extranjeras, hasta por la cantidad de US$ 16.000.000 miles que, por concepto de endeudamiento, se incluye en los Ingresos Generales de la Nación.</w:t>
      </w:r>
    </w:p>
    <w:p w14:paraId="6684817C"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4685209" w14:textId="77777777" w:rsidR="009E1F6D" w:rsidRPr="00493C4B"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roofErr w:type="spellStart"/>
      <w:r w:rsidRPr="00493C4B">
        <w:rPr>
          <w:rFonts w:ascii="Courier New" w:eastAsia="Times New Roman" w:hAnsi="Courier New" w:cs="Courier New"/>
          <w:sz w:val="24"/>
          <w:szCs w:val="24"/>
          <w:lang w:val="es-MX" w:eastAsia="es-ES"/>
        </w:rPr>
        <w:t>Autorízasele</w:t>
      </w:r>
      <w:proofErr w:type="spellEnd"/>
      <w:r w:rsidRPr="00493C4B">
        <w:rPr>
          <w:rFonts w:ascii="Courier New" w:eastAsia="Times New Roman" w:hAnsi="Courier New" w:cs="Courier New"/>
          <w:sz w:val="24"/>
          <w:szCs w:val="24"/>
          <w:lang w:val="es-MX" w:eastAsia="es-ES"/>
        </w:rPr>
        <w:t>, además, para contraer obligaciones, en el país o en el exterior, hasta por la cantidad de US$ 1.500.000 miles o su equivalente en otras monedas extranjeras o en moneda nacional.</w:t>
      </w:r>
    </w:p>
    <w:p w14:paraId="311FCA88"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BA9A424" w14:textId="77777777" w:rsidR="009E1F6D" w:rsidRPr="00493C4B"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Para los fines de este artículo, se podr</w:t>
      </w:r>
      <w:r w:rsidRPr="007064E0">
        <w:rPr>
          <w:rFonts w:ascii="Courier New" w:eastAsia="Times New Roman" w:hAnsi="Courier New" w:cs="Courier New"/>
          <w:sz w:val="24"/>
          <w:szCs w:val="24"/>
          <w:lang w:val="es-MX" w:eastAsia="es-ES"/>
        </w:rPr>
        <w:t>án</w:t>
      </w:r>
      <w:r w:rsidRPr="00493C4B">
        <w:rPr>
          <w:rFonts w:ascii="Courier New" w:eastAsia="Times New Roman" w:hAnsi="Courier New" w:cs="Courier New"/>
          <w:sz w:val="24"/>
          <w:szCs w:val="24"/>
          <w:lang w:val="es-MX" w:eastAsia="es-ES"/>
        </w:rPr>
        <w:t xml:space="preserve"> emitir y colocar bonos y otros documentos en moneda nacional o extranjera, los cuales podrán llevar impresa la firma del Tesorero General de la República. La parte de las obligaciones contraídas en virtud de esta autorización que sea amortizada dentro del ejercicio presupuestario 2025 y aquellas que se contraigan para efectuar </w:t>
      </w:r>
      <w:r w:rsidRPr="007064E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493C4B">
        <w:rPr>
          <w:rFonts w:ascii="Courier New" w:eastAsia="Times New Roman" w:hAnsi="Courier New" w:cs="Courier New"/>
          <w:sz w:val="24"/>
          <w:szCs w:val="24"/>
          <w:lang w:val="es-MX" w:eastAsia="es-ES"/>
        </w:rPr>
        <w:t>pago anticipado total o parcial de deudas constituidas en ejercicios anteriores, deducidas las amortizaciones incluidas en esta ley para el año 2025, no serán consideradas en el cómputo del margen de endeudamiento fijado en los incisos anteriores.</w:t>
      </w:r>
    </w:p>
    <w:p w14:paraId="260ABFAA"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679449"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 xml:space="preserve">La autorización que se otorga al Presidente de la República será ejercida mediante decretos supremos expedidos a través del Ministerio de Hacienda, en los cuales se identificará el destino específico de las obligaciones que se contraigan, con indicación de las fuentes de recursos con cargo a los cuales debe hacerse el servicio de la deuda. Copias de estos decretos serán enviadas a las </w:t>
      </w:r>
      <w:r w:rsidRPr="008D57E2">
        <w:rPr>
          <w:rFonts w:ascii="Courier New" w:eastAsia="Times New Roman" w:hAnsi="Courier New" w:cs="Courier New"/>
          <w:sz w:val="24"/>
          <w:szCs w:val="24"/>
          <w:lang w:val="es-MX" w:eastAsia="es-ES"/>
        </w:rPr>
        <w:t>com</w:t>
      </w:r>
      <w:r w:rsidRPr="00493C4B">
        <w:rPr>
          <w:rFonts w:ascii="Courier New" w:eastAsia="Times New Roman" w:hAnsi="Courier New" w:cs="Courier New"/>
          <w:sz w:val="24"/>
          <w:szCs w:val="24"/>
          <w:lang w:val="es-MX" w:eastAsia="es-ES"/>
        </w:rPr>
        <w:t>isiones de Hacienda del Senado y de la Cámara de Diputados dentro de los quince días siguientes al de su total tramitación.</w:t>
      </w:r>
    </w:p>
    <w:p w14:paraId="71B0587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53F6E1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D6ED7C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 </w:t>
      </w:r>
      <w:r w:rsidRPr="008D57E2">
        <w:rPr>
          <w:rFonts w:ascii="Courier New" w:eastAsia="Times New Roman" w:hAnsi="Courier New" w:cs="Courier New"/>
          <w:sz w:val="24"/>
          <w:szCs w:val="24"/>
          <w:lang w:val="es-MX" w:eastAsia="es-ES"/>
        </w:rPr>
        <w:t>De conformidad con lo dispuesto en el inciso tercero del</w:t>
      </w:r>
      <w:r w:rsidRPr="00624769">
        <w:rPr>
          <w:rFonts w:ascii="Courier New" w:eastAsia="Times New Roman" w:hAnsi="Courier New" w:cs="Courier New"/>
          <w:sz w:val="24"/>
          <w:szCs w:val="24"/>
          <w:lang w:val="es-MX" w:eastAsia="es-ES"/>
        </w:rPr>
        <w:t xml:space="preserve"> artículo 26 del decreto ley N° 1.263, de 1975, sólo en virtud de autorización otorgada por ley podrá incrementarse la suma del valor neto de los montos para los Gastos en personal, Bienes y servicios de consumo, Prestaciones de seguridad social, </w:t>
      </w:r>
      <w:proofErr w:type="gramStart"/>
      <w:r w:rsidRPr="00624769">
        <w:rPr>
          <w:rFonts w:ascii="Courier New" w:eastAsia="Times New Roman" w:hAnsi="Courier New" w:cs="Courier New"/>
          <w:sz w:val="24"/>
          <w:szCs w:val="24"/>
          <w:lang w:val="es-MX" w:eastAsia="es-ES"/>
        </w:rPr>
        <w:t>Transferencias corrientes y Otros gastos corrientes</w:t>
      </w:r>
      <w:proofErr w:type="gramEnd"/>
      <w:r w:rsidRPr="00624769">
        <w:rPr>
          <w:rFonts w:ascii="Courier New" w:eastAsia="Times New Roman" w:hAnsi="Courier New" w:cs="Courier New"/>
          <w:sz w:val="24"/>
          <w:szCs w:val="24"/>
          <w:lang w:val="es-MX" w:eastAsia="es-ES"/>
        </w:rPr>
        <w:t xml:space="preserve"> incluidos en el artículo 1, en moneda nacional y </w:t>
      </w:r>
      <w:r w:rsidRPr="00AB6DF5">
        <w:rPr>
          <w:rFonts w:ascii="Courier New" w:eastAsia="Times New Roman" w:hAnsi="Courier New" w:cs="Courier New"/>
          <w:sz w:val="24"/>
          <w:szCs w:val="24"/>
          <w:lang w:val="es-MX" w:eastAsia="es-ES"/>
        </w:rPr>
        <w:t>en m</w:t>
      </w:r>
      <w:r w:rsidRPr="00624769">
        <w:rPr>
          <w:rFonts w:ascii="Courier New" w:eastAsia="Times New Roman" w:hAnsi="Courier New" w:cs="Courier New"/>
          <w:sz w:val="24"/>
          <w:szCs w:val="24"/>
          <w:lang w:val="es-MX" w:eastAsia="es-ES"/>
        </w:rPr>
        <w:t xml:space="preserve">oneda extranjera convertida a dólares. </w:t>
      </w:r>
    </w:p>
    <w:p w14:paraId="6059817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4C9136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No regirá lo dispuesto en el inciso precedente respecto de los mayores egresos que se produzcan en los ítems de los referidos Subtítulos que sean legalmente </w:t>
      </w:r>
      <w:proofErr w:type="spellStart"/>
      <w:r w:rsidRPr="00624769">
        <w:rPr>
          <w:rFonts w:ascii="Courier New" w:eastAsia="Times New Roman" w:hAnsi="Courier New" w:cs="Courier New"/>
          <w:sz w:val="24"/>
          <w:szCs w:val="24"/>
          <w:lang w:val="es-MX" w:eastAsia="es-ES"/>
        </w:rPr>
        <w:t>excedibles</w:t>
      </w:r>
      <w:proofErr w:type="spellEnd"/>
      <w:r w:rsidRPr="00624769">
        <w:rPr>
          <w:rFonts w:ascii="Courier New" w:eastAsia="Times New Roman" w:hAnsi="Courier New" w:cs="Courier New"/>
          <w:sz w:val="24"/>
          <w:szCs w:val="24"/>
          <w:lang w:val="es-MX" w:eastAsia="es-ES"/>
        </w:rPr>
        <w:t xml:space="preserve"> de acuerdo al artículo 28 del decreto ley N°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N° 1.263, de 1975. Los mayores gastos efectivos o incrementos que se dispongan por tales conceptos, en la cantidad que excedan lo presupuestado, incrementarán los montos máximos señalados en el inciso precedente, según corresponda.</w:t>
      </w:r>
    </w:p>
    <w:p w14:paraId="10F9B6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6E0D78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Igual autorización legal se requerirá para aumentar la suma de las cantidades aprobadas en el artículo 1, de los Subtítulos de Adquisición de activos no financieros, de las Iniciativas de inversión y Transferencias de capital a organismos o empresas no incluidas en esta ley, en un monto superior al 10 por ciento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el 10 por ciento.</w:t>
      </w:r>
    </w:p>
    <w:p w14:paraId="0AB9D62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65943C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Sin perjuicio de las disposiciones de este artículo, el uso de los recursos del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20.128, que se haga de acuerdo a lo establecido en el inciso final de dicha norma, requerirá autorización legal cuando su monto </w:t>
      </w:r>
      <w:r w:rsidRPr="00624769">
        <w:rPr>
          <w:rFonts w:ascii="Courier New" w:eastAsia="Times New Roman" w:hAnsi="Courier New" w:cs="Courier New"/>
          <w:sz w:val="24"/>
          <w:szCs w:val="24"/>
          <w:lang w:val="es-MX" w:eastAsia="es-ES"/>
        </w:rPr>
        <w:lastRenderedPageBreak/>
        <w:t>acumulado anual supere el 0,3% del Producto Interno Bruto.</w:t>
      </w:r>
    </w:p>
    <w:p w14:paraId="798ADAB3"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EF4ECF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533241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5.- </w:t>
      </w:r>
      <w:proofErr w:type="spellStart"/>
      <w:r w:rsidRPr="00624769">
        <w:rPr>
          <w:rFonts w:ascii="Courier New" w:eastAsia="Times New Roman" w:hAnsi="Courier New" w:cs="Courier New"/>
          <w:sz w:val="24"/>
          <w:szCs w:val="24"/>
          <w:lang w:val="es-MX" w:eastAsia="es-ES"/>
        </w:rPr>
        <w:t>Suspéndese</w:t>
      </w:r>
      <w:proofErr w:type="spellEnd"/>
      <w:r w:rsidRPr="00624769">
        <w:rPr>
          <w:rFonts w:ascii="Courier New" w:eastAsia="Times New Roman" w:hAnsi="Courier New" w:cs="Courier New"/>
          <w:sz w:val="24"/>
          <w:szCs w:val="24"/>
          <w:lang w:val="es-MX" w:eastAsia="es-ES"/>
        </w:rPr>
        <w:t xml:space="preserve"> durante el año 2025 la aplicación de la letra d) del artículo 87 de la ley N° 18.834, sobre Estatuto Administrativo, cuyo texto refundido, coordinado y sistematizado fue fijado por el decreto con fuerza de ley N° 29, de 2005, del Ministerio de Hacienda, respecto de la compatibilidad en el desempeño de cargos de planta regidos por dicha ley con la designación en cargos a contrata. Asimismo, durante el año 2025 no podrá contratarse personal suplente en los cargos de planta que no se encuentren desempeñados por su titular por aplicación del mecanismo anterior. </w:t>
      </w:r>
    </w:p>
    <w:p w14:paraId="45FC127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25E561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en este artículo no será aplicable respecto de las personas que </w:t>
      </w:r>
      <w:r w:rsidRPr="0031135C">
        <w:rPr>
          <w:rFonts w:ascii="Courier New" w:eastAsia="Times New Roman" w:hAnsi="Courier New" w:cs="Courier New"/>
          <w:sz w:val="24"/>
          <w:szCs w:val="24"/>
          <w:lang w:val="es-MX" w:eastAsia="es-ES"/>
        </w:rPr>
        <w:t>estén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haciendo uso de dichas excepciones al momento de publicarse esta ley.</w:t>
      </w:r>
    </w:p>
    <w:p w14:paraId="2819CD42"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0E41E3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A68EC0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6.- La propuesta o licitación pública será obligatoria respecto de los proyectos y programas de inversión y de los estudios básicos a realizar en el año 2025, cuando el monto total de éstos, contenido en el decreto o resolución de identificación, sea superior al equivalente en pesos de </w:t>
      </w:r>
      <w:r w:rsidRPr="00C67392">
        <w:rPr>
          <w:rFonts w:ascii="Courier New" w:eastAsia="Times New Roman" w:hAnsi="Courier New" w:cs="Courier New"/>
          <w:sz w:val="24"/>
          <w:szCs w:val="24"/>
          <w:lang w:val="es-MX" w:eastAsia="es-ES"/>
        </w:rPr>
        <w:t>1.000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respecto de los proyectos y programas de inversión, y de </w:t>
      </w:r>
      <w:r w:rsidRPr="00C67392">
        <w:rPr>
          <w:rFonts w:ascii="Courier New" w:eastAsia="Times New Roman" w:hAnsi="Courier New" w:cs="Courier New"/>
          <w:sz w:val="24"/>
          <w:szCs w:val="24"/>
          <w:lang w:val="es-MX" w:eastAsia="es-ES"/>
        </w:rPr>
        <w:t>500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w:t>
      </w:r>
      <w:r w:rsidRPr="00B431FB">
        <w:rPr>
          <w:rFonts w:ascii="Courier New" w:eastAsia="Times New Roman" w:hAnsi="Courier New" w:cs="Courier New"/>
          <w:sz w:val="24"/>
          <w:szCs w:val="24"/>
          <w:lang w:val="es-MX" w:eastAsia="es-ES"/>
        </w:rPr>
        <w:t>10.000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para los proyectos y programas de inversión y de </w:t>
      </w:r>
      <w:r w:rsidRPr="00B431FB">
        <w:rPr>
          <w:rFonts w:ascii="Courier New" w:eastAsia="Times New Roman" w:hAnsi="Courier New" w:cs="Courier New"/>
          <w:sz w:val="24"/>
          <w:szCs w:val="24"/>
          <w:lang w:val="es-MX" w:eastAsia="es-ES"/>
        </w:rPr>
        <w:t>3.000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w:t>
      </w:r>
    </w:p>
    <w:p w14:paraId="363337D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5F1DEA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Cuando el monto respectivo </w:t>
      </w:r>
      <w:r w:rsidRPr="00B75446">
        <w:rPr>
          <w:rFonts w:ascii="Courier New" w:eastAsia="Times New Roman" w:hAnsi="Courier New" w:cs="Courier New"/>
          <w:sz w:val="24"/>
          <w:szCs w:val="24"/>
          <w:lang w:val="es-MX" w:eastAsia="es-ES"/>
        </w:rPr>
        <w:t>sea inferior a los señalados en el inciso precedente, l</w:t>
      </w:r>
      <w:r w:rsidRPr="00624769">
        <w:rPr>
          <w:rFonts w:ascii="Courier New" w:eastAsia="Times New Roman" w:hAnsi="Courier New" w:cs="Courier New"/>
          <w:sz w:val="24"/>
          <w:szCs w:val="24"/>
          <w:lang w:val="es-MX" w:eastAsia="es-ES"/>
        </w:rPr>
        <w:t xml:space="preserve">a adjudicación será efectuada conforme al procedimiento establecido en el decreto supremo N° 151, de 2003, del Ministerio de Hacienda, o el que lo reemplace. </w:t>
      </w:r>
    </w:p>
    <w:p w14:paraId="0AF7018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101C07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contratistas y subcontratistas que ejecuten obras o presten servicios financiados con recursos fiscales, que incumplan las leyes laborales y previsionales, lo que deberá ser determinado por la autoridad competente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 </w:t>
      </w:r>
    </w:p>
    <w:p w14:paraId="7B40EF0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1E543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instituciones privadas, cualquiera sea su naturaleza, al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la oportunidad correspondiente, no podrá contratar con el Estado mientras no subsane el incumplimiento que la afecte.</w:t>
      </w:r>
    </w:p>
    <w:p w14:paraId="779224EF"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C9FEC4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E38E2A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7.- En los decretos que contengan transferencias, que hayan sido dispuestas en esta ley o se creen en virtud del artículo 26 del decreto ley N° 1.263, de 1975, con imputación al Subtítulo 24, Transferencias Corrientes, y al subtítulo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 </w:t>
      </w:r>
    </w:p>
    <w:p w14:paraId="475CA9C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8E9906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Aquellas transferencias incluidas en el Subtítulo 24, que constituyan transferencias corrientes a Unidades o Programas del Servicio, </w:t>
      </w:r>
      <w:r w:rsidRPr="00507AE0">
        <w:rPr>
          <w:rFonts w:ascii="Courier New" w:eastAsia="Times New Roman" w:hAnsi="Courier New" w:cs="Courier New"/>
          <w:sz w:val="24"/>
          <w:szCs w:val="24"/>
          <w:lang w:val="es-MX" w:eastAsia="es-ES"/>
        </w:rPr>
        <w:t>ejecutados</w:t>
      </w:r>
      <w:r w:rsidRPr="00624769">
        <w:rPr>
          <w:rFonts w:ascii="Courier New" w:eastAsia="Times New Roman" w:hAnsi="Courier New" w:cs="Courier New"/>
          <w:sz w:val="24"/>
          <w:szCs w:val="24"/>
          <w:lang w:val="es-MX" w:eastAsia="es-ES"/>
        </w:rPr>
        <w:t xml:space="preserve"> total o parcialmente por éste, deberán desglosarse en forma previa a la ejecución presupuestaria en los distintos conceptos de gasto, con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 la Dirección de Presupuestos. Deberá remitirse mensualmente a esta última un informe sobre </w:t>
      </w:r>
      <w:r w:rsidRPr="00624769">
        <w:rPr>
          <w:rFonts w:ascii="Courier New" w:eastAsia="Times New Roman" w:hAnsi="Courier New" w:cs="Courier New"/>
          <w:sz w:val="24"/>
          <w:szCs w:val="24"/>
          <w:lang w:val="es-MX" w:eastAsia="es-ES"/>
        </w:rPr>
        <w:lastRenderedPageBreak/>
        <w:t xml:space="preserve">avance de actividades, </w:t>
      </w:r>
      <w:r w:rsidRPr="00507AE0">
        <w:rPr>
          <w:rFonts w:ascii="Courier New" w:eastAsia="Times New Roman" w:hAnsi="Courier New" w:cs="Courier New"/>
          <w:sz w:val="24"/>
          <w:szCs w:val="24"/>
          <w:lang w:val="es-MX" w:eastAsia="es-ES"/>
        </w:rPr>
        <w:t>junto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con la información de ejecución presupuestaria. Dicho desglose constituirá la autorización máxima de gasto en los respectivos conceptos, sin perjuicio de las modificaciones que se le introduzcan mediante igual procedimiento.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p>
    <w:p w14:paraId="4355B535"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A157A6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505E4E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8.- Todos los pagos a proveedores de bienes y servicios de cualquier tipo que se realicen por parte de los órganos de la Administración del Estado durante el año 2025, incluidos aquellos relacionados a contratos de obra o infraestructura, deberán realizarse mediante transferencia electrónica de fondos. </w:t>
      </w:r>
      <w:r w:rsidRPr="000B0CF0">
        <w:rPr>
          <w:rFonts w:ascii="Courier New" w:eastAsia="Times New Roman" w:hAnsi="Courier New" w:cs="Courier New"/>
          <w:sz w:val="24"/>
          <w:szCs w:val="24"/>
          <w:lang w:val="es-MX" w:eastAsia="es-ES"/>
        </w:rPr>
        <w:t>Además,</w:t>
      </w:r>
      <w:r w:rsidRPr="00624769">
        <w:rPr>
          <w:rFonts w:ascii="Courier New" w:eastAsia="Times New Roman" w:hAnsi="Courier New" w:cs="Courier New"/>
          <w:sz w:val="24"/>
          <w:szCs w:val="24"/>
          <w:lang w:val="es-MX" w:eastAsia="es-ES"/>
        </w:rPr>
        <w:t xml:space="preserve"> su reconocimiento en la ejecución presupuestaria deberá realizarse con pleno cumplimiento de la ley N° 19.983, que regula la transferencia y otorga mérito ejecutivo a copia de la factura. Para ello, los órganos de la Administración del Estado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como parte del proceso de contratación,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deberán requerir la información necesaria para realizar estas transferencias a los proveedores que correspondan y cumplir las instrucciones técnicas generales que al respecto emita la Dirección de Presupuestos.</w:t>
      </w:r>
    </w:p>
    <w:p w14:paraId="3E2BA586"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B79C83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A02CB3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9.- </w:t>
      </w:r>
      <w:proofErr w:type="spellStart"/>
      <w:r w:rsidRPr="00624769">
        <w:rPr>
          <w:rFonts w:ascii="Courier New" w:eastAsia="Times New Roman" w:hAnsi="Courier New" w:cs="Courier New"/>
          <w:sz w:val="24"/>
          <w:szCs w:val="24"/>
          <w:lang w:val="es-MX" w:eastAsia="es-ES"/>
        </w:rPr>
        <w:t>Prohíbese</w:t>
      </w:r>
      <w:proofErr w:type="spellEnd"/>
      <w:r w:rsidRPr="00624769">
        <w:rPr>
          <w:rFonts w:ascii="Courier New" w:eastAsia="Times New Roman" w:hAnsi="Courier New" w:cs="Courier New"/>
          <w:sz w:val="24"/>
          <w:szCs w:val="24"/>
          <w:lang w:val="es-MX" w:eastAsia="es-ES"/>
        </w:rPr>
        <w:t xml:space="preserv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Público, del Ministerio de Defensa Nacional, de Carabineros de Chile, de la Policía de Investigaciones de Chile, de Gendarmería de Chile y en los de inversión regional de los gobiernos regionales en lo que respecta a viviendas para </w:t>
      </w:r>
      <w:r w:rsidRPr="00624769">
        <w:rPr>
          <w:rFonts w:ascii="Courier New" w:eastAsia="Times New Roman" w:hAnsi="Courier New" w:cs="Courier New"/>
          <w:sz w:val="24"/>
          <w:szCs w:val="24"/>
          <w:lang w:val="es-MX" w:eastAsia="es-ES"/>
        </w:rPr>
        <w:lastRenderedPageBreak/>
        <w:t>personal de educación y de la salud en zonas apartadas y localidades rurales.</w:t>
      </w:r>
    </w:p>
    <w:p w14:paraId="583A994D"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B18124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582694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10.- 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la dotación máxima de personal o de horas semanales fijadas en este presupuesto a los servicios públicos, podrá aumentarse la dotación u horas semanales de alguno de ellos con cargo a la disminución de otro, o con cargo a la misma cantidad de cupos de honorarios, por decreto dictado en la forma dispuesta en el artículo 70 del decreto ley N° 1.263, de 1975. En ningún caso podrá aumentarse la dotación máxima o número de horas semanales del conjunto de los servicios del ministerio respectivo.</w:t>
      </w:r>
    </w:p>
    <w:p w14:paraId="370D1B0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CD21C9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podrán aumentarse los cupos de honorarios fijados en este presupuesto a los servicios públicos y programas presupuestarios, con cargo a la disminución de otro, o con cargo a la misma cantidad de cupos de contrata, sin que puedan aumentarse los cupos de honorarios del conjunto de los servicios del ministerio respectivo.</w:t>
      </w:r>
    </w:p>
    <w:p w14:paraId="73A029F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276E9C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dispuesto en el inciso anterior, durante el primer trimestre del año 2025, a solicitud de los respectivos servicios e instituciones del Sector Público, el Ministro de Hacienda podrá modificar el límite máximo de personas contratadas a honorarios, fijado en las respectivas glosas asociadas a los Subtítulos 21 y 24. Dentro de los </w:t>
      </w:r>
      <w:r w:rsidRPr="00B62969">
        <w:rPr>
          <w:rFonts w:ascii="Courier New" w:eastAsia="Times New Roman" w:hAnsi="Courier New" w:cs="Courier New"/>
          <w:sz w:val="24"/>
          <w:szCs w:val="24"/>
          <w:lang w:val="es-MX" w:eastAsia="es-ES"/>
        </w:rPr>
        <w:t>treinta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días corridos siguientes al término del trimestre referido, el Ministerio de Hacienda deberá remitir un informe a la Comisión Especial Mixta de Presupuestos donde detalle el ejercicio de la facultad de manera agregada, así como desagregada, por Partida, Capítulo y Programa, en este último caso </w:t>
      </w:r>
      <w:r w:rsidRPr="00B2270A">
        <w:rPr>
          <w:rFonts w:ascii="Courier New" w:eastAsia="Times New Roman" w:hAnsi="Courier New" w:cs="Courier New"/>
          <w:sz w:val="24"/>
          <w:szCs w:val="24"/>
          <w:lang w:val="es-MX" w:eastAsia="es-ES"/>
        </w:rPr>
        <w:t>con indicación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ítems o asignaciones donde dicha facultad fue ejercida.</w:t>
      </w:r>
    </w:p>
    <w:p w14:paraId="06F2893A"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187301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A4BC64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11.- Los órganos y servicios públicos podrán contratar personal que reemplace a </w:t>
      </w:r>
      <w:r w:rsidRPr="00BD4049">
        <w:rPr>
          <w:rFonts w:ascii="Courier New" w:eastAsia="Times New Roman" w:hAnsi="Courier New" w:cs="Courier New"/>
          <w:sz w:val="24"/>
          <w:szCs w:val="24"/>
          <w:lang w:val="es-MX" w:eastAsia="es-ES"/>
        </w:rPr>
        <w:t>las funcionarias y los funcionarios que por cualquier razón se encuentren imposibilitados para desempeñar sus labores por un periodo</w:t>
      </w:r>
      <w:r w:rsidRPr="00624769">
        <w:rPr>
          <w:rFonts w:ascii="Courier New" w:eastAsia="Times New Roman" w:hAnsi="Courier New" w:cs="Courier New"/>
          <w:sz w:val="24"/>
          <w:szCs w:val="24"/>
          <w:lang w:val="es-MX" w:eastAsia="es-ES"/>
        </w:rPr>
        <w:t xml:space="preserve"> superior a treinta días corridos. Los contratos para efectuar labores de </w:t>
      </w:r>
      <w:r w:rsidRPr="00624769">
        <w:rPr>
          <w:rFonts w:ascii="Courier New" w:eastAsia="Times New Roman" w:hAnsi="Courier New" w:cs="Courier New"/>
          <w:sz w:val="24"/>
          <w:szCs w:val="24"/>
          <w:lang w:val="es-MX" w:eastAsia="es-ES"/>
        </w:rPr>
        <w:lastRenderedPageBreak/>
        <w:t xml:space="preserve">reemplazo no podrán tener una vigencia superior a seis meses, no se imputarán a la respectiva dotación máxima de personal y sólo podrán efectuarse previa autorización de la Dirección de Presupuestos, la que verificará la disponibilidad presupuestaria que corresponda. No se requerirá dicha autorización, </w:t>
      </w:r>
      <w:r w:rsidRPr="007654D1">
        <w:rPr>
          <w:rFonts w:ascii="Courier New" w:eastAsia="Times New Roman" w:hAnsi="Courier New" w:cs="Courier New"/>
          <w:sz w:val="24"/>
          <w:szCs w:val="24"/>
          <w:lang w:val="es-MX" w:eastAsia="es-ES"/>
        </w:rPr>
        <w:t>en los casos de licencias maternales, postnatal parenta</w:t>
      </w:r>
      <w:r w:rsidRPr="00624769">
        <w:rPr>
          <w:rFonts w:ascii="Courier New" w:eastAsia="Times New Roman" w:hAnsi="Courier New" w:cs="Courier New"/>
          <w:sz w:val="24"/>
          <w:szCs w:val="24"/>
          <w:lang w:val="es-MX" w:eastAsia="es-ES"/>
        </w:rPr>
        <w:t>l y/o licencia por enfermedad grave de hijo menor de un año, lo que deberá, sin embargo, ser informado a la Dirección de Presupuestos.</w:t>
      </w:r>
    </w:p>
    <w:p w14:paraId="2802844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399ACF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aquellos casos en que se esté reemplazando </w:t>
      </w:r>
      <w:r w:rsidRPr="007654D1">
        <w:rPr>
          <w:rFonts w:ascii="Courier New" w:eastAsia="Times New Roman" w:hAnsi="Courier New" w:cs="Courier New"/>
          <w:sz w:val="24"/>
          <w:szCs w:val="24"/>
          <w:lang w:val="es-MX" w:eastAsia="es-ES"/>
        </w:rPr>
        <w:t>a una funcionaria o un funcionario que ha hecho uso de licencia médica en un</w:t>
      </w:r>
      <w:r w:rsidRPr="00624769">
        <w:rPr>
          <w:rFonts w:ascii="Courier New" w:eastAsia="Times New Roman" w:hAnsi="Courier New" w:cs="Courier New"/>
          <w:sz w:val="24"/>
          <w:szCs w:val="24"/>
          <w:lang w:val="es-MX" w:eastAsia="es-ES"/>
        </w:rPr>
        <w:t xml:space="preserve"> lapso continuo o discontinuo superior a seis meses en los últimos dos años, el jefe superior del servicio deberá considerar el ejercicio de la declaración de la salud incompatible con el desempeño del cargo </w:t>
      </w:r>
      <w:r w:rsidRPr="007654D1">
        <w:rPr>
          <w:rFonts w:ascii="Courier New" w:eastAsia="Times New Roman" w:hAnsi="Courier New" w:cs="Courier New"/>
          <w:sz w:val="24"/>
          <w:szCs w:val="24"/>
          <w:lang w:val="es-MX" w:eastAsia="es-ES"/>
        </w:rPr>
        <w:t>de la funcionaria reemplazada o del funcionari</w:t>
      </w:r>
      <w:r w:rsidRPr="00624769">
        <w:rPr>
          <w:rFonts w:ascii="Courier New" w:eastAsia="Times New Roman" w:hAnsi="Courier New" w:cs="Courier New"/>
          <w:sz w:val="24"/>
          <w:szCs w:val="24"/>
          <w:lang w:val="es-MX" w:eastAsia="es-ES"/>
        </w:rPr>
        <w:t>o reemplazado de conformidad con el artículo 151 del decreto con fuerza de ley N° 29, de 2005, del Ministerio de Hacienda.</w:t>
      </w:r>
    </w:p>
    <w:p w14:paraId="398DBF19"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DE8F87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D91245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12.- Los órganos y servicios públicos regidos presupuestariamente por 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con exclusión del Congreso Nacional, el Poder Judicial, el Ministerio Público y la Contraloría General de la República, necesitarán autorización previa de la Dirección de Presupuestos para efectuar inversiones y gastos en proyectos nuevos, de continuidad o arrastre en Tecnologías de la Información y Comunicaciones (TIC), cuando estas no hayan sido aprobadas durante el proceso EVALTIC correspondiente, o por la Subsecretaría del Interior, conforme a lo dispuesto en la letra l) del artículo 3 de la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20.502, </w:t>
      </w:r>
      <w:r w:rsidRPr="00B6475C">
        <w:rPr>
          <w:rFonts w:ascii="Courier New" w:eastAsia="Times New Roman" w:hAnsi="Courier New" w:cs="Courier New"/>
          <w:sz w:val="24"/>
          <w:szCs w:val="24"/>
          <w:lang w:val="es-MX" w:eastAsia="es-ES"/>
        </w:rPr>
        <w:t>habida consideración de las directrices técnicas proporcionadas por EVALTIC</w:t>
      </w:r>
      <w:r w:rsidRPr="00624769">
        <w:rPr>
          <w:rFonts w:ascii="Courier New" w:eastAsia="Times New Roman" w:hAnsi="Courier New" w:cs="Courier New"/>
          <w:sz w:val="24"/>
          <w:szCs w:val="24"/>
          <w:lang w:val="es-MX" w:eastAsia="es-ES"/>
        </w:rPr>
        <w:t xml:space="preserve">, o aquellas que no formen parte de un proceso de Compras Coordinadas comunicado por la Dirección de Compras y Contratación Pública y autorizado por la Dirección de Presupuestos. </w:t>
      </w:r>
    </w:p>
    <w:p w14:paraId="042C8E3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C581DE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 exceptúa de las disposiciones anteriores a la Agencia Nacional de Inteligencia,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Armadas y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de Orden y Seguridad Pública, </w:t>
      </w:r>
      <w:r w:rsidRPr="00624769">
        <w:rPr>
          <w:rFonts w:ascii="Courier New" w:eastAsia="Times New Roman" w:hAnsi="Courier New" w:cs="Courier New"/>
          <w:sz w:val="24"/>
          <w:szCs w:val="24"/>
          <w:lang w:val="es-MX" w:eastAsia="es-ES"/>
        </w:rPr>
        <w:lastRenderedPageBreak/>
        <w:t>sólo respecto de compras de material bélico, y aquellas asociadas a labores de inteligencia.</w:t>
      </w:r>
    </w:p>
    <w:p w14:paraId="1B7F3B6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B1678C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2824DB30"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8F9996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A7DE90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13.- El producto de las ventas de bienes inmuebles fiscales que no estén destinados por aplicación de lo dispuesto en el artículo 56 del decreto ley N° 1.939, de 1977, que efectúe durante el año 2025 el Ministerio de Bienes Nacionales, y las cuotas que se reciban en dicho año por ventas efectuadas en años anteriores, se incorporarán transitoriamente como ingreso presupuestario de dicho ministerio. Esos recursos se destinarán a los siguientes objetivos:</w:t>
      </w:r>
    </w:p>
    <w:p w14:paraId="1B6122E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885F48D" w14:textId="77777777" w:rsidR="009E1F6D" w:rsidRPr="00D91E1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a) 65% al Gobierno Regional de la región en la cual está ubicado el inmueble enajenado, para su programa de inversión;</w:t>
      </w:r>
    </w:p>
    <w:p w14:paraId="4603BB3C" w14:textId="77777777" w:rsidR="009E1F6D" w:rsidRPr="00D91E1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1832C9EF" w14:textId="77777777" w:rsidR="009E1F6D" w:rsidRPr="00D91E1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b) 10% al Ministerio de Bienes Nacionales, y</w:t>
      </w:r>
    </w:p>
    <w:p w14:paraId="6F79A732" w14:textId="77777777" w:rsidR="009E1F6D" w:rsidRPr="00D91E1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29100D0C"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c) 25% a beneficio fiscal, que ingresará a rentas generales de la Nación.</w:t>
      </w:r>
    </w:p>
    <w:p w14:paraId="67D13DC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13BF2E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norma establecida en este artículo no regirá respecto de las ventas que efectúe dicho ministerio a órganos y servicios públicos, o a empresas en que el Estado, sus instituciones o empresas tengan aporte de capital igual o superior al </w:t>
      </w:r>
      <w:r w:rsidRPr="00D91E13">
        <w:rPr>
          <w:rFonts w:ascii="Courier New" w:eastAsia="Times New Roman" w:hAnsi="Courier New" w:cs="Courier New"/>
          <w:sz w:val="24"/>
          <w:szCs w:val="24"/>
          <w:lang w:val="es-MX" w:eastAsia="es-ES"/>
        </w:rPr>
        <w:t>cincuenta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por ciento, destinadas a satisfacer necesidades propias del adquirente.</w:t>
      </w:r>
    </w:p>
    <w:p w14:paraId="53E177A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BB9352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lo anterior, si las empresas a que se refiere el inciso precedente enajenan todo o parte de los bienes inmuebles adquiridos al </w:t>
      </w:r>
      <w:r w:rsidRPr="00624769">
        <w:rPr>
          <w:rFonts w:ascii="Courier New" w:eastAsia="Times New Roman" w:hAnsi="Courier New" w:cs="Courier New"/>
          <w:sz w:val="24"/>
          <w:szCs w:val="24"/>
          <w:lang w:val="es-MX" w:eastAsia="es-ES"/>
        </w:rPr>
        <w:lastRenderedPageBreak/>
        <w:t xml:space="preserve">Ministerio de Bienes Nacionales dentro del plazo de un año contado desde la fecha de inscripción del dominio a su nombre, el Fisco aportará al gobierno regional respectivo el </w:t>
      </w:r>
      <w:r w:rsidRPr="00AC61A7">
        <w:rPr>
          <w:rFonts w:ascii="Courier New" w:eastAsia="Times New Roman" w:hAnsi="Courier New" w:cs="Courier New"/>
          <w:sz w:val="24"/>
          <w:szCs w:val="24"/>
          <w:lang w:val="es-MX" w:eastAsia="es-ES"/>
        </w:rPr>
        <w:t>sesenta y cinco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por ciento del precio pagado al referido ministerio, o la proporción correspondiente si la venta </w:t>
      </w:r>
      <w:r w:rsidRPr="00AC61A7">
        <w:rPr>
          <w:rFonts w:ascii="Courier New" w:eastAsia="Times New Roman" w:hAnsi="Courier New" w:cs="Courier New"/>
          <w:sz w:val="24"/>
          <w:szCs w:val="24"/>
          <w:lang w:val="es-MX" w:eastAsia="es-ES"/>
        </w:rPr>
        <w:t>es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parcial.</w:t>
      </w:r>
    </w:p>
    <w:p w14:paraId="5B3955C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19BFAF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C16D5">
        <w:rPr>
          <w:rFonts w:ascii="Courier New" w:eastAsia="Times New Roman" w:hAnsi="Courier New" w:cs="Courier New"/>
          <w:sz w:val="24"/>
          <w:szCs w:val="24"/>
          <w:lang w:val="es-MX" w:eastAsia="es-ES"/>
        </w:rPr>
        <w:t>En el caso de los bienes inmuebles de las Fuerzas Armadas</w:t>
      </w:r>
      <w:r w:rsidRPr="00624769">
        <w:rPr>
          <w:rFonts w:ascii="Courier New" w:eastAsia="Times New Roman" w:hAnsi="Courier New" w:cs="Courier New"/>
          <w:sz w:val="24"/>
          <w:szCs w:val="24"/>
          <w:lang w:val="es-MX" w:eastAsia="es-ES"/>
        </w:rPr>
        <w:t>, las aplicaciones que se efectúen con cargo a los recursos provenientes de las enajenaciones se incorporarán anualmente en la Ley de Presupuestos, en los respectivos Capítulos de la Partida del Ministerio de Defensa Nacional, y se identificarán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14:paraId="17F6FF57"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9AE75E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4ED51A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14.- Los órganos del Estado regidos por esta ley, o los que se especifiquen en los numerales siguientes, informarán a la Comisión Especial Mixta de Presupuestos, con copia a la Biblioteca del Congreso Nacional, lo siguiente: </w:t>
      </w:r>
    </w:p>
    <w:p w14:paraId="0F62DCA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EB68EE2"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cronograma mensual, desagregado por programa presupuestario y por Subtítulos, de gastos del año en curso, que deberá ser enviado durante el mes de marzo, y actualizado en el mes de julio, junto a una explicación de los principales cambios ocurridos en el transcurso del primer semestre y consignados en dicha actualización. </w:t>
      </w:r>
    </w:p>
    <w:p w14:paraId="1C946D1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2AB26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informes derivados de estudios e investigaciones contratados en virtud de la asignación 22.11.001, dentro de los ciento ochenta días siguientes a la recepción de su informe final. </w:t>
      </w:r>
    </w:p>
    <w:p w14:paraId="520BBE9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79C5DA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 nómina de los proyectos o programas desarrollados interna y/o externamente que permitan, en lo específico, su posterior uso como tecnologías duales, con identificación de proyectos nuevos o de arrastre, breve descripción de su objetivo, presupuesto anual, organismos involucrados, </w:t>
      </w:r>
      <w:r w:rsidRPr="00624769">
        <w:rPr>
          <w:rFonts w:ascii="Courier New" w:eastAsia="Times New Roman" w:hAnsi="Courier New" w:cs="Courier New"/>
          <w:sz w:val="24"/>
          <w:szCs w:val="24"/>
          <w:lang w:val="es-MX" w:eastAsia="es-ES"/>
        </w:rPr>
        <w:lastRenderedPageBreak/>
        <w:t xml:space="preserve">y </w:t>
      </w:r>
      <w:r w:rsidRPr="009B61CB">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fecha de inicio y de término, lo que será informado antes del 31 de marzo, mediante documento electrónico que permita el tratamiento de sus datos.</w:t>
      </w:r>
    </w:p>
    <w:p w14:paraId="34C1E0F4"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mismo formato y con igual desagregación, se enviará trimestralmente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el presupuesto vigente, treinta días después de terminado el trimestre respectivo, estado de avance físico y financiero de los proyectos o programas, así como las modificaciones que en el período informado hayan experimentado.</w:t>
      </w:r>
    </w:p>
    <w:p w14:paraId="0CDFD23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18FB50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Cada gobierno regional deberá informar los estudios básicos, proyectos y programas de inversión que realizarán en la región y que hayan identificado conforme a lo dispuesto en el artículo 19 bis del decreto ley N° 1.263, de 1975. Tal información comprenderá el nombre del estudio, proyecto o programa, su monto y demás características, y se remitirá dentro de los treinta días siguientes al término del mes de total tramitación de los respectivos decretos. </w:t>
      </w:r>
    </w:p>
    <w:p w14:paraId="0120F13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7D18CE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Comité Sistema de Empresas de la Corporación de Fomento de la Producción o quien lo suceda o reemplace, remitirá un informe financiero trimestral de las empresas del Estado, y de aquellas en que el Estado, sus instituciones o empresas tengan </w:t>
      </w:r>
      <w:r w:rsidRPr="00DE5A25">
        <w:rPr>
          <w:rFonts w:ascii="Courier New" w:eastAsia="Times New Roman" w:hAnsi="Courier New" w:cs="Courier New"/>
          <w:sz w:val="24"/>
          <w:szCs w:val="24"/>
          <w:lang w:val="es-MX" w:eastAsia="es-ES"/>
        </w:rPr>
        <w:t>aportes de capital igual o superior al cincuenta por ciento, que</w:t>
      </w:r>
      <w:r w:rsidRPr="00624769">
        <w:rPr>
          <w:rFonts w:ascii="Courier New" w:eastAsia="Times New Roman" w:hAnsi="Courier New" w:cs="Courier New"/>
          <w:sz w:val="24"/>
          <w:szCs w:val="24"/>
          <w:lang w:val="es-MX" w:eastAsia="es-ES"/>
        </w:rPr>
        <w:t xml:space="preserve"> comprenderá un balance consolidado por empresa y estado de resultados, a nivel consolidado y por empresa. Dicho informe será remitido dentro de los quince días siguientes a la fecha de vencimiento del respectivo plazo de presentación fijado por la Comisión para el Mercado Financiero. La misma obligación tendrán Televisión Nacional de Chile y la Corporación Nacional del Cobre de Chile (CODELCO), las cuales deberán remitir los informes financieros trimestrales directamente a la Comisión Especial Mixta de Presupuestos. </w:t>
      </w:r>
    </w:p>
    <w:p w14:paraId="6D16CC9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EB4CD6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monto ejecutado por concepto de publicidad y difusión, imputados al Subtítulo 22, ítem 07, en que haya incurrido, por programa presupuestario, en el formato que definirá para tal efecto el Ministerio Secretaría General de Gobierno. Asimismo, informará el detalle del gasto por concepto de publicidad, difusión o relaciones públicas en </w:t>
      </w:r>
      <w:r w:rsidRPr="00624769">
        <w:rPr>
          <w:rFonts w:ascii="Courier New" w:eastAsia="Times New Roman" w:hAnsi="Courier New" w:cs="Courier New"/>
          <w:sz w:val="24"/>
          <w:szCs w:val="24"/>
          <w:lang w:val="es-MX" w:eastAsia="es-ES"/>
        </w:rPr>
        <w:lastRenderedPageBreak/>
        <w:t xml:space="preserve">general, </w:t>
      </w:r>
      <w:r w:rsidRPr="008C5F16">
        <w:rPr>
          <w:rFonts w:ascii="Courier New" w:eastAsia="Times New Roman" w:hAnsi="Courier New" w:cs="Courier New"/>
          <w:sz w:val="24"/>
          <w:szCs w:val="24"/>
          <w:lang w:val="es-MX" w:eastAsia="es-ES"/>
        </w:rPr>
        <w:t>y para ello distinguirá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entre avisos, promoción en periódicos, radios, televisión, medios digitales, cines, teatros, revistas, contratos con agencias publicitarias y/o servicios de exposiciones </w:t>
      </w:r>
      <w:r w:rsidRPr="008C5F16">
        <w:rPr>
          <w:rFonts w:ascii="Courier New" w:eastAsia="Times New Roman" w:hAnsi="Courier New" w:cs="Courier New"/>
          <w:sz w:val="24"/>
          <w:szCs w:val="24"/>
          <w:lang w:val="es-MX" w:eastAsia="es-ES"/>
        </w:rPr>
        <w:t>e indicará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proveedores de cada uno de ellos, si éstos tienen una clara identificación local y si pertenecen a un </w:t>
      </w:r>
      <w:r w:rsidRPr="008C5F16">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Respecto de estos últimos, se adjuntará además la nómina de las entidades ejecutoras de dichas actividades, su mecanismo de contratación y el monto adjudicado, desagregado por programas. Esta información se remitirá trimestralmente, dentro de los treinta días siguientes al término del respectivo trimestre. </w:t>
      </w:r>
    </w:p>
    <w:p w14:paraId="1939842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E9060F4"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Sobre las comisiones de servicio en el país y en el extranjero. Se deberá detallar el número de comisiones y cometidos funcionarios, </w:t>
      </w:r>
      <w:r w:rsidRPr="005730BD">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designados, </w:t>
      </w:r>
      <w:r w:rsidRPr="005730BD">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destino, viático recibido y </w:t>
      </w:r>
      <w:r w:rsidRPr="005730BD">
        <w:rPr>
          <w:rFonts w:ascii="Courier New" w:eastAsia="Times New Roman" w:hAnsi="Courier New" w:cs="Courier New"/>
          <w:sz w:val="24"/>
          <w:szCs w:val="24"/>
          <w:lang w:val="es-MX" w:eastAsia="es-ES"/>
        </w:rPr>
        <w:t>sus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fundamentos y el detalle de los pasajes utilizados en dichas comisiones de servicios, </w:t>
      </w:r>
      <w:r w:rsidRPr="0058055A">
        <w:rPr>
          <w:rFonts w:ascii="Courier New" w:eastAsia="Times New Roman" w:hAnsi="Courier New" w:cs="Courier New"/>
          <w:sz w:val="24"/>
          <w:szCs w:val="24"/>
          <w:lang w:val="es-MX" w:eastAsia="es-ES"/>
        </w:rPr>
        <w:t>y se indicará</w:t>
      </w:r>
      <w:r w:rsidRPr="00624769">
        <w:rPr>
          <w:rFonts w:ascii="Courier New" w:eastAsia="Times New Roman" w:hAnsi="Courier New" w:cs="Courier New"/>
          <w:sz w:val="24"/>
          <w:szCs w:val="24"/>
          <w:lang w:val="es-MX" w:eastAsia="es-ES"/>
        </w:rPr>
        <w:t xml:space="preserve"> el titular de éstos, destino, valor y fecha, a excepción de aquellas que tengan el carácter de reservadas, las que deberán informarse en sesión secreta. Esta información se remitirá trimestralmente. </w:t>
      </w:r>
    </w:p>
    <w:p w14:paraId="13E449B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7ED63A6"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contrataciones y desvinculaciones realizadas durante cada trimestre. En ambos casos, se deberá consignar el nombre, cargo y título de educación superior si </w:t>
      </w:r>
      <w:r w:rsidRPr="001F6C9E">
        <w:rPr>
          <w:rFonts w:ascii="Courier New" w:eastAsia="Times New Roman" w:hAnsi="Courier New" w:cs="Courier New"/>
          <w:sz w:val="24"/>
          <w:szCs w:val="24"/>
          <w:lang w:val="es-MX" w:eastAsia="es-ES"/>
        </w:rPr>
        <w:t>lo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hubiera. </w:t>
      </w:r>
    </w:p>
    <w:p w14:paraId="2914B38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1F6C9E">
        <w:rPr>
          <w:rFonts w:ascii="Courier New" w:eastAsia="Times New Roman" w:hAnsi="Courier New" w:cs="Courier New"/>
          <w:sz w:val="24"/>
          <w:szCs w:val="24"/>
          <w:lang w:val="es-MX" w:eastAsia="es-ES"/>
        </w:rPr>
        <w:t>En el caso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 las desvinculaciones, deberá consignarse la cantidad de </w:t>
      </w:r>
      <w:r w:rsidRPr="001F6C9E">
        <w:rPr>
          <w:rFonts w:ascii="Courier New" w:eastAsia="Times New Roman" w:hAnsi="Courier New" w:cs="Courier New"/>
          <w:sz w:val="24"/>
          <w:szCs w:val="24"/>
          <w:lang w:val="es-MX" w:eastAsia="es-ES"/>
        </w:rPr>
        <w:t>funcionarias y</w:t>
      </w:r>
      <w:r w:rsidRPr="00624769">
        <w:rPr>
          <w:rFonts w:ascii="Courier New" w:eastAsia="Times New Roman" w:hAnsi="Courier New" w:cs="Courier New"/>
          <w:sz w:val="24"/>
          <w:szCs w:val="24"/>
          <w:lang w:val="es-MX" w:eastAsia="es-ES"/>
        </w:rPr>
        <w:t xml:space="preserve"> </w:t>
      </w:r>
      <w:r w:rsidRPr="001F6C9E">
        <w:rPr>
          <w:rFonts w:ascii="Courier New" w:eastAsia="Times New Roman" w:hAnsi="Courier New" w:cs="Courier New"/>
          <w:sz w:val="24"/>
          <w:szCs w:val="24"/>
          <w:lang w:val="es-MX" w:eastAsia="es-ES"/>
        </w:rPr>
        <w:t>funcionarios q</w:t>
      </w:r>
      <w:r w:rsidRPr="00624769">
        <w:rPr>
          <w:rFonts w:ascii="Courier New" w:eastAsia="Times New Roman" w:hAnsi="Courier New" w:cs="Courier New"/>
          <w:sz w:val="24"/>
          <w:szCs w:val="24"/>
          <w:lang w:val="es-MX" w:eastAsia="es-ES"/>
        </w:rPr>
        <w:t xml:space="preserve">ue cesen en sus funciones en cada uno de los servicios públicos con los que se relacionen, la antigüedad en el cargo, la fecha y </w:t>
      </w:r>
      <w:r w:rsidRPr="001F6C9E">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causal de cesación. </w:t>
      </w:r>
    </w:p>
    <w:p w14:paraId="1A38A5F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A44306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montos de dinero mensuales que son implementados directamente por la institución, aquellos que son ejecutados por medio de convenio marco, licitación pública, licitación privada o trato directo, en cada uno de los programas que constituyen la respectiva Partida. Esta información se remitirá trimestralmente, dentro de los treinta días siguientes al término del respectivo trimestre e </w:t>
      </w:r>
      <w:r w:rsidRPr="00624769">
        <w:rPr>
          <w:rFonts w:ascii="Courier New" w:eastAsia="Times New Roman" w:hAnsi="Courier New" w:cs="Courier New"/>
          <w:sz w:val="24"/>
          <w:szCs w:val="24"/>
          <w:lang w:val="es-MX" w:eastAsia="es-ES"/>
        </w:rPr>
        <w:lastRenderedPageBreak/>
        <w:t>incluirá a la Comisión de Hacienda de la Cámara de Diputados.</w:t>
      </w:r>
    </w:p>
    <w:p w14:paraId="75029FC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0B9BCB8"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 remuneraciones de trabajadores, con indicación de la calidad jurídica de los contratos y los porcentajes de tipos de contratación en relación con el total del personal, diferenciado según género y por estamento, la duración media y promedio de cada contrato, </w:t>
      </w:r>
      <w:r w:rsidRPr="0028245C">
        <w:rPr>
          <w:rFonts w:ascii="Courier New" w:eastAsia="Times New Roman" w:hAnsi="Courier New" w:cs="Courier New"/>
          <w:sz w:val="24"/>
          <w:szCs w:val="24"/>
          <w:lang w:val="es-MX" w:eastAsia="es-ES"/>
        </w:rPr>
        <w:t>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el número de veces que ha sido contratado bajo esta modalidad por la entidad pública referida. Esta información se remitirá semestralmente e incluirá a la Comisión de Hacienda de la Cámara de Diputados. </w:t>
      </w:r>
    </w:p>
    <w:p w14:paraId="70897D5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59A49AC"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licencias médicas, con identificación de las que corresponden a enfermedades laborales, el hecho de haber sido reembolsadas, el nivel de cumplimiento de la obligación de reembolso y los montos involucrados. La información deberá detallar los días de ausencia y el número de </w:t>
      </w:r>
      <w:r w:rsidRPr="0028245C">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que presentan licencias, diferenciado </w:t>
      </w:r>
      <w:r w:rsidRPr="0028245C">
        <w:rPr>
          <w:rFonts w:ascii="Courier New" w:eastAsia="Times New Roman" w:hAnsi="Courier New" w:cs="Courier New"/>
          <w:sz w:val="24"/>
          <w:szCs w:val="24"/>
          <w:lang w:val="es-MX" w:eastAsia="es-ES"/>
        </w:rPr>
        <w:t>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género, según el formato que determine la Dirección de Presupuestos. Además, deberán informar respecto de la implementación de un plan </w:t>
      </w:r>
      <w:r w:rsidRPr="00296781">
        <w:rPr>
          <w:rFonts w:ascii="Courier New" w:eastAsia="Times New Roman" w:hAnsi="Courier New" w:cs="Courier New"/>
          <w:sz w:val="24"/>
          <w:szCs w:val="24"/>
          <w:lang w:val="es-MX" w:eastAsia="es-ES"/>
        </w:rPr>
        <w:t>para abordar la reducción del ausentismo</w:t>
      </w:r>
      <w:r w:rsidRPr="00624769">
        <w:rPr>
          <w:rFonts w:ascii="Courier New" w:eastAsia="Times New Roman" w:hAnsi="Courier New" w:cs="Courier New"/>
          <w:sz w:val="24"/>
          <w:szCs w:val="24"/>
          <w:lang w:val="es-MX" w:eastAsia="es-ES"/>
        </w:rPr>
        <w:t xml:space="preserve"> de su personal. Se remitirá trimestralmente, treinta días después del trimestre respectivo, e incluirá a las </w:t>
      </w:r>
      <w:r w:rsidRPr="00296781">
        <w:rPr>
          <w:rFonts w:ascii="Courier New" w:eastAsia="Times New Roman" w:hAnsi="Courier New" w:cs="Courier New"/>
          <w:sz w:val="24"/>
          <w:szCs w:val="24"/>
          <w:lang w:val="es-MX" w:eastAsia="es-ES"/>
        </w:rPr>
        <w:t>comis</w:t>
      </w:r>
      <w:r w:rsidRPr="00624769">
        <w:rPr>
          <w:rFonts w:ascii="Courier New" w:eastAsia="Times New Roman" w:hAnsi="Courier New" w:cs="Courier New"/>
          <w:sz w:val="24"/>
          <w:szCs w:val="24"/>
          <w:lang w:val="es-MX" w:eastAsia="es-ES"/>
        </w:rPr>
        <w:t>iones de Salud del Senado y de la Cámara de Diputados y a la Dirección de Presupuestos.</w:t>
      </w:r>
    </w:p>
    <w:p w14:paraId="6B09336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B061A82"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al arriendo de terrenos u otros bienes inmuebles que sirvan de dependencias para las actividades propias del </w:t>
      </w:r>
      <w:r w:rsidRPr="00296781">
        <w:rPr>
          <w:rFonts w:ascii="Courier New" w:eastAsia="Times New Roman" w:hAnsi="Courier New" w:cs="Courier New"/>
          <w:sz w:val="24"/>
          <w:szCs w:val="24"/>
          <w:lang w:val="es-MX" w:eastAsia="es-ES"/>
        </w:rPr>
        <w:t>ministerio. Se informará</w:t>
      </w:r>
      <w:r w:rsidRPr="00624769">
        <w:rPr>
          <w:rFonts w:ascii="Courier New" w:eastAsia="Times New Roman" w:hAnsi="Courier New" w:cs="Courier New"/>
          <w:sz w:val="24"/>
          <w:szCs w:val="24"/>
          <w:lang w:val="es-MX" w:eastAsia="es-ES"/>
        </w:rPr>
        <w:t xml:space="preserve"> trimestralmente, treinta días después del término del trimestre respectivo, e incluirá a la Comisión de Vivienda y Urbanismo del Senado, y a la Comisión de Vivienda, Desarrollo Urbano y Bienes Nacionales de la Cámara de Diputados. </w:t>
      </w:r>
    </w:p>
    <w:p w14:paraId="1433E5A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5FD7416"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Ministerio Secretaría General de la Presidencia informará antes del 31 de enero de 2025 acerca de los resultados de la implementación y desarrollo del Plan Buen Vivir durante el año 2024, salvo en lo relativo al Programa de Infraestructura del referido Plan, que corresponderá informar, en igual fecha, al Ministerio de Obras Públicas. </w:t>
      </w:r>
    </w:p>
    <w:p w14:paraId="075B299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Asimismo, los ministerios indicados en el párrafo anterior deberán</w:t>
      </w:r>
      <w:r>
        <w:rPr>
          <w:rFonts w:ascii="Courier New" w:eastAsia="Times New Roman" w:hAnsi="Courier New" w:cs="Courier New"/>
          <w:sz w:val="24"/>
          <w:szCs w:val="24"/>
          <w:lang w:val="es-MX" w:eastAsia="es-ES"/>
        </w:rPr>
        <w:t xml:space="preserve"> </w:t>
      </w:r>
      <w:r w:rsidRPr="00431EC3">
        <w:rPr>
          <w:rFonts w:ascii="Courier New" w:eastAsia="Times New Roman" w:hAnsi="Courier New" w:cs="Courier New"/>
          <w:sz w:val="24"/>
          <w:szCs w:val="24"/>
          <w:lang w:val="es-MX" w:eastAsia="es-ES"/>
        </w:rPr>
        <w:t>informar,</w:t>
      </w:r>
      <w:r w:rsidRPr="00624769">
        <w:rPr>
          <w:rFonts w:ascii="Courier New" w:eastAsia="Times New Roman" w:hAnsi="Courier New" w:cs="Courier New"/>
          <w:sz w:val="24"/>
          <w:szCs w:val="24"/>
          <w:lang w:val="es-MX" w:eastAsia="es-ES"/>
        </w:rPr>
        <w:t xml:space="preserve"> en el mismo plazo y cada uno en el ámbito de sus competencias relativas al Plan, sobre la planificación presupuestaria, objetivos y metas que éste tendrá para el año 2025.</w:t>
      </w:r>
    </w:p>
    <w:p w14:paraId="4F5839A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Además, trimestralmente, el Ministerio Secretaría General de la Presidencia informará de las actividades desarrolladas en el marco del Plan Buen Vivir. En tanto, el Ministerio de Obras Públicas informará de las obras </w:t>
      </w:r>
      <w:r w:rsidRPr="00431EC3">
        <w:rPr>
          <w:rFonts w:ascii="Courier New" w:eastAsia="Times New Roman" w:hAnsi="Courier New" w:cs="Courier New"/>
          <w:sz w:val="24"/>
          <w:szCs w:val="24"/>
          <w:lang w:val="es-MX" w:eastAsia="es-ES"/>
        </w:rPr>
        <w:t>ejecutadas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su nivel de avance, con indicación de la cobertura de población, desagregadas por comuna. </w:t>
      </w:r>
    </w:p>
    <w:p w14:paraId="06A8E92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9045D9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año 2025, la Empresa Nacional de Minería, creada por el decreto con fuerza de ley N° 153, de 1960, del Ministerio de Hacienda, deberá informar respecto de las enajenaciones de activos </w:t>
      </w:r>
      <w:r w:rsidRPr="00431EC3">
        <w:rPr>
          <w:rFonts w:ascii="Courier New" w:eastAsia="Times New Roman" w:hAnsi="Courier New" w:cs="Courier New"/>
          <w:sz w:val="24"/>
          <w:szCs w:val="24"/>
          <w:lang w:val="es-MX" w:eastAsia="es-ES"/>
        </w:rPr>
        <w:t>que su Directorio</w:t>
      </w:r>
      <w:r w:rsidRPr="00624769">
        <w:rPr>
          <w:rFonts w:ascii="Courier New" w:eastAsia="Times New Roman" w:hAnsi="Courier New" w:cs="Courier New"/>
          <w:sz w:val="24"/>
          <w:szCs w:val="24"/>
          <w:lang w:val="es-MX" w:eastAsia="es-ES"/>
        </w:rPr>
        <w:t xml:space="preserve"> apruebe realizar. </w:t>
      </w:r>
    </w:p>
    <w:p w14:paraId="578687E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F19596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w:t>
      </w:r>
      <w:r w:rsidRPr="00431EC3">
        <w:rPr>
          <w:rFonts w:ascii="Courier New" w:eastAsia="Times New Roman" w:hAnsi="Courier New" w:cs="Courier New"/>
          <w:sz w:val="24"/>
          <w:szCs w:val="24"/>
          <w:lang w:val="es-MX" w:eastAsia="es-ES"/>
        </w:rPr>
        <w:t>ministerios de Obras Públicas, de Vivienda y Urbanismo, de Salud y de Educación, y la Subsecretaría de Desarrollo Regional y Administrativo y los</w:t>
      </w:r>
      <w:r w:rsidRPr="00624769">
        <w:rPr>
          <w:rFonts w:ascii="Courier New" w:eastAsia="Times New Roman" w:hAnsi="Courier New" w:cs="Courier New"/>
          <w:sz w:val="24"/>
          <w:szCs w:val="24"/>
          <w:lang w:val="es-MX" w:eastAsia="es-ES"/>
        </w:rPr>
        <w:t xml:space="preserve"> gobiernos regionales informarán, a más tardar en el mes de enero de 2025, una nómina con los proyectos de inversión identificados de acuerdo con lo establecido en el artículo 19 bis del decreto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incluidos en esta ley. Esa nómina contendrá el nombre, localización por comuna y región, estado, fecha de ejecución e inversión estimada total y de cada una de las etapas que conforman el proyecto, y precisará, específicamente, las obras y recursos que se ejecutarán durante el año 2025. Deberán distinguirse aquéllos financiados con fondos sectoriales de los financiados con cargo a los recursos contemplados en la ley N° 21.288. Asimismo, a partir de febrero de 2025, deberán enviar mensualmente un informe de actualización que contenga, respecto de cada uno de ellos, su estado de avance y la inversión materializada durante el año 2025. </w:t>
      </w:r>
    </w:p>
    <w:p w14:paraId="6A888BA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36181F2"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Mensualmente la Dirección de Presupuestos deberá informar la nómina de proyectos de inversión presupuestados en los Subtítulos 29, 31 y 33 por Partida, </w:t>
      </w:r>
      <w:r w:rsidRPr="00431EC3">
        <w:rPr>
          <w:rFonts w:ascii="Courier New" w:eastAsia="Times New Roman" w:hAnsi="Courier New" w:cs="Courier New"/>
          <w:sz w:val="24"/>
          <w:szCs w:val="24"/>
          <w:lang w:val="es-MX" w:eastAsia="es-ES"/>
        </w:rPr>
        <w:t xml:space="preserve">y para ello desagregará la </w:t>
      </w:r>
      <w:r w:rsidRPr="00431EC3">
        <w:rPr>
          <w:rFonts w:ascii="Courier New" w:eastAsia="Times New Roman" w:hAnsi="Courier New" w:cs="Courier New"/>
          <w:sz w:val="24"/>
          <w:szCs w:val="24"/>
          <w:lang w:val="es-MX" w:eastAsia="es-ES"/>
        </w:rPr>
        <w:lastRenderedPageBreak/>
        <w:t>información por etapa de diseño, ejecución y fecha</w:t>
      </w:r>
      <w:r w:rsidRPr="00624769">
        <w:rPr>
          <w:rFonts w:ascii="Courier New" w:eastAsia="Times New Roman" w:hAnsi="Courier New" w:cs="Courier New"/>
          <w:sz w:val="24"/>
          <w:szCs w:val="24"/>
          <w:lang w:val="es-MX" w:eastAsia="es-ES"/>
        </w:rPr>
        <w:t xml:space="preserve"> de entrega prevista.</w:t>
      </w:r>
    </w:p>
    <w:p w14:paraId="1EC2EE5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73D6541"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Trimestralmente se informará sobre </w:t>
      </w:r>
      <w:r w:rsidRPr="00431EC3">
        <w:rPr>
          <w:rFonts w:ascii="Courier New" w:eastAsia="Times New Roman" w:hAnsi="Courier New" w:cs="Courier New"/>
          <w:sz w:val="24"/>
          <w:szCs w:val="24"/>
          <w:lang w:val="es-MX" w:eastAsia="es-ES"/>
        </w:rPr>
        <w:t>las instituciones de las señaladas en el artículo 2 y el monto, la duración y las condiciones en que han tomado deuda con garantía estatal.</w:t>
      </w:r>
    </w:p>
    <w:p w14:paraId="4962418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979E7B6"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Semestralmente, las empresas públicas creadas por ley, las empresas del Estado y las sociedades en que éste tenga aporte, participación accionaria superior al cincuenta por ciento o mayoría en el directorio, cualquiera sea el estatuto por el que se rijan, incluso aquellas que de acuerdo a su ley orgánica deban ser expresamente mencionadas para quedar obligadas al cumplimiento de ciertas disposiciones, deberán remitir la información relativa al total de deuda que poseen, con indicación del porcentaje de ella que ha sido tomada con garantía estatal y las fechas y condiciones de su vencimiento.</w:t>
      </w:r>
    </w:p>
    <w:p w14:paraId="34BB060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E2733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reporte trimestral desagregado por ministerio y por región, que dé cuenta de todos los proyectos o programas identificados con el etiquetado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Género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Cambio Climático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 nivel </w:t>
      </w:r>
      <w:r w:rsidRPr="00B23A0F">
        <w:rPr>
          <w:rFonts w:ascii="Courier New" w:eastAsia="Times New Roman" w:hAnsi="Courier New" w:cs="Courier New"/>
          <w:sz w:val="24"/>
          <w:szCs w:val="24"/>
          <w:lang w:val="es-MX" w:eastAsia="es-ES"/>
        </w:rPr>
        <w:t>de Subtítulo</w:t>
      </w:r>
      <w:r w:rsidRPr="00624769">
        <w:rPr>
          <w:rFonts w:ascii="Courier New" w:eastAsia="Times New Roman" w:hAnsi="Courier New" w:cs="Courier New"/>
          <w:sz w:val="24"/>
          <w:szCs w:val="24"/>
          <w:lang w:val="es-MX" w:eastAsia="es-ES"/>
        </w:rPr>
        <w:t>.</w:t>
      </w:r>
    </w:p>
    <w:p w14:paraId="5B6ABB7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8A62D0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órganos del Estado regidos por esta ley deberán cumplir con las siguientes obligaciones de información y publicación: </w:t>
      </w:r>
    </w:p>
    <w:p w14:paraId="0A194D5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7B9C600"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Publicar en su sitio electrónico institucional un informe trimestral que contenga, en su caso, la individualización de los proyectos beneficiados con cargo a los Subtítulos 24 y 33, nómina de beneficiarios, metodología de elección de éstos, las personas o entidades ejecutoras de los recursos, los montos asignados, la modalidad de asignación, las actividades financiadas, los objetivos y metas anuales, los montos y porcentajes de ejecución, desagregados por programa presupuestario, región y comuna según sea el caso, dentro de los treinta días siguientes al término del respectivo trimestre. En caso de contener coberturas y recursos asignados en glosa, la información deberá presentarse con dicho nivel de desagregación. </w:t>
      </w:r>
    </w:p>
    <w:p w14:paraId="7CED9FF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 </w:t>
      </w:r>
    </w:p>
    <w:p w14:paraId="431F1994"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en igual plazo y con el mismo detalle a la Comisión Especial Mixta de Presupuestos. </w:t>
      </w:r>
    </w:p>
    <w:p w14:paraId="1B25220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A962EA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Publicar en sus respectivos portales de transparencia activa las actas de evaluación emitidas por las comisiones evaluadoras de licitaciones y compras públicas de bienes y servicios que realicen en el marco de la ley N° 19.886, dentro de los treinta días siguientes al término del respectivo proceso. </w:t>
      </w:r>
    </w:p>
    <w:p w14:paraId="6E8939B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a la Comisión Especial Mixta de Presupuestos trimestralmente, dentro de los treinta días posteriores al término del trimestre respectivo con el mismo detalle. </w:t>
      </w:r>
    </w:p>
    <w:p w14:paraId="2177714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E4278C0"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Cada ministerio y los demás órganos de la Administración del Estado deberán </w:t>
      </w:r>
      <w:r w:rsidRPr="00172C2B">
        <w:rPr>
          <w:rFonts w:ascii="Courier New" w:eastAsia="Times New Roman" w:hAnsi="Courier New" w:cs="Courier New"/>
          <w:sz w:val="24"/>
          <w:szCs w:val="24"/>
          <w:lang w:val="es-MX" w:eastAsia="es-ES"/>
        </w:rPr>
        <w:t>publicar e</w:t>
      </w:r>
      <w:r w:rsidRPr="00624769">
        <w:rPr>
          <w:rFonts w:ascii="Courier New" w:eastAsia="Times New Roman" w:hAnsi="Courier New" w:cs="Courier New"/>
          <w:sz w:val="24"/>
          <w:szCs w:val="24"/>
          <w:lang w:val="es-MX" w:eastAsia="es-ES"/>
        </w:rPr>
        <w:t xml:space="preserve">n sus respectivos sitios electrónicos institucionales la información relativa al presupuesto asignado por esta ley. </w:t>
      </w:r>
    </w:p>
    <w:p w14:paraId="571F5F86" w14:textId="77777777" w:rsidR="009E1F6D"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69A0889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procurarán utilizar un lenguaje claro que permita ser comprendido por la mayor cantidad de personas, con utilización de gráficos y otros mecanismos que permitan comprender, de manera sencilla, la composición del presupuesto y de los distintos elementos que lo integran, </w:t>
      </w:r>
      <w:r w:rsidRPr="00172C2B">
        <w:rPr>
          <w:rFonts w:ascii="Courier New" w:eastAsia="Times New Roman" w:hAnsi="Courier New" w:cs="Courier New"/>
          <w:sz w:val="24"/>
          <w:szCs w:val="24"/>
          <w:lang w:val="es-MX" w:eastAsia="es-ES"/>
        </w:rPr>
        <w:t>y vincularán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esta información a las orientaciones estratégicas, objetivos prioritarios y resultados esperados para el período. </w:t>
      </w:r>
    </w:p>
    <w:p w14:paraId="4EA5252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08F45A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deberán contemplar mecanismos de participación ciudadana, que permitan recoger inquietudes y realizar consultas sobre iniciativas en estudio o para la priorización de acciones futuras, a través de consejos de la sociedad civil, de carácter consultivo, conformados acorde lo establecido en el artículo 74 del decreto con fuerza de ley N° 1-</w:t>
      </w:r>
      <w:r w:rsidRPr="00624769">
        <w:rPr>
          <w:rFonts w:ascii="Courier New" w:eastAsia="Times New Roman" w:hAnsi="Courier New" w:cs="Courier New"/>
          <w:sz w:val="24"/>
          <w:szCs w:val="24"/>
          <w:lang w:val="es-MX" w:eastAsia="es-ES"/>
        </w:rPr>
        <w:lastRenderedPageBreak/>
        <w:t xml:space="preserve">19.653, de 2000, del Ministerio Secretaría General de la Presidencia. </w:t>
      </w:r>
    </w:p>
    <w:p w14:paraId="036ED9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EA09CE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Toda información deberá ser proporcionada en formato digital, legible y procesable, que no consista solamente en imagen de la respectiva documentación, desagregada por sexo, cuando corresponda. Asimismo, todo deber de información que no señale una fecha de entrega deberá ser cumplido antes del comienzo de la tramitación de la Ley de Presupuestos del Sector Público para el año siguiente. </w:t>
      </w:r>
    </w:p>
    <w:p w14:paraId="02B1385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3CA5DC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08115B">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información que, de acuerdo con lo establecido en esta ley, deba ser remitida a cualquiera de las comisiones de la Cámara de Diputados o del Senado, se entenderá que debe ser remitida también a la Comisión Especial Mixta de Presupuestos. </w:t>
      </w:r>
      <w:r w:rsidRPr="0008115B">
        <w:rPr>
          <w:rFonts w:ascii="Courier New" w:eastAsia="Times New Roman" w:hAnsi="Courier New" w:cs="Courier New"/>
          <w:sz w:val="24"/>
          <w:szCs w:val="24"/>
          <w:lang w:val="es-MX" w:eastAsia="es-ES"/>
        </w:rPr>
        <w:t>La Cámara de Diputados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y el Senado deberán disponer en un repositorio electrónico de acceso público la información remitida de acuerdo con lo establecido en esta ley. Para tal efecto, se podrá disponer de una plataforma web, a través de la cual las instituciones públicas incluidas en la presente ley deberán disponer la respectiva información. </w:t>
      </w:r>
    </w:p>
    <w:p w14:paraId="657D94A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DBBF1C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anterior, la Comisión Especial Mixta de Presupuestos deberá remitir la información que le corresponda recibir a las comisiones permanentes de la Cámara de Diputados y del Senado cuyas materias de competencia se relacionen con la Partida respectiva, dentro del plazo de treinta días contado desde su recepción. </w:t>
      </w:r>
    </w:p>
    <w:p w14:paraId="4E38355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D632BB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3D5A16">
        <w:rPr>
          <w:rFonts w:ascii="Courier New" w:eastAsia="Times New Roman" w:hAnsi="Courier New" w:cs="Courier New"/>
          <w:sz w:val="24"/>
          <w:szCs w:val="24"/>
          <w:lang w:val="es-MX" w:eastAsia="es-ES"/>
        </w:rPr>
        <w:t>La i</w:t>
      </w:r>
      <w:r w:rsidRPr="00624769">
        <w:rPr>
          <w:rFonts w:ascii="Courier New" w:eastAsia="Times New Roman" w:hAnsi="Courier New" w:cs="Courier New"/>
          <w:sz w:val="24"/>
          <w:szCs w:val="24"/>
          <w:lang w:val="es-MX" w:eastAsia="es-ES"/>
        </w:rPr>
        <w:t xml:space="preserve">nformación que se remita de acuerdo a lo establecido en el presente artículo deberá considerar las particularidades, condiciones y desagregación vigente en la Ley de Presupuestos. </w:t>
      </w:r>
    </w:p>
    <w:p w14:paraId="4090CE8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E5073C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este artículo, la información indicada deberá ser puesta a disposición por los organismos correspondientes de conformidad a las instrucciones impartidas para tal efecto por la Dirección de Presupuestos. </w:t>
      </w:r>
    </w:p>
    <w:p w14:paraId="3F76657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C20889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organismos públicos obligados a remitir la información señalada en el presente </w:t>
      </w:r>
      <w:r w:rsidRPr="00624769">
        <w:rPr>
          <w:rFonts w:ascii="Courier New" w:eastAsia="Times New Roman" w:hAnsi="Courier New" w:cs="Courier New"/>
          <w:sz w:val="24"/>
          <w:szCs w:val="24"/>
          <w:lang w:val="es-MX" w:eastAsia="es-ES"/>
        </w:rPr>
        <w:lastRenderedPageBreak/>
        <w:t xml:space="preserve">artículo deberán ponerla a disposición en los sitios electrónicos en los que dan cumplimiento a las obligaciones de transparencia activa. La omisión de la publicación en la forma señalada o su falta de actualización podrá reclamarse en conformidad con lo dispuesto en el artículo 8 de la Ley de Transparencia de la Función Pública y de Acceso a la Información de la Administración del Estado, contenida en el artículo primero de la ley N° 20.285, sobre Acceso a la Información Pública. </w:t>
      </w:r>
    </w:p>
    <w:p w14:paraId="4723C478"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235065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741DE4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15.- </w:t>
      </w:r>
      <w:proofErr w:type="spellStart"/>
      <w:r w:rsidRPr="00624769">
        <w:rPr>
          <w:rFonts w:ascii="Courier New" w:eastAsia="Times New Roman" w:hAnsi="Courier New" w:cs="Courier New"/>
          <w:sz w:val="24"/>
          <w:szCs w:val="24"/>
          <w:lang w:val="es-MX" w:eastAsia="es-ES"/>
        </w:rPr>
        <w:t>Fíjase</w:t>
      </w:r>
      <w:proofErr w:type="spellEnd"/>
      <w:r w:rsidRPr="00624769">
        <w:rPr>
          <w:rFonts w:ascii="Courier New" w:eastAsia="Times New Roman" w:hAnsi="Courier New" w:cs="Courier New"/>
          <w:sz w:val="24"/>
          <w:szCs w:val="24"/>
          <w:lang w:val="es-MX" w:eastAsia="es-ES"/>
        </w:rPr>
        <w:t xml:space="preserve"> para el año 2025 en 6.500 el número máximo de personas que podrá modificar su calidad jurídica de honorario a suma alzada a contrata, </w:t>
      </w:r>
      <w:r>
        <w:rPr>
          <w:rFonts w:ascii="Courier New" w:eastAsia="Times New Roman" w:hAnsi="Courier New" w:cs="Courier New"/>
          <w:sz w:val="24"/>
          <w:szCs w:val="24"/>
          <w:lang w:val="es-MX" w:eastAsia="es-ES"/>
        </w:rPr>
        <w:t xml:space="preserve">y se asimilará </w:t>
      </w:r>
      <w:r w:rsidRPr="00624769">
        <w:rPr>
          <w:rFonts w:ascii="Courier New" w:eastAsia="Times New Roman" w:hAnsi="Courier New" w:cs="Courier New"/>
          <w:sz w:val="24"/>
          <w:szCs w:val="24"/>
          <w:lang w:val="es-MX" w:eastAsia="es-ES"/>
        </w:rPr>
        <w:t>al grado del estamento que le corresponda según el sistema de remuneraciones del servicio, cuya remuneración líquida mensualizada le permita mantener su honorario líquido mensual.</w:t>
      </w:r>
    </w:p>
    <w:p w14:paraId="04F9F28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3D94A7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efectuar los traspasos señalados, a partir del 1 de enero de 2025, a solicitud de los respectivos servicios e instituciones del Sector Público, podrá ser modificado el límite máximo de la dotación de personal fijada en las respectivas glosas presupuestarias de la presente ley, con cargo a una compensación equivalente en el número de personas contratadas a honorarios a suma alzada, fijado en las glosas presupuestarias correspondientes, asociadas a los Subtítulos 21 y 24.</w:t>
      </w:r>
    </w:p>
    <w:p w14:paraId="420A2D3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B747D9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ajustes derivados de la aplicación de este artículo serán establecidos por medio de decretos del Ministerio de Hacienda, dictados conforme a lo dispuesto en el artículo 70 del decreto ley N° 1.263, de 1975, y deberán ser informados mensualmente, dentro de los treinta días siguientes al término del mes respectivo, a la Comisión Especial Mixta de Presupuestos. También, mediante decretos del Ministerio de Hacienda dictados conforme a lo señalado anteriormente, se establecerán los requisitos para el traspaso; la forma de determinar la remuneración líquida mensualizada, el honorario líquido mensual y el grado de asimilación al estamento que le corresponda según el sistema de remuneraciones del servicio; los criterios de </w:t>
      </w:r>
      <w:r w:rsidRPr="00624769">
        <w:rPr>
          <w:rFonts w:ascii="Courier New" w:eastAsia="Times New Roman" w:hAnsi="Courier New" w:cs="Courier New"/>
          <w:sz w:val="24"/>
          <w:szCs w:val="24"/>
          <w:lang w:val="es-MX" w:eastAsia="es-ES"/>
        </w:rPr>
        <w:lastRenderedPageBreak/>
        <w:t xml:space="preserve">priorización que, a lo menos, deberán establecer las jefas y los jefes superiores de servicio para el caso que haya más personal a honorarios que cupos disponibles para el traspaso; y las demás normas de procedimiento que sean necesarias para la implementación de este artículo. </w:t>
      </w:r>
    </w:p>
    <w:p w14:paraId="5F035DC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F3082A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año 2025, los órganos y servicios públicos incluidos en la presente ley podrán renovar las contrataciones de su personal sobre la base de honorarios sin quedar sujeto a las limitaciones establecidas en el artículo 11 de la ley N° 18.834, sobre Estatuto Administrativo, u otra norma de similar naturaleza que rija al respectivo órgano público. Asimismo, los reemplazos del personal a honorarios no quedarán afectos a la limitación antes señalada.</w:t>
      </w:r>
    </w:p>
    <w:p w14:paraId="23118D86"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36F186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807451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16.- La Dirección de Presupuestos proporcionará a </w:t>
      </w:r>
      <w:r w:rsidRPr="008C73E3">
        <w:rPr>
          <w:rFonts w:ascii="Courier New" w:eastAsia="Times New Roman" w:hAnsi="Courier New" w:cs="Courier New"/>
          <w:sz w:val="24"/>
          <w:szCs w:val="24"/>
          <w:lang w:val="es-MX" w:eastAsia="es-ES"/>
        </w:rPr>
        <w:t>las c</w:t>
      </w:r>
      <w:r w:rsidRPr="00624769">
        <w:rPr>
          <w:rFonts w:ascii="Courier New" w:eastAsia="Times New Roman" w:hAnsi="Courier New" w:cs="Courier New"/>
          <w:sz w:val="24"/>
          <w:szCs w:val="24"/>
          <w:lang w:val="es-MX" w:eastAsia="es-ES"/>
        </w:rPr>
        <w:t xml:space="preserve">omisiones de Hacienda del Senado y de la Cámara de Diputados, a la Comisión Especial Mixta de Presupuestos y a la Biblioteca del Congreso Nacional los informes y documentos que se señalan, en la forma y oportunidades que a continuación se indican: </w:t>
      </w:r>
    </w:p>
    <w:p w14:paraId="19F3376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2A0A03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mensual de ingresos y gastos del Gobierno Central, a nivel de Subtítulos, dentro de los treinta días siguientes al término del respectivo mes. Este informe deberá incluir la ejecución mensual de gastos correspondientes a los subtítulos 30 “Adquisición de Activos Financieros” y 32 “Préstamos”, del clasificador de gastos.</w:t>
      </w:r>
    </w:p>
    <w:p w14:paraId="073024B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CFE6C08"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trimestral de ingresos y gastos del Gobierno Central, a nivel de Subtítulos, dentro de los treinta días siguientes al término del respectivo trimestre, e incluirá en anexos un desglose de los ingresos tributarios del período, otras fuentes de financiamiento y saldo de la deuda bruta del Gobierno Central. Del mismo modo, deberá incluir en anexos información del gasto devengado en el Gobierno Central del Subtítulo 22, ítem 07, Publicidad y Difusión, desagregado por asignación, y detallará el </w:t>
      </w:r>
      <w:r w:rsidRPr="00624769">
        <w:rPr>
          <w:rFonts w:ascii="Courier New" w:eastAsia="Times New Roman" w:hAnsi="Courier New" w:cs="Courier New"/>
          <w:sz w:val="24"/>
          <w:szCs w:val="24"/>
          <w:lang w:val="es-MX" w:eastAsia="es-ES"/>
        </w:rPr>
        <w:lastRenderedPageBreak/>
        <w:t xml:space="preserve">gasto por Partida y su variación real respecto de igual trimestre del año anterior y de las asignaciones comprendidas en los Subtítulos 24 y 33, para cada uno de los programas de esta ley. </w:t>
      </w:r>
    </w:p>
    <w:p w14:paraId="2783550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46203D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la ejecución trimestral del presupuesto de ingresos y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 </w:t>
      </w:r>
    </w:p>
    <w:p w14:paraId="6F3A83E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2E340A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decretos de modificaciones presupuestarias totalmente tramitados durante cada mes y un informe consolidado de las modificaciones presupuestarias efectuadas en dicho mes por Partida, que contenga una descripción que indique si se trata de incrementos por aplicación de leyes, reducciones por ajuste fiscal, o modificaciones por decisiones de política, con especificación de los montos incrementados o disminuidos por Subtítulo y Partida, dentro de los treinta días siguientes a su término. </w:t>
      </w:r>
    </w:p>
    <w:p w14:paraId="5334641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BF0B840"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semestral de la deuda pública bruta y neta del Gobierno Central con sus notas explicativas y antecedentes complementarios, dentro de los sesenta y noventa días siguientes al término del correspondiente semestre, respectivamente. </w:t>
      </w:r>
    </w:p>
    <w:p w14:paraId="7CD9265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1A0050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los Activos Financieros del Tesoro Público, dentro de los treinta días siguientes al término del respectivo trimestre. </w:t>
      </w:r>
    </w:p>
    <w:p w14:paraId="62EDFDD0"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5F2F02B5"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el Fondo de Reserva de Pensiones y el Fondo de Estabilización Económica y Social, dentro de los noventa días siguientes al término del respectivo trimestre. </w:t>
      </w:r>
    </w:p>
    <w:p w14:paraId="2987B40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5612DF1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de las operaciones de cobertura de riesgo de activos y pasivos autorizados en el artículo 5 de la ley N° </w:t>
      </w:r>
      <w:r w:rsidRPr="00624769">
        <w:rPr>
          <w:rFonts w:ascii="Courier New" w:eastAsia="Times New Roman" w:hAnsi="Courier New" w:cs="Courier New"/>
          <w:sz w:val="24"/>
          <w:szCs w:val="24"/>
          <w:lang w:val="es-MX" w:eastAsia="es-ES"/>
        </w:rPr>
        <w:lastRenderedPageBreak/>
        <w:t xml:space="preserve">19.908, dentro de los treinta días siguientes al término del respectivo trimestre. </w:t>
      </w:r>
    </w:p>
    <w:p w14:paraId="2D06429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4345EC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con la actualización del escenario fiscal que considere una proyección de ingresos y gastos, junto a la correspondiente proyección del balance efectivo y cíclicamente ajustado, la proyección de deuda y la posición financiera neta para 2025 y para el programa financiero en cada caso, adicional al Informe sobre Finanzas Públicas establecido en el número 22 del artículo 2° del decreto con fuerza de ley N° 106, de 1960, del Ministerio de Hacienda. </w:t>
      </w:r>
    </w:p>
    <w:p w14:paraId="48252201"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la misma oportunidad se informará acerca de la necesidad de financiamiento que deba ser atendida con cargo a la autorización de endeudamiento otorgada de conformidad al artículo 3. La entrega de esa información respetará los deberes de reserva de información establecidos en leyes especiales.</w:t>
      </w:r>
    </w:p>
    <w:p w14:paraId="53966A2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estos informes se actualizará la proyección de ingresos efectivos y estructurales del </w:t>
      </w:r>
      <w:r w:rsidRPr="00161416">
        <w:rPr>
          <w:rFonts w:ascii="Courier New" w:eastAsia="Times New Roman" w:hAnsi="Courier New" w:cs="Courier New"/>
          <w:sz w:val="24"/>
          <w:szCs w:val="24"/>
          <w:lang w:val="es-MX" w:eastAsia="es-ES"/>
        </w:rPr>
        <w:t>Gobierno Central, habida consideración de la recaudación efectiva del año 2024, los</w:t>
      </w:r>
      <w:r w:rsidRPr="00624769">
        <w:rPr>
          <w:rFonts w:ascii="Courier New" w:eastAsia="Times New Roman" w:hAnsi="Courier New" w:cs="Courier New"/>
          <w:sz w:val="24"/>
          <w:szCs w:val="24"/>
          <w:lang w:val="es-MX" w:eastAsia="es-ES"/>
        </w:rPr>
        <w:t xml:space="preserve"> ajustes metodológicos que se implementen y la actualización de proyecciones macroeconómicas para el año. Sobre esta base la Dirección de Presupuestos determinará el nivel de gastos compatible con el cumplimiento de la meta fiscal del año y los ajustes que se requieran para su logro.</w:t>
      </w:r>
    </w:p>
    <w:p w14:paraId="4C739304"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08DBDE6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 la planificación estratégica de los órganos de la Administración del Estado. Se entiende por tales a los ministerios y sus respectivos órganos desconcentrados, y servicios públicos. Dichos antecedentes deberán contemplar, a lo menos: </w:t>
      </w:r>
    </w:p>
    <w:p w14:paraId="75F059C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20B210C0"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Definiciones estratégicas, incluyendo al menos la misión y la identificación de sus prioridades a través de objetivos estratégicos. </w:t>
      </w:r>
    </w:p>
    <w:p w14:paraId="6A39523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3413F83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Indicadores de desempeño vinculados a los objetivos estratégicos institucionales. </w:t>
      </w:r>
    </w:p>
    <w:p w14:paraId="7D26804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49149211"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Adicionalmente, se proporcionarán los antecedentes relativos a la planificación estratégica </w:t>
      </w:r>
      <w:r w:rsidRPr="00624769">
        <w:rPr>
          <w:rFonts w:ascii="Courier New" w:eastAsia="Times New Roman" w:hAnsi="Courier New" w:cs="Courier New"/>
          <w:sz w:val="24"/>
          <w:szCs w:val="24"/>
          <w:lang w:val="es-MX" w:eastAsia="es-ES"/>
        </w:rPr>
        <w:lastRenderedPageBreak/>
        <w:t xml:space="preserve">de los </w:t>
      </w:r>
      <w:r w:rsidRPr="00A55ADA">
        <w:rPr>
          <w:rFonts w:ascii="Courier New" w:eastAsia="Times New Roman" w:hAnsi="Courier New" w:cs="Courier New"/>
          <w:sz w:val="24"/>
          <w:szCs w:val="24"/>
          <w:lang w:val="es-MX" w:eastAsia="es-ES"/>
        </w:rPr>
        <w:t>gobiernos regionales</w:t>
      </w:r>
      <w:r w:rsidRPr="00624769">
        <w:rPr>
          <w:rFonts w:ascii="Courier New" w:eastAsia="Times New Roman" w:hAnsi="Courier New" w:cs="Courier New"/>
          <w:sz w:val="24"/>
          <w:szCs w:val="24"/>
          <w:lang w:val="es-MX" w:eastAsia="es-ES"/>
        </w:rPr>
        <w:t xml:space="preserve">, en lo que sea pertinente. </w:t>
      </w:r>
    </w:p>
    <w:p w14:paraId="3534615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586B47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Esta información se remitirá en el mes de julio de 2025, respecto de la Ley de Presupuestos en ejecución, y los primeros quince días de octubre, respecto del proyecto de Ley de Presupuestos del Sector Público para el año siguiente.  </w:t>
      </w:r>
    </w:p>
    <w:p w14:paraId="0BC6617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49523E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al diseño y desempeño de la </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ferta </w:t>
      </w:r>
      <w:r>
        <w:rPr>
          <w:rFonts w:ascii="Courier New" w:eastAsia="Times New Roman" w:hAnsi="Courier New" w:cs="Courier New"/>
          <w:sz w:val="24"/>
          <w:szCs w:val="24"/>
          <w:lang w:val="es-MX" w:eastAsia="es-ES"/>
        </w:rPr>
        <w:t>p</w:t>
      </w:r>
      <w:r w:rsidRPr="00624769">
        <w:rPr>
          <w:rFonts w:ascii="Courier New" w:eastAsia="Times New Roman" w:hAnsi="Courier New" w:cs="Courier New"/>
          <w:sz w:val="24"/>
          <w:szCs w:val="24"/>
          <w:lang w:val="es-MX" w:eastAsia="es-ES"/>
        </w:rPr>
        <w:t xml:space="preserve">rogramática vigente de los órganos de la Administración del Estado, entendiendo por tales a los ministerios y sus respectivos órganos desconcentrados, y servicios públicos. Dichos antecedentes deberán contemplar: </w:t>
      </w:r>
    </w:p>
    <w:p w14:paraId="789079A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59975F0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La información que la Dirección de Presupuestos y la Subsecretaría de Evaluación Social recaben en virtud del monitoreo del desempeño de los programas públicos correspondientes a la ejecución del año </w:t>
      </w:r>
      <w:r w:rsidRPr="006A0E5F">
        <w:rPr>
          <w:rFonts w:ascii="Courier New" w:eastAsia="Times New Roman" w:hAnsi="Courier New" w:cs="Courier New"/>
          <w:sz w:val="24"/>
          <w:szCs w:val="24"/>
          <w:lang w:val="es-MX" w:eastAsia="es-ES"/>
        </w:rPr>
        <w:t>anterior. Esta información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 remitirse en el mes de junio.</w:t>
      </w:r>
    </w:p>
    <w:p w14:paraId="1F261A84"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13D3F48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b) La información que la Dirección de Presupuestos y la Subsecretaría de Evaluación Social recaben en virtud de la evaluación ex ante de diseño de los programas nuevos o aquellos que reformulen su diseño en forma significativa presentados en el marco del presupuesto del próximo año</w:t>
      </w:r>
      <w:r w:rsidRPr="002B4A7A">
        <w:rPr>
          <w:rFonts w:ascii="Courier New" w:eastAsia="Times New Roman" w:hAnsi="Courier New" w:cs="Courier New"/>
          <w:sz w:val="24"/>
          <w:szCs w:val="24"/>
          <w:lang w:val="es-MX" w:eastAsia="es-ES"/>
        </w:rPr>
        <w:t>. Esta información</w:t>
      </w:r>
      <w:r w:rsidRPr="00624769">
        <w:rPr>
          <w:rFonts w:ascii="Courier New" w:eastAsia="Times New Roman" w:hAnsi="Courier New" w:cs="Courier New"/>
          <w:sz w:val="24"/>
          <w:szCs w:val="24"/>
          <w:lang w:val="es-MX" w:eastAsia="es-ES"/>
        </w:rPr>
        <w:t xml:space="preserve"> deberá remitirse quince días antes de que comien</w:t>
      </w:r>
      <w:r>
        <w:rPr>
          <w:rFonts w:ascii="Courier New" w:eastAsia="Times New Roman" w:hAnsi="Courier New" w:cs="Courier New"/>
          <w:sz w:val="24"/>
          <w:szCs w:val="24"/>
          <w:lang w:val="es-MX" w:eastAsia="es-ES"/>
        </w:rPr>
        <w:t>c</w:t>
      </w:r>
      <w:r w:rsidRPr="00624769">
        <w:rPr>
          <w:rFonts w:ascii="Courier New" w:eastAsia="Times New Roman" w:hAnsi="Courier New" w:cs="Courier New"/>
          <w:sz w:val="24"/>
          <w:szCs w:val="24"/>
          <w:lang w:val="es-MX" w:eastAsia="es-ES"/>
        </w:rPr>
        <w:t xml:space="preserve">e la discusión presupuestaria del año siguiente. </w:t>
      </w:r>
    </w:p>
    <w:p w14:paraId="45597A5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14B779D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La información recabada de la Evaluación de Programas Gubernamentales (EPG) de acuerdo a lo establecido en el artículo 52 del decreto ley N° 1263, de 1975, Orgánico de Administración Financiera del Estado y en el </w:t>
      </w:r>
      <w:r w:rsidRPr="002B4A7A">
        <w:rPr>
          <w:rFonts w:ascii="Courier New" w:eastAsia="Times New Roman" w:hAnsi="Courier New" w:cs="Courier New"/>
          <w:sz w:val="24"/>
          <w:szCs w:val="24"/>
          <w:lang w:val="es-MX" w:eastAsia="es-ES"/>
        </w:rPr>
        <w:t>regl</w:t>
      </w:r>
      <w:r w:rsidRPr="00624769">
        <w:rPr>
          <w:rFonts w:ascii="Courier New" w:eastAsia="Times New Roman" w:hAnsi="Courier New" w:cs="Courier New"/>
          <w:sz w:val="24"/>
          <w:szCs w:val="24"/>
          <w:lang w:val="es-MX" w:eastAsia="es-ES"/>
        </w:rPr>
        <w:t xml:space="preserve">amento fijado a través del decreto N° 2.068 del 21 de abril de 2022, del Ministerio de </w:t>
      </w:r>
      <w:r w:rsidRPr="002B4A7A">
        <w:rPr>
          <w:rFonts w:ascii="Courier New" w:eastAsia="Times New Roman" w:hAnsi="Courier New" w:cs="Courier New"/>
          <w:sz w:val="24"/>
          <w:szCs w:val="24"/>
          <w:lang w:val="es-MX" w:eastAsia="es-ES"/>
        </w:rPr>
        <w:t>Hacienda. Esta información deberá remitirse quince días antes de que comience la discusión presupuestaria del</w:t>
      </w:r>
      <w:r w:rsidRPr="00624769">
        <w:rPr>
          <w:rFonts w:ascii="Courier New" w:eastAsia="Times New Roman" w:hAnsi="Courier New" w:cs="Courier New"/>
          <w:sz w:val="24"/>
          <w:szCs w:val="24"/>
          <w:lang w:val="es-MX" w:eastAsia="es-ES"/>
        </w:rPr>
        <w:t xml:space="preserve"> año siguiente. </w:t>
      </w:r>
    </w:p>
    <w:p w14:paraId="5DCA920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F50538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primer trimestre del año la Dirección de </w:t>
      </w:r>
      <w:r w:rsidRPr="002B4A7A">
        <w:rPr>
          <w:rFonts w:ascii="Courier New" w:eastAsia="Times New Roman" w:hAnsi="Courier New" w:cs="Courier New"/>
          <w:sz w:val="24"/>
          <w:szCs w:val="24"/>
          <w:lang w:val="es-MX" w:eastAsia="es-ES"/>
        </w:rPr>
        <w:t>Presupuestos informará, de forma agregada, y a nivel de Partida, Capítulo y Programa</w:t>
      </w:r>
      <w:r w:rsidRPr="00624769">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lastRenderedPageBreak/>
        <w:t xml:space="preserve">los gastos en personal que son imputados al Subtítulo 24, y señalará el monto que la ley de presupuestos autoriza al respecto </w:t>
      </w:r>
      <w:r w:rsidRPr="00D72EEF">
        <w:rPr>
          <w:rFonts w:ascii="Courier New" w:eastAsia="Times New Roman" w:hAnsi="Courier New" w:cs="Courier New"/>
          <w:sz w:val="24"/>
          <w:szCs w:val="24"/>
          <w:lang w:val="es-MX" w:eastAsia="es-ES"/>
        </w:rPr>
        <w:t>y, a la fecha, la ejecución de dichos recursos y el número de personas que se desempeñan en dichos cargos</w:t>
      </w:r>
      <w:r w:rsidRPr="00624769">
        <w:rPr>
          <w:rFonts w:ascii="Courier New" w:eastAsia="Times New Roman" w:hAnsi="Courier New" w:cs="Courier New"/>
          <w:sz w:val="24"/>
          <w:szCs w:val="24"/>
          <w:lang w:val="es-MX" w:eastAsia="es-ES"/>
        </w:rPr>
        <w:t>, según corresponda.</w:t>
      </w:r>
    </w:p>
    <w:p w14:paraId="07A25FF5"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la misma forma, y como parte integrante de los antecedentes que acompañan los contenidos del proyecto de ley de presupuestos del año siguiente, </w:t>
      </w:r>
      <w:r w:rsidRPr="00D72EEF">
        <w:rPr>
          <w:rFonts w:ascii="Courier New" w:eastAsia="Times New Roman" w:hAnsi="Courier New" w:cs="Courier New"/>
          <w:sz w:val="24"/>
          <w:szCs w:val="24"/>
          <w:lang w:val="es-MX" w:eastAsia="es-ES"/>
        </w:rPr>
        <w:t>se informará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forma agregada, y a nivel de Partida, Capítulo y Programa, los gastos en personal que se propone serán imputados al Subtítulo 24, junto con una estimación de número de personas que se espera se desempeñen en dichos cargos</w:t>
      </w:r>
      <w:r w:rsidRPr="00D72EEF">
        <w:rPr>
          <w:rFonts w:ascii="Courier New" w:eastAsia="Times New Roman" w:hAnsi="Courier New" w:cs="Courier New"/>
          <w:sz w:val="24"/>
          <w:szCs w:val="24"/>
          <w:lang w:val="es-MX" w:eastAsia="es-ES"/>
        </w:rPr>
        <w:t>. Se</w:t>
      </w:r>
      <w:r w:rsidRPr="00624769">
        <w:rPr>
          <w:rFonts w:ascii="Courier New" w:eastAsia="Times New Roman" w:hAnsi="Courier New" w:cs="Courier New"/>
          <w:sz w:val="24"/>
          <w:szCs w:val="24"/>
          <w:lang w:val="es-MX" w:eastAsia="es-ES"/>
        </w:rPr>
        <w:t xml:space="preserve"> actualizará la información señalada precedentemente, de forma que permita su comparación respecto de los recursos autorizados por la ley, su ejecución a la fecha y el número de personas que se desempeñan en dichos cargos, según corresponda.</w:t>
      </w:r>
    </w:p>
    <w:p w14:paraId="7B47E6A8"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información señalada en </w:t>
      </w:r>
      <w:r w:rsidRPr="00D72EEF">
        <w:rPr>
          <w:rFonts w:ascii="Courier New" w:eastAsia="Times New Roman" w:hAnsi="Courier New" w:cs="Courier New"/>
          <w:sz w:val="24"/>
          <w:szCs w:val="24"/>
          <w:lang w:val="es-MX" w:eastAsia="es-ES"/>
        </w:rPr>
        <w:t>los párrafos precedentes, además, deberá publicarse en l</w:t>
      </w:r>
      <w:r w:rsidRPr="00624769">
        <w:rPr>
          <w:rFonts w:ascii="Courier New" w:eastAsia="Times New Roman" w:hAnsi="Courier New" w:cs="Courier New"/>
          <w:sz w:val="24"/>
          <w:szCs w:val="24"/>
          <w:lang w:val="es-MX" w:eastAsia="es-ES"/>
        </w:rPr>
        <w:t>a página web de la Dirección de Presupuestos.</w:t>
      </w:r>
    </w:p>
    <w:p w14:paraId="1068C52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E5F2D7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los numerales 1 al 11 anteriores, la información indicada deberá ser entregada por los organismos correspondientes de conformidad a las instrucciones impartidas para tal efecto por la Dirección de Presupuestos. Además, dicha información deberá ser publicada en los mismos plazos en los respectivos sitios electrónicos de los organismos obligados a proporcionarla. </w:t>
      </w:r>
    </w:p>
    <w:p w14:paraId="4460546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E93886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mes de marzo de 2025 se conformará una instancia de coordinación entre ambas cámaras del Congreso Nacional y la Dirección de Presupuestos, para efectos de acordar formatos y precisiones respecto de la información de la que trata este artículo.</w:t>
      </w:r>
    </w:p>
    <w:p w14:paraId="3CE5AB98"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1F4B29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373686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17.-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w:t>
      </w:r>
      <w:r w:rsidRPr="00624769">
        <w:rPr>
          <w:rFonts w:ascii="Courier New" w:eastAsia="Times New Roman" w:hAnsi="Courier New" w:cs="Courier New"/>
          <w:sz w:val="24"/>
          <w:szCs w:val="24"/>
          <w:lang w:val="es-MX" w:eastAsia="es-ES"/>
        </w:rPr>
        <w:lastRenderedPageBreak/>
        <w:t xml:space="preserve">evento de que la incorporación o renovación les demande efectuar contribuciones o aportes o aumentos de éstos y si los convenios consisten en aumentos del monto de cuotas, su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quedará condicionada a la disponibilidad presupuestaria, que será verificada por la Dirección de Presupuestos.</w:t>
      </w:r>
    </w:p>
    <w:p w14:paraId="6D78F754"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4B54F6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AB3B58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18.- Los decretos supremos del Ministerio de Hacienda que deban dictarse en cumplimiento de lo dispuesto en los artículos de esta ley y los que correspondan para la ejecución presupuestaria se ajustarán a lo establecido en el artículo 70 del decreto ley N° 1.263, de 1975. </w:t>
      </w:r>
    </w:p>
    <w:p w14:paraId="6B47BBB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9F9DDE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aprobaciones, </w:t>
      </w:r>
      <w:proofErr w:type="spellStart"/>
      <w:r w:rsidRPr="00624769">
        <w:rPr>
          <w:rFonts w:ascii="Courier New" w:eastAsia="Times New Roman" w:hAnsi="Courier New" w:cs="Courier New"/>
          <w:sz w:val="24"/>
          <w:szCs w:val="24"/>
          <w:lang w:val="es-MX" w:eastAsia="es-ES"/>
        </w:rPr>
        <w:t>visaciones</w:t>
      </w:r>
      <w:proofErr w:type="spellEnd"/>
      <w:r w:rsidRPr="00624769">
        <w:rPr>
          <w:rFonts w:ascii="Courier New" w:eastAsia="Times New Roman" w:hAnsi="Courier New" w:cs="Courier New"/>
          <w:sz w:val="24"/>
          <w:szCs w:val="24"/>
          <w:lang w:val="es-MX" w:eastAsia="es-ES"/>
        </w:rPr>
        <w:t xml:space="preserve"> y autorizaciones del Ministerio de Hacienda establecidas en esta ley, cuyo otorgamiento no se exija expresamente que se efectúe por decreto supremo, las autorizaciones que prescriben los artículos 22 y 24 del decreto ley N° 3.001, de 1979; la oración final del inciso segundo del artículo 8 del decreto ley N° 1.056, de 1975; el artículo 4 de la ley N° 19.896; el artículo 19 de la ley N° 18.382; la excepción a que se refiere el inciso final del artículo 9 de la ley N° 19.104; las autorizaciones contempladas en el artículo 14 de la ley N° 20.128, en el artículo 27 del decreto ley N°1.263 de 1975, y aquella dispuesta en el literal r) del artículo 70 de la ley N° 19.300, se cumplirán mediante oficio o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 la Dirección de Presupuestos, la que podrá </w:t>
      </w:r>
      <w:r w:rsidRPr="0095479A">
        <w:rPr>
          <w:rFonts w:ascii="Courier New" w:eastAsia="Times New Roman" w:hAnsi="Courier New" w:cs="Courier New"/>
          <w:sz w:val="24"/>
          <w:szCs w:val="24"/>
          <w:lang w:val="es-MX" w:eastAsia="es-ES"/>
        </w:rPr>
        <w:t>delegar</w:t>
      </w:r>
      <w:r w:rsidRPr="00624769">
        <w:rPr>
          <w:rFonts w:ascii="Courier New" w:eastAsia="Times New Roman" w:hAnsi="Courier New" w:cs="Courier New"/>
          <w:sz w:val="24"/>
          <w:szCs w:val="24"/>
          <w:lang w:val="es-MX" w:eastAsia="es-ES"/>
        </w:rPr>
        <w:t xml:space="preserve"> tales facultades, total o parcialmente. </w:t>
      </w:r>
    </w:p>
    <w:p w14:paraId="41C2F98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FEC821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modificaciones que se incorporen a los contratos de concesión y los convenios en que se pacten las compensaciones que se deriven de dichas modificaciones, en virtud de lo dispuesto en el  artículo 19 del decreto 900, de 1996, del Ministerio de Obras Públicas, que fija texto refundido, coordinado y sistematizado del decreto con fuerza de ley N° 164, de 1991, del Ministerio de Obras Públicas, Ley de Concesiones de Obras Públicas, se realizarán mediante decreto supremo fundado del Ministerio de Obras Públicas, dictado bajo la fórmula “por orden del Presidente de la República”, el que deberá llevar, además, la firma del Ministro de Hacienda. </w:t>
      </w:r>
    </w:p>
    <w:p w14:paraId="5F48A85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16E092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identificaciones que se deben efectuar en función del artículo 19 bis del decreto ley N° 1.263, de 1975, se harán por resolución de la Dirección de Presupuestos. </w:t>
      </w:r>
    </w:p>
    <w:p w14:paraId="75624CA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723659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w:t>
      </w:r>
      <w:proofErr w:type="spellStart"/>
      <w:r w:rsidRPr="00624769">
        <w:rPr>
          <w:rFonts w:ascii="Courier New" w:eastAsia="Times New Roman" w:hAnsi="Courier New" w:cs="Courier New"/>
          <w:sz w:val="24"/>
          <w:szCs w:val="24"/>
          <w:lang w:val="es-MX" w:eastAsia="es-ES"/>
        </w:rPr>
        <w:t>visaciones</w:t>
      </w:r>
      <w:proofErr w:type="spellEnd"/>
      <w:r w:rsidRPr="00624769">
        <w:rPr>
          <w:rFonts w:ascii="Courier New" w:eastAsia="Times New Roman" w:hAnsi="Courier New" w:cs="Courier New"/>
          <w:sz w:val="24"/>
          <w:szCs w:val="24"/>
          <w:lang w:val="es-MX" w:eastAsia="es-ES"/>
        </w:rPr>
        <w:t xml:space="preserve"> dispuestas en el artículo 5 de la ley N° 19.896 serán efectuadas por la subsecretaria o el subsecretario respectivo, quien podrá delegar tal facultad en la secretaria o el secretario regional ministerial correspondiente.</w:t>
      </w:r>
    </w:p>
    <w:p w14:paraId="03FCCC17"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42E425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DB4792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19.- </w:t>
      </w:r>
      <w:r w:rsidRPr="00CC1C10">
        <w:rPr>
          <w:rFonts w:ascii="Courier New" w:eastAsia="Times New Roman" w:hAnsi="Courier New" w:cs="Courier New"/>
          <w:sz w:val="24"/>
          <w:szCs w:val="24"/>
          <w:lang w:val="es-MX" w:eastAsia="es-ES"/>
        </w:rPr>
        <w:t>Las personas encargadas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los programas presupuestarios previstos en esta ley que se encuentren contrat</w:t>
      </w:r>
      <w:r w:rsidRPr="00CC1C10">
        <w:rPr>
          <w:rFonts w:ascii="Courier New" w:eastAsia="Times New Roman" w:hAnsi="Courier New" w:cs="Courier New"/>
          <w:sz w:val="24"/>
          <w:szCs w:val="24"/>
          <w:lang w:val="es-MX" w:eastAsia="es-ES"/>
        </w:rPr>
        <w:t>adas</w:t>
      </w:r>
      <w:r w:rsidRPr="00624769">
        <w:rPr>
          <w:rFonts w:ascii="Courier New" w:eastAsia="Times New Roman" w:hAnsi="Courier New" w:cs="Courier New"/>
          <w:sz w:val="24"/>
          <w:szCs w:val="24"/>
          <w:lang w:val="es-MX" w:eastAsia="es-ES"/>
        </w:rPr>
        <w:t xml:space="preserve"> a honorarios tendrán la calidad de agentes públicos, con la consecuente responsabilidad penal y administrativa, sin perjuicio de la responsabilidad correspondiente de su superior jerárquico.</w:t>
      </w:r>
    </w:p>
    <w:p w14:paraId="1F98635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4281E2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ejercicio de sus funciones tales personas deberán ajustar su labor estrictamente al principio de probidad administrativa contemplado en las leyes.</w:t>
      </w:r>
    </w:p>
    <w:p w14:paraId="021AA42E"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319278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70EC72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20.- Cuando los órganos y servicios públicos realicen avisaje y publicaciones en medios de comunicación social, deberán efectuarlos, al menos en </w:t>
      </w:r>
      <w:r w:rsidRPr="00415224">
        <w:rPr>
          <w:rFonts w:ascii="Courier New" w:eastAsia="Times New Roman" w:hAnsi="Courier New" w:cs="Courier New"/>
          <w:sz w:val="24"/>
          <w:szCs w:val="24"/>
          <w:lang w:val="es-MX" w:eastAsia="es-ES"/>
        </w:rPr>
        <w:t>el cuarenta por ciento</w:t>
      </w:r>
      <w:r w:rsidRPr="00624769">
        <w:rPr>
          <w:rFonts w:ascii="Courier New" w:eastAsia="Times New Roman" w:hAnsi="Courier New" w:cs="Courier New"/>
          <w:sz w:val="24"/>
          <w:szCs w:val="24"/>
          <w:lang w:val="es-MX" w:eastAsia="es-ES"/>
        </w:rPr>
        <w:t xml:space="preserve">,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N° 18.045, que tengan sedes o sucursales en más de una región. </w:t>
      </w:r>
    </w:p>
    <w:p w14:paraId="5CFA205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2B7A44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obligaciones de publicación indicadas en el inciso precedente deberán sujetarse a lo señalado en el artículo 7 de la Ley de Transparencia de la Función Pública y de Acceso a la Información de la Administración del Estado, contenida en el artículo primero de la ley N° 20.285, y deberá ponerse a disposición, al menos, la siguiente información: </w:t>
      </w:r>
      <w:r w:rsidRPr="00624769">
        <w:rPr>
          <w:rFonts w:ascii="Courier New" w:eastAsia="Times New Roman" w:hAnsi="Courier New" w:cs="Courier New"/>
          <w:sz w:val="24"/>
          <w:szCs w:val="24"/>
          <w:lang w:val="es-MX" w:eastAsia="es-ES"/>
        </w:rPr>
        <w:lastRenderedPageBreak/>
        <w:t xml:space="preserve">monto total y desglose de los gastos en avisaje y publicidad, identificación de los proveedores (razón social y </w:t>
      </w:r>
      <w:proofErr w:type="spellStart"/>
      <w:r w:rsidRPr="00624769">
        <w:rPr>
          <w:rFonts w:ascii="Courier New" w:eastAsia="Times New Roman" w:hAnsi="Courier New" w:cs="Courier New"/>
          <w:sz w:val="24"/>
          <w:szCs w:val="24"/>
          <w:lang w:val="es-MX" w:eastAsia="es-ES"/>
        </w:rPr>
        <w:t>rut</w:t>
      </w:r>
      <w:proofErr w:type="spellEnd"/>
      <w:r w:rsidRPr="00624769">
        <w:rPr>
          <w:rFonts w:ascii="Courier New" w:eastAsia="Times New Roman" w:hAnsi="Courier New" w:cs="Courier New"/>
          <w:sz w:val="24"/>
          <w:szCs w:val="24"/>
          <w:lang w:val="es-MX" w:eastAsia="es-ES"/>
        </w:rPr>
        <w:t xml:space="preserve">), tipo de medio de comunicación (televisión, radio, prensa u otro), identificación territorial (local, regional, nacional), pertenencia o no a un </w:t>
      </w:r>
      <w:r w:rsidRPr="00B54F13">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La mencionada información tenderá a publicarse en formato de datos abiertos y reutilizables, de forma que permita y facilite el acceso y la utilización de estos antecedentes por parte de los ciudadanos. Corresponderá al Consejo para la Transparencia impartir instrucciones sobre el cumplimiento de la obligación contenida en el presente inciso. </w:t>
      </w:r>
    </w:p>
    <w:p w14:paraId="5A25857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C7D177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órganos y servicios públicos a que se refiere este artículo deberán remitir, a más tardar en marzo de 2025, su planificación anual de avisaje y publicaciones al Ministerio Secretaría General de Gobierno, según el formato y los lineamientos que serán proporcionados oportunamente por dicho ministerio, el que hará un seguimiento del cumplimiento de la obligación establecida en el inciso anterior.</w:t>
      </w:r>
    </w:p>
    <w:p w14:paraId="15FB2CA5"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FEC70C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CAEB2D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21.- Los gastos en publicidad y difusión que podrán ejecutarse con cargo a cada Partida presupuestaria durante el año 2025 no podrán superar la suma fijada en el respectivo presupuesto. </w:t>
      </w:r>
    </w:p>
    <w:p w14:paraId="2510DA2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28E969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Al respecto, en el mes de diciembre de 2024,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Una copia de este decreto, totalmente tramitado, deberá ser enviada a la Comisión Especial Mixta de Presupuestos. </w:t>
      </w:r>
    </w:p>
    <w:p w14:paraId="0332DE3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183BDE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igual forma, podrá aumentarse el monto asignado a un Programa presupuestario para gastos en publicidad y difusión, con cargo a la disminución de otro u otros, pero en ningún caso podrá aumentarse por esta vía el monto total fijado para la Partida. </w:t>
      </w:r>
    </w:p>
    <w:p w14:paraId="4618D2D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15D21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actividades de publicidad y difusión que corresponda realizar por los ministerios, delegaciones presidenciales regionales, delegaciones presidenciales provinciales, los gobiernos regionales y los órganos y servicios públicos que integran la Administración del Estado se sujetarán a lo dispuesto en el artículo 3 de la ley N° 19.896. En ningún caso podrán efectuarse campañas publicitarias que tengan por objeto único enumerar los logros de una autoridad específica o del Gobierno en general, con excepción de las cuentas públicas que los organismos señalados en el citado artículo realicen. </w:t>
      </w:r>
    </w:p>
    <w:p w14:paraId="2CE0C93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69398F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se entenderá que son gastos de publicidad y difusión para el cumplimiento de las funciones de los referidos organismos, aquellos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 </w:t>
      </w:r>
    </w:p>
    <w:p w14:paraId="275F599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FFC383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organismos a que se refiere este artículo sólo podrán editar memorias y otras publicaciones por medios electrónicos, salvo que la ley que los regule indique expresamente que se deben publicar en medios impresos.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14:paraId="5A0476D5"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84FAAB5"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F7FF5">
        <w:rPr>
          <w:rFonts w:ascii="Courier New" w:eastAsia="Times New Roman" w:hAnsi="Courier New" w:cs="Courier New"/>
          <w:sz w:val="24"/>
          <w:szCs w:val="24"/>
          <w:lang w:val="es-MX" w:eastAsia="es-ES"/>
        </w:rPr>
        <w:t xml:space="preserve">Con todo, durante el período de propaganda electoral señalado en el artículo 31 de la </w:t>
      </w:r>
      <w:r>
        <w:rPr>
          <w:rFonts w:ascii="Courier New" w:eastAsia="Times New Roman" w:hAnsi="Courier New" w:cs="Courier New"/>
          <w:sz w:val="24"/>
          <w:szCs w:val="24"/>
          <w:lang w:val="es-MX" w:eastAsia="es-ES"/>
        </w:rPr>
        <w:t>l</w:t>
      </w:r>
      <w:r w:rsidRPr="006F7FF5">
        <w:rPr>
          <w:rFonts w:ascii="Courier New" w:eastAsia="Times New Roman" w:hAnsi="Courier New" w:cs="Courier New"/>
          <w:sz w:val="24"/>
          <w:szCs w:val="24"/>
          <w:lang w:val="es-MX" w:eastAsia="es-ES"/>
        </w:rPr>
        <w:t>ey N° 18.700 y hasta el día de la elección, inclusive, se podrá prohibir la difusión</w:t>
      </w:r>
      <w:r>
        <w:rPr>
          <w:rFonts w:ascii="Courier New" w:eastAsia="Times New Roman" w:hAnsi="Courier New" w:cs="Courier New"/>
          <w:sz w:val="24"/>
          <w:szCs w:val="24"/>
          <w:lang w:val="es-MX" w:eastAsia="es-ES"/>
        </w:rPr>
        <w:t>,</w:t>
      </w:r>
      <w:r w:rsidRPr="006F7FF5">
        <w:rPr>
          <w:rFonts w:ascii="Courier New" w:eastAsia="Times New Roman" w:hAnsi="Courier New" w:cs="Courier New"/>
          <w:sz w:val="24"/>
          <w:szCs w:val="24"/>
          <w:lang w:val="es-MX" w:eastAsia="es-ES"/>
        </w:rPr>
        <w:t xml:space="preserve"> por cualquier medio, de propaganda o publicidad de los órganos señalados en este artículo, de las municipalidades y gobiernos </w:t>
      </w:r>
      <w:r w:rsidRPr="006F7FF5">
        <w:rPr>
          <w:rFonts w:ascii="Courier New" w:eastAsia="Times New Roman" w:hAnsi="Courier New" w:cs="Courier New"/>
          <w:sz w:val="24"/>
          <w:szCs w:val="24"/>
          <w:lang w:val="es-MX" w:eastAsia="es-ES"/>
        </w:rPr>
        <w:lastRenderedPageBreak/>
        <w:t>regionales, respecto de cualquier materia, con excepción de la información relativa a la protección de las personas en casos de riesgo de desastres o de emergencias que puedan poner en peligro la salud, integridad o vida de las personas, por motivos de seguridad nacional o la que deba hacer el Servicio Electoral respecto del proceso eleccionario.</w:t>
      </w:r>
    </w:p>
    <w:p w14:paraId="2354E016"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A25691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83C3FB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22.- Las comisiones de servicio en el país y en el extranjero deberán reducirse a las que sean imprescindibles para el cumplimiento de las tareas institucionales, especialmente aquellas en el extranjero, las que no podrán exceder de dos personas por actividad. Excepcionalmente, la Dirección de Presupuestos podrá autorizar al servicio una comisión de servicio mayor al número señalado, cuando le asistan motivos fundados. </w:t>
      </w:r>
    </w:p>
    <w:p w14:paraId="1A650C1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18DF2E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Sólo el Presidente de la República </w:t>
      </w:r>
      <w:r w:rsidRPr="00FC2C82">
        <w:rPr>
          <w:rFonts w:ascii="Courier New" w:eastAsia="Times New Roman" w:hAnsi="Courier New" w:cs="Courier New"/>
          <w:sz w:val="24"/>
          <w:szCs w:val="24"/>
          <w:lang w:val="es-MX" w:eastAsia="es-ES"/>
        </w:rPr>
        <w:t>y las ministras y los ministros de Estado en comisione</w:t>
      </w:r>
      <w:r w:rsidRPr="00624769">
        <w:rPr>
          <w:rFonts w:ascii="Courier New" w:eastAsia="Times New Roman" w:hAnsi="Courier New" w:cs="Courier New"/>
          <w:sz w:val="24"/>
          <w:szCs w:val="24"/>
          <w:lang w:val="es-MX" w:eastAsia="es-ES"/>
        </w:rPr>
        <w:t xml:space="preserve">s de servicio en el extranjero podrán </w:t>
      </w:r>
      <w:r w:rsidRPr="00FC2C82">
        <w:rPr>
          <w:rFonts w:ascii="Courier New" w:eastAsia="Times New Roman" w:hAnsi="Courier New" w:cs="Courier New"/>
          <w:sz w:val="24"/>
          <w:szCs w:val="24"/>
          <w:lang w:val="es-MX" w:eastAsia="es-ES"/>
        </w:rPr>
        <w:t>ser acompañados por comitivas. En el caso de las ministras y los</w:t>
      </w:r>
      <w:r w:rsidRPr="00624769">
        <w:rPr>
          <w:rFonts w:ascii="Courier New" w:eastAsia="Times New Roman" w:hAnsi="Courier New" w:cs="Courier New"/>
          <w:sz w:val="24"/>
          <w:szCs w:val="24"/>
          <w:lang w:val="es-MX" w:eastAsia="es-ES"/>
        </w:rPr>
        <w:t xml:space="preserve"> ministros, estas comitivas estarán compuestas por </w:t>
      </w:r>
      <w:r w:rsidRPr="00FC2C82">
        <w:rPr>
          <w:rFonts w:ascii="Courier New" w:eastAsia="Times New Roman" w:hAnsi="Courier New" w:cs="Courier New"/>
          <w:sz w:val="24"/>
          <w:szCs w:val="24"/>
          <w:lang w:val="es-MX" w:eastAsia="es-ES"/>
        </w:rPr>
        <w:t>el máximo de un acompañante y sólo en caso de s</w:t>
      </w:r>
      <w:r w:rsidRPr="00624769">
        <w:rPr>
          <w:rFonts w:ascii="Courier New" w:eastAsia="Times New Roman" w:hAnsi="Courier New" w:cs="Courier New"/>
          <w:sz w:val="24"/>
          <w:szCs w:val="24"/>
          <w:lang w:val="es-MX" w:eastAsia="es-ES"/>
        </w:rPr>
        <w:t xml:space="preserve">er estrictamente necesario. En situaciones debidamente justificadas podrá asistir una segunda persona como acompañante, en cuyo caso deberá solicitarse una autorización previa a la Dirección de Presupuestos. Sin perjuicio de lo anterior, </w:t>
      </w:r>
      <w:r w:rsidRPr="00FC2C82">
        <w:rPr>
          <w:rFonts w:ascii="Courier New" w:eastAsia="Times New Roman" w:hAnsi="Courier New" w:cs="Courier New"/>
          <w:sz w:val="24"/>
          <w:szCs w:val="24"/>
          <w:lang w:val="es-MX" w:eastAsia="es-ES"/>
        </w:rPr>
        <w:t>la Ministra o el</w:t>
      </w:r>
      <w:r w:rsidRPr="00624769">
        <w:rPr>
          <w:rFonts w:ascii="Courier New" w:eastAsia="Times New Roman" w:hAnsi="Courier New" w:cs="Courier New"/>
          <w:sz w:val="24"/>
          <w:szCs w:val="24"/>
          <w:lang w:val="es-MX" w:eastAsia="es-ES"/>
        </w:rPr>
        <w:t xml:space="preserve"> Ministr</w:t>
      </w:r>
      <w:r w:rsidRPr="00FC2C82">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Relaciones Exteriores podrá ser acompañado por un máximo de tres personas. </w:t>
      </w:r>
    </w:p>
    <w:p w14:paraId="2DAC36E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2C2EB1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servicios públicos deberán informar a la Dirección de Presupuestos, a partir de la publicación de esta ley y a más tardar el 31 de enero de 2025, un plan anual de viajes al extranjero, el que deberá adecuarse al presupuesto aprobado en esta ley.  Este plan de viajes al extranjero podrá ser modificado, en la medida que no implique un mayor gasto</w:t>
      </w:r>
      <w:r w:rsidRPr="00FC2C82">
        <w:rPr>
          <w:rFonts w:ascii="Courier New" w:eastAsia="Times New Roman" w:hAnsi="Courier New" w:cs="Courier New"/>
          <w:sz w:val="24"/>
          <w:szCs w:val="24"/>
          <w:lang w:val="es-MX" w:eastAsia="es-ES"/>
        </w:rPr>
        <w:t>, y deberá informarse de ello a la Dirección de Presupuestos.</w:t>
      </w:r>
    </w:p>
    <w:p w14:paraId="4AC2EEB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34D806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visitas de Estado, oficiales o de trabajo, en que el Presidente de la República o </w:t>
      </w:r>
      <w:r>
        <w:rPr>
          <w:rFonts w:ascii="Courier New" w:eastAsia="Times New Roman" w:hAnsi="Courier New" w:cs="Courier New"/>
          <w:sz w:val="24"/>
          <w:szCs w:val="24"/>
          <w:lang w:val="es-MX" w:eastAsia="es-ES"/>
        </w:rPr>
        <w:t>las</w:t>
      </w:r>
      <w:r w:rsidRPr="00624769">
        <w:rPr>
          <w:rFonts w:ascii="Courier New" w:eastAsia="Times New Roman" w:hAnsi="Courier New" w:cs="Courier New"/>
          <w:sz w:val="24"/>
          <w:szCs w:val="24"/>
          <w:lang w:val="es-MX" w:eastAsia="es-ES"/>
        </w:rPr>
        <w:t xml:space="preserve">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y </w:t>
      </w:r>
      <w:r w:rsidRPr="00BD4883">
        <w:rPr>
          <w:rFonts w:ascii="Courier New" w:eastAsia="Times New Roman" w:hAnsi="Courier New" w:cs="Courier New"/>
          <w:sz w:val="24"/>
          <w:szCs w:val="24"/>
          <w:lang w:val="es-MX" w:eastAsia="es-ES"/>
        </w:rPr>
        <w:t>los ministros</w:t>
      </w:r>
      <w:r w:rsidRPr="00624769">
        <w:rPr>
          <w:rFonts w:ascii="Courier New" w:eastAsia="Times New Roman" w:hAnsi="Courier New" w:cs="Courier New"/>
          <w:sz w:val="24"/>
          <w:szCs w:val="24"/>
          <w:lang w:val="es-MX" w:eastAsia="es-ES"/>
        </w:rPr>
        <w:t xml:space="preserve"> de Estado convoquen como parte de la delegación a miembros del Congreso Nacional, a </w:t>
      </w:r>
      <w:r w:rsidRPr="00BD4883">
        <w:rPr>
          <w:rFonts w:ascii="Courier New" w:eastAsia="Times New Roman" w:hAnsi="Courier New" w:cs="Courier New"/>
          <w:sz w:val="24"/>
          <w:szCs w:val="24"/>
          <w:lang w:val="es-MX" w:eastAsia="es-ES"/>
        </w:rPr>
        <w:t>ministras y ministros</w:t>
      </w:r>
      <w:r w:rsidRPr="00624769">
        <w:rPr>
          <w:rFonts w:ascii="Courier New" w:eastAsia="Times New Roman" w:hAnsi="Courier New" w:cs="Courier New"/>
          <w:sz w:val="24"/>
          <w:szCs w:val="24"/>
          <w:lang w:val="es-MX" w:eastAsia="es-ES"/>
        </w:rPr>
        <w:t xml:space="preserve"> de la Corte </w:t>
      </w:r>
      <w:r w:rsidRPr="00624769">
        <w:rPr>
          <w:rFonts w:ascii="Courier New" w:eastAsia="Times New Roman" w:hAnsi="Courier New" w:cs="Courier New"/>
          <w:sz w:val="24"/>
          <w:szCs w:val="24"/>
          <w:lang w:val="es-MX" w:eastAsia="es-ES"/>
        </w:rPr>
        <w:lastRenderedPageBreak/>
        <w:t>Suprema</w:t>
      </w:r>
      <w:r w:rsidRPr="00BD4883">
        <w:rPr>
          <w:rFonts w:ascii="Courier New" w:eastAsia="Times New Roman" w:hAnsi="Courier New" w:cs="Courier New"/>
          <w:sz w:val="24"/>
          <w:szCs w:val="24"/>
          <w:lang w:val="es-MX" w:eastAsia="es-ES"/>
        </w:rPr>
        <w:t>, a la Contralora o al Contralor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General de la República o a otras autoridades superiores de la Administración del Estado, serán consideradas comisiones de servicio de interés para la política exterior del país. En ningún caso esto podrá significar duplicidad en el pago de viáticos. </w:t>
      </w:r>
    </w:p>
    <w:p w14:paraId="3F43F504"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D1B6F2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082DBD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23.- Para todos los organismos públicos contenidos en esta ley la asignación de recursos a instituciones privadas, provenientes de transferencias corrientes y de capital, salvo que la ley expresamente señale lo contrario o que sean asignaciones nominadas en esta ley, será el resultado de un concurso público abierto y transparente, que garantice la probidad, eficiencia y eficacia en el uso de los recursos públicos, y la igualdad y la libre concurrencia de los potenciales beneficiarios de la transferencia. Estas transferencias se materializarán previa suscripción de convenio. </w:t>
      </w:r>
    </w:p>
    <w:p w14:paraId="0738B04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4D07B1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concurso y el convenio serán obligatorios para seleccionar a una institución privada ejecutora de política pública. </w:t>
      </w:r>
    </w:p>
    <w:p w14:paraId="6D0E607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B97A9E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permitirá la asignación de recursos sin concurso a instituciones privadas en los casos que a continuación se señala: </w:t>
      </w:r>
    </w:p>
    <w:p w14:paraId="645D88F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35D20BB" w14:textId="77777777" w:rsidR="009E1F6D" w:rsidRPr="00CE33A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a) Si en los concursos públicos respectivos no se presentaron interesados.</w:t>
      </w:r>
    </w:p>
    <w:p w14:paraId="56BDA96F" w14:textId="77777777" w:rsidR="009E1F6D" w:rsidRPr="00CE33A3"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4519D8C5" w14:textId="77777777" w:rsidR="009E1F6D"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b) Si sólo existe una persona jurídica como posible beneficiario de los recursos o como su ejecutor.</w:t>
      </w:r>
      <w:r w:rsidRPr="00624769">
        <w:rPr>
          <w:rFonts w:ascii="Courier New" w:eastAsia="Times New Roman" w:hAnsi="Courier New" w:cs="Courier New"/>
          <w:sz w:val="24"/>
          <w:szCs w:val="24"/>
          <w:lang w:val="es-MX" w:eastAsia="es-ES"/>
        </w:rPr>
        <w:t xml:space="preserve"> </w:t>
      </w:r>
    </w:p>
    <w:p w14:paraId="6B8A2674" w14:textId="77777777" w:rsidR="00A66F47" w:rsidRDefault="00A66F47"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3D9D4415" w14:textId="3700710B" w:rsidR="00A66F47" w:rsidRPr="00624769" w:rsidRDefault="00A66F47"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c) En casos de emergencia, urgencia o imprevisto, calificados de conformidad a lo establecido en el inciso siguiente, sin perjuicio de las disposiciones especiales para casos de sismos y catástrofes contenidas en la legislación pertinente.</w:t>
      </w:r>
    </w:p>
    <w:p w14:paraId="0B9DE86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3EA051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los casos señalados anteriormente deberá acreditarse la concurrencia de la circunstancia que justifica la asignación directa, mediante resolución fundada del jefe superior de la entidad que asigne </w:t>
      </w:r>
      <w:r w:rsidRPr="00624769">
        <w:rPr>
          <w:rFonts w:ascii="Courier New" w:eastAsia="Times New Roman" w:hAnsi="Courier New" w:cs="Courier New"/>
          <w:sz w:val="24"/>
          <w:szCs w:val="24"/>
          <w:lang w:val="es-MX" w:eastAsia="es-ES"/>
        </w:rPr>
        <w:lastRenderedPageBreak/>
        <w:t xml:space="preserve">los recursos </w:t>
      </w:r>
      <w:r w:rsidRPr="00CE33A3">
        <w:rPr>
          <w:rFonts w:ascii="Courier New" w:eastAsia="Times New Roman" w:hAnsi="Courier New" w:cs="Courier New"/>
          <w:sz w:val="24"/>
          <w:szCs w:val="24"/>
          <w:lang w:val="es-MX" w:eastAsia="es-ES"/>
        </w:rPr>
        <w:t>o de aquel a quien éste le haya delegado dicha facultad.</w:t>
      </w:r>
      <w:r w:rsidRPr="00624769">
        <w:rPr>
          <w:rFonts w:ascii="Courier New" w:eastAsia="Times New Roman" w:hAnsi="Courier New" w:cs="Courier New"/>
          <w:sz w:val="24"/>
          <w:szCs w:val="24"/>
          <w:lang w:val="es-MX" w:eastAsia="es-ES"/>
        </w:rPr>
        <w:t xml:space="preserve"> </w:t>
      </w:r>
    </w:p>
    <w:p w14:paraId="03D25AB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7EECEA9" w14:textId="52AD994E" w:rsidR="009E1F6D" w:rsidRPr="00624769" w:rsidRDefault="00F9698E"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En casos graves, debidamente calificados según lo dispuesto en el convenio, el incumplimiento</w:t>
      </w:r>
      <w:r w:rsidR="009E1F6D" w:rsidRPr="00226403">
        <w:rPr>
          <w:rFonts w:ascii="Courier New" w:eastAsia="Times New Roman" w:hAnsi="Courier New" w:cs="Courier New"/>
          <w:sz w:val="24"/>
          <w:szCs w:val="24"/>
          <w:lang w:val="es-MX" w:eastAsia="es-ES"/>
        </w:rPr>
        <w:t>,</w:t>
      </w:r>
      <w:r w:rsidR="009E1F6D" w:rsidRPr="00624769">
        <w:rPr>
          <w:rFonts w:ascii="Courier New" w:eastAsia="Times New Roman" w:hAnsi="Courier New" w:cs="Courier New"/>
          <w:sz w:val="24"/>
          <w:szCs w:val="24"/>
          <w:lang w:val="es-MX" w:eastAsia="es-ES"/>
        </w:rPr>
        <w:t xml:space="preserve"> ya sea de las disposiciones de esta ley o de los términos de los respectivos convenios, tendrá aparejada la imposibilidad de efectuar cualquier nueva transferencia de recursos públicos a la respectiva institución privada hasta que dicha situación sea subsanada. Lo anterior, sin perjuicio de </w:t>
      </w:r>
      <w:r w:rsidR="009E1F6D" w:rsidRPr="0068744E">
        <w:rPr>
          <w:rFonts w:ascii="Courier New" w:eastAsia="Times New Roman" w:hAnsi="Courier New" w:cs="Courier New"/>
          <w:sz w:val="24"/>
          <w:szCs w:val="24"/>
          <w:lang w:val="es-MX" w:eastAsia="es-ES"/>
        </w:rPr>
        <w:t>lo dispuesto en la resolución N° 30, de 2015, de la Contraloría General de la República, o de la que la reemplace</w:t>
      </w:r>
      <w:r w:rsidR="009E1F6D" w:rsidRPr="00624769">
        <w:rPr>
          <w:rFonts w:ascii="Courier New" w:eastAsia="Times New Roman" w:hAnsi="Courier New" w:cs="Courier New"/>
          <w:sz w:val="24"/>
          <w:szCs w:val="24"/>
          <w:lang w:val="es-MX" w:eastAsia="es-ES"/>
        </w:rPr>
        <w:t xml:space="preserve">, y de la responsabilidad administrativa que pueda derivarse de este incumplimiento en el órgano responsable. </w:t>
      </w:r>
    </w:p>
    <w:p w14:paraId="5F7AFB5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C0A140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instituciones receptoras de fondos que no cumplan las obligaciones de la ley N° 19.862 no podrán recibir fondos públicos establecidos en esta ley hasta subsanar dicha situación. Los ministerios y servicios públicos deberán resguardar el registro de la información correspondiente de dicha ley. De igual forma deberán publicar la información relativa a las transferencias, en conformidad a lo dispuesto en las letras f) y k) del artículo 7 del artículo primero de la ley N° 20.285, sobre Acceso a la Información Pública. </w:t>
      </w:r>
    </w:p>
    <w:p w14:paraId="79AFF47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E42467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disposiciones del presente artículo y los artículos 24, 25 y 26 siguientes, se aplicarán igualmente a aquellas transferencias corrientes y de capital que tengan una regulación propia para su asignación, incluso en los casos en que las transferencias se efectúen sin concurso por disposición de esta ley o de otro cuerpo normativo, en todo aquello en que no sean contradictorias.</w:t>
      </w:r>
    </w:p>
    <w:p w14:paraId="7F96C102"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577725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26992B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24.- Los convenios de transferencia a los que hace referencia el artículo anterior, estarán sujetos a las siguientes obligaciones y prohibiciones, tanto cuando se trate de transferencias corrientes a instituciones privadas beneficiarias, como </w:t>
      </w:r>
      <w:r w:rsidRPr="0068744E">
        <w:rPr>
          <w:rFonts w:ascii="Courier New" w:eastAsia="Times New Roman" w:hAnsi="Courier New" w:cs="Courier New"/>
          <w:sz w:val="24"/>
          <w:szCs w:val="24"/>
          <w:lang w:val="es-MX" w:eastAsia="es-ES"/>
        </w:rPr>
        <w: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instituciones privadas ejecutoras de políticas públicas: </w:t>
      </w:r>
    </w:p>
    <w:p w14:paraId="072EA25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317BDD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el objeto social o fines que establecen los estatutos o el acta de constitución de la institución privada con la cual se suscriba el convenio. El objeto social se acreditará de manera previa a la suscripción del convenio de transferencia, y deberá ser pertinente con la actividad a desarrollar. </w:t>
      </w:r>
    </w:p>
    <w:p w14:paraId="60DB1588"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4FD5EB3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las actividades específicas a desarrollar y/o los conceptos de gastos que se financiarán.</w:t>
      </w:r>
    </w:p>
    <w:p w14:paraId="5CAE14B1"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1D5CB77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No podrán establecer compromisos financieros que excedan el ejercicio presupuestario, salvo que cuenten con la autorización previa de la Dirección de Presupuestos. </w:t>
      </w:r>
    </w:p>
    <w:p w14:paraId="08F7696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692B8E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condicionar la suscripción del convenio al cumplimiento íntegro de las obligaciones establecidas en la ley N° 19.862. </w:t>
      </w:r>
    </w:p>
    <w:p w14:paraId="15CD649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0399D94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rendiciones de cuentas se deberán realizar a través del Sistema de Rendición Electrónica de Cuentas de la Contraloría General de la República. La incorporación al sistema, y las modalidades de uso se deberán realizar de acuerdo </w:t>
      </w:r>
      <w:r w:rsidRPr="006E6E65">
        <w:rPr>
          <w:rFonts w:ascii="Courier New" w:eastAsia="Times New Roman" w:hAnsi="Courier New" w:cs="Courier New"/>
          <w:sz w:val="24"/>
          <w:szCs w:val="24"/>
          <w:lang w:val="es-MX" w:eastAsia="es-ES"/>
        </w:rPr>
        <w:t>con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las instrucciones que la Contraloría General de la República emita al efecto. </w:t>
      </w:r>
    </w:p>
    <w:p w14:paraId="4031C83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0D9F79C"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anterior, sin perjuicio de las autorizaciones vigentes otorgadas por la Contraloría General de la República a determinados organismos públicos para el uso de sistemas digitales propios de rendición de cuentas. </w:t>
      </w:r>
    </w:p>
    <w:p w14:paraId="54FD0685"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09EFF6E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Será responsabilidad de los órganos y servicios públicos velar por el buen uso de la plataforma y por la veracidad de la información que en ella se registre. Asimismo, será responsabilidad de dichos órganos y servicios, exigir que los receptores cumplan con la obligación de rendir cuentas, verificar el correcto uso de los recursos y exigir sus restituciones, si correspondiere. </w:t>
      </w:r>
    </w:p>
    <w:p w14:paraId="55DFECE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A907D31"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Salvo que los respectivos convenios dispongan un plazo diferente, los organismos públicos tendrán </w:t>
      </w:r>
      <w:r w:rsidRPr="00B1702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plazo máximo de seis meses para </w:t>
      </w:r>
      <w:r w:rsidRPr="00624769">
        <w:rPr>
          <w:rFonts w:ascii="Courier New" w:eastAsia="Times New Roman" w:hAnsi="Courier New" w:cs="Courier New"/>
          <w:sz w:val="24"/>
          <w:szCs w:val="24"/>
          <w:lang w:val="es-MX" w:eastAsia="es-ES"/>
        </w:rPr>
        <w:lastRenderedPageBreak/>
        <w:t>pronunciarse acerca de la rendición de cuentas otorgadas por las instituciones privadas respectivas.</w:t>
      </w:r>
    </w:p>
    <w:p w14:paraId="641F6C6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48EC70C"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acreditarse que el receptor ha cumplido con las obligaciones de rendir cuenta respecto de cualquier otro convenio suscrito con el órgano que efectúa la transferencia, en su caso. </w:t>
      </w:r>
    </w:p>
    <w:p w14:paraId="1476D51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2DDA13B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incorporarse una cláusula que exija la restitución de los recursos transferidos en caso de que éstos sean destinados a una finalidad distinta </w:t>
      </w:r>
      <w:r w:rsidRPr="006279EE">
        <w:rPr>
          <w:rFonts w:ascii="Courier New" w:eastAsia="Times New Roman" w:hAnsi="Courier New" w:cs="Courier New"/>
          <w:sz w:val="24"/>
          <w:szCs w:val="24"/>
          <w:lang w:val="es-MX" w:eastAsia="es-ES"/>
        </w:rPr>
        <w:t>de aquella para la cual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fueron asignados, o bien, no hayan sido utilizados o rendidos o hayan sido observados en el proceso de revisión de la rendición de cuentas.</w:t>
      </w:r>
    </w:p>
    <w:p w14:paraId="223277EC"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2F4D9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2BF42F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25.- Además de los requisitos del artículo anterior, los convenios que se </w:t>
      </w:r>
      <w:r w:rsidRPr="006279EE">
        <w:rPr>
          <w:rFonts w:ascii="Courier New" w:eastAsia="Times New Roman" w:hAnsi="Courier New" w:cs="Courier New"/>
          <w:sz w:val="24"/>
          <w:szCs w:val="24"/>
          <w:lang w:val="es-MX" w:eastAsia="es-ES"/>
        </w:rPr>
        <w:t>suscriban en que se establezcan transferencias de recursos</w:t>
      </w:r>
      <w:r w:rsidRPr="00624769">
        <w:rPr>
          <w:rFonts w:ascii="Courier New" w:eastAsia="Times New Roman" w:hAnsi="Courier New" w:cs="Courier New"/>
          <w:sz w:val="24"/>
          <w:szCs w:val="24"/>
          <w:lang w:val="es-MX" w:eastAsia="es-ES"/>
        </w:rPr>
        <w:t xml:space="preserve"> a instituciones privadas ejecutoras de políticas públicas, deberán cumplir con lo siguiente: </w:t>
      </w:r>
    </w:p>
    <w:p w14:paraId="7E78B34D"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77838C4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Sólo se podrán suscribir convenios con aquellas instituciones privadas que al momento de la postulación tengan a lo menos dos años de antigüedad contados desde su constitución, y que demuestren experiencia en el área de ejecución del convenio. Para estos efectos, al momento de suscribir el convenio se deberá requerir un certificado de vigencia otorgado por el organismo competente </w:t>
      </w:r>
      <w:r w:rsidRPr="00A91C2F">
        <w:rPr>
          <w:rFonts w:ascii="Courier New" w:eastAsia="Times New Roman" w:hAnsi="Courier New" w:cs="Courier New"/>
          <w:sz w:val="24"/>
          <w:szCs w:val="24"/>
          <w:lang w:val="es-MX" w:eastAsia="es-ES"/>
        </w:rPr>
        <w:t>en que se acredite la antigüedad de la institución. Asimismo, al momento de la postulación, se requ</w:t>
      </w:r>
      <w:r w:rsidRPr="00624769">
        <w:rPr>
          <w:rFonts w:ascii="Courier New" w:eastAsia="Times New Roman" w:hAnsi="Courier New" w:cs="Courier New"/>
          <w:sz w:val="24"/>
          <w:szCs w:val="24"/>
          <w:lang w:val="es-MX" w:eastAsia="es-ES"/>
        </w:rPr>
        <w:t xml:space="preserve">erirán antecedentes que demuestren la experiencia de la institución privada o de los responsables del equipo de trabajo que ejecuten el proyecto asociado al convenio. </w:t>
      </w:r>
    </w:p>
    <w:p w14:paraId="0CAA7C82"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0377378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Las instituciones privadas que suscriban convenios deberán constituir una o más garantías </w:t>
      </w:r>
      <w:r w:rsidRPr="00C651F7">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favor del órgano de la Administración, con el objeto de garantizar el fiel cumplimiento de las obligaciones establecidas en el convenio, cuando el total del monto de los recursos que se transfieran supere las 1.000 unidades tributarias mensuales. </w:t>
      </w:r>
    </w:p>
    <w:p w14:paraId="0F9B227F"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Dichas garantías deberán consistir en vales vistas, boletas de garantía, pólizas de seguro, </w:t>
      </w:r>
      <w:r w:rsidRPr="00624769">
        <w:rPr>
          <w:rFonts w:ascii="Courier New" w:eastAsia="Times New Roman" w:hAnsi="Courier New" w:cs="Courier New"/>
          <w:sz w:val="24"/>
          <w:szCs w:val="24"/>
          <w:lang w:val="es-MX" w:eastAsia="es-ES"/>
        </w:rPr>
        <w:lastRenderedPageBreak/>
        <w:t xml:space="preserve">depósitos a plazo, certificados de fianza u otros instrumentos que permitan su cobro inmediato, y deberán </w:t>
      </w:r>
      <w:r w:rsidRPr="00190D45">
        <w:rPr>
          <w:rFonts w:ascii="Courier New" w:eastAsia="Times New Roman" w:hAnsi="Courier New" w:cs="Courier New"/>
          <w:sz w:val="24"/>
          <w:szCs w:val="24"/>
          <w:lang w:val="es-MX" w:eastAsia="es-ES"/>
        </w:rPr>
        <w:t>ascender al cinco por ciento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del monto total de los recursos a transferir. Para estos efectos, se considerará el valor de la unidad tributaria mensual correspondiente al mes de enero del año de suscripción del convenio de transferencia. Los costos financieros en que incurran las instituciones privadas con motivo del proyecto o iniciativa podrán ser considerados en los convenios de transferencias correspondientes.</w:t>
      </w:r>
    </w:p>
    <w:p w14:paraId="4D8728CB"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5534D899" w14:textId="7A66C33D"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DC3B3F">
        <w:rPr>
          <w:rFonts w:ascii="Courier New" w:eastAsia="Times New Roman" w:hAnsi="Courier New" w:cs="Courier New"/>
          <w:sz w:val="24"/>
          <w:szCs w:val="24"/>
          <w:lang w:val="es-MX" w:eastAsia="es-ES"/>
        </w:rPr>
        <w:t>c) Deberán considerar, como condición a la transferencia de los recursos, el cumplimiento de hitos diferidos en el tiempo, relacionados con el cumplimiento del objetivo para el que fueran asignados.</w:t>
      </w:r>
      <w:r w:rsidR="009B0639" w:rsidRPr="00DC3B3F">
        <w:t xml:space="preserve"> </w:t>
      </w:r>
      <w:r w:rsidR="009B0639" w:rsidRPr="00DC3B3F">
        <w:rPr>
          <w:rFonts w:ascii="Courier New" w:eastAsia="Times New Roman" w:hAnsi="Courier New" w:cs="Courier New"/>
          <w:sz w:val="24"/>
          <w:szCs w:val="24"/>
          <w:lang w:val="es-MX" w:eastAsia="es-ES"/>
        </w:rPr>
        <w:t>Se podrán realizar anticipos por hasta un 20%, de conformidad a lo que establezca el convenio.</w:t>
      </w:r>
    </w:p>
    <w:p w14:paraId="6766522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5B6A8393"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 Se podrá autorizar la subcontratación con terceros para las actividades que no constituyan el objeto principal del convenio, las cuales deberán estar claramente precisadas en éste.</w:t>
      </w:r>
    </w:p>
    <w:p w14:paraId="20467D5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podrá autorizar la subcontratación del objeto principal del convenio cuando se advierta la imposibilidad de darle cumplimiento.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en conformidad a lo dispuesto en el artículo 100 de la </w:t>
      </w:r>
      <w:r>
        <w:rPr>
          <w:rFonts w:ascii="Courier New" w:eastAsia="Times New Roman" w:hAnsi="Courier New" w:cs="Courier New"/>
          <w:sz w:val="24"/>
          <w:szCs w:val="24"/>
          <w:lang w:val="es-MX" w:eastAsia="es-ES"/>
        </w:rPr>
        <w:t>l</w:t>
      </w:r>
      <w:r w:rsidRPr="00624769">
        <w:rPr>
          <w:rFonts w:ascii="Courier New" w:eastAsia="Times New Roman" w:hAnsi="Courier New" w:cs="Courier New"/>
          <w:sz w:val="24"/>
          <w:szCs w:val="24"/>
          <w:lang w:val="es-MX" w:eastAsia="es-ES"/>
        </w:rPr>
        <w:t>ey N° 18.045.</w:t>
      </w:r>
    </w:p>
    <w:p w14:paraId="4B432B6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 enviar a las Comisiones de Hacienda de la Cámara de Diputados y del Senado una copia de la resolución y el convenio de cada excepcionalidad.</w:t>
      </w:r>
    </w:p>
    <w:p w14:paraId="6AE4DC1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68DD5299"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 No se podrá fraccionar en distintos convenios la asignación de recursos a una misma institución privada, cuando éstos estén destinados a un mismo objetivo dentro de una región o a nivel nacional y, además, provengan de una misma asignación o programa presupuestario. Para estos efectos, deberá dejarse constancia en el convenio de la existencia de otros convenios suscritos por la </w:t>
      </w:r>
      <w:r w:rsidRPr="00624769">
        <w:rPr>
          <w:rFonts w:ascii="Courier New" w:eastAsia="Times New Roman" w:hAnsi="Courier New" w:cs="Courier New"/>
          <w:sz w:val="24"/>
          <w:szCs w:val="24"/>
          <w:lang w:val="es-MX" w:eastAsia="es-ES"/>
        </w:rPr>
        <w:lastRenderedPageBreak/>
        <w:t xml:space="preserve">institución privada con el mismo organismo y que se encuentren vigentes. </w:t>
      </w:r>
    </w:p>
    <w:p w14:paraId="0DB6A06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234940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Todos los órganos públicos deberán publicar el proyecto y presupuesto adjudicado y el convenio asociado a éste en el sitio electrónico institucional en </w:t>
      </w:r>
      <w:r w:rsidRPr="00417EF7">
        <w:rPr>
          <w:rFonts w:ascii="Courier New" w:eastAsia="Times New Roman" w:hAnsi="Courier New" w:cs="Courier New"/>
          <w:sz w:val="24"/>
          <w:szCs w:val="24"/>
          <w:lang w:val="es-MX" w:eastAsia="es-ES"/>
        </w:rPr>
        <w:t>el plazo</w:t>
      </w:r>
      <w:r w:rsidRPr="00624769">
        <w:rPr>
          <w:rFonts w:ascii="Courier New" w:eastAsia="Times New Roman" w:hAnsi="Courier New" w:cs="Courier New"/>
          <w:sz w:val="24"/>
          <w:szCs w:val="24"/>
          <w:lang w:val="es-MX" w:eastAsia="es-ES"/>
        </w:rPr>
        <w:t xml:space="preserve"> no mayor de quince días corridos una vez firmado este último. Misma obligación recaerá sobre la institución privada receptora de transferencias por un monto mayor a 2.000 unidades tributarias mensuales, la cual, además deberá publicar en su sitio electrónico dichos documentos junto a los estados financieros, balance y memoria anual de actividades. Asimismo, deberá publicar la nómina de su directorio en ejercicio o de su órgano superior de administración, administradores principales</w:t>
      </w:r>
      <w:r w:rsidRPr="00417EF7">
        <w:rPr>
          <w:rFonts w:ascii="Courier New" w:eastAsia="Times New Roman" w:hAnsi="Courier New" w:cs="Courier New"/>
          <w:sz w:val="24"/>
          <w:szCs w:val="24"/>
          <w:lang w:val="es-MX" w:eastAsia="es-ES"/>
        </w:rPr>
        <w:t>, y los</w:t>
      </w:r>
      <w:r w:rsidRPr="00624769">
        <w:rPr>
          <w:rFonts w:ascii="Courier New" w:eastAsia="Times New Roman" w:hAnsi="Courier New" w:cs="Courier New"/>
          <w:sz w:val="24"/>
          <w:szCs w:val="24"/>
          <w:lang w:val="es-MX" w:eastAsia="es-ES"/>
        </w:rPr>
        <w:t xml:space="preserve"> recursos recibidos por fecha, monto y organismo otorgante. </w:t>
      </w:r>
    </w:p>
    <w:p w14:paraId="262030C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BFD1B4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Ministerio de Hacienda podrá impartir instrucciones complementarias de aplicación general respecto del contenido de los convenios, o de las reglas a que deben atenerse los concursos para su adjudicación. El jefe de servicio o la máxima autoridad del órgano respectivo velará por el íntegro cumplimiento de estas instrucciones.</w:t>
      </w:r>
    </w:p>
    <w:p w14:paraId="780BBDAA"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5782B4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E211AD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26.- Los organismos públicos receptores de recursos provenientes de transferencias, que deban reintegrarlos a rentas generales de la nación, porque no </w:t>
      </w:r>
      <w:r w:rsidRPr="00357F37">
        <w:rPr>
          <w:rFonts w:ascii="Courier New" w:eastAsia="Times New Roman" w:hAnsi="Courier New" w:cs="Courier New"/>
          <w:sz w:val="24"/>
          <w:szCs w:val="24"/>
          <w:lang w:val="es-MX" w:eastAsia="es-ES"/>
        </w:rPr>
        <w:t>han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sido utilizados o por cualquier otro motivo, deberán hacerlo, a más tardar, dentro del mes siguiente al cierre de la rendición de cuentas del respectivo convenio. El proceso de rendición de cuenta no podrá extenderse por más de </w:t>
      </w:r>
      <w:r w:rsidRPr="009D2C8F">
        <w:rPr>
          <w:rFonts w:ascii="Courier New" w:eastAsia="Times New Roman" w:hAnsi="Courier New" w:cs="Courier New"/>
          <w:sz w:val="24"/>
          <w:szCs w:val="24"/>
          <w:lang w:val="es-MX" w:eastAsia="es-ES"/>
        </w:rPr>
        <w:t>seis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meses contados desde la finalización de la ejecución del convenio. </w:t>
      </w:r>
    </w:p>
    <w:p w14:paraId="770F47B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03E949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0C7F1D">
        <w:rPr>
          <w:rFonts w:ascii="Courier New" w:eastAsia="Times New Roman" w:hAnsi="Courier New" w:cs="Courier New"/>
          <w:sz w:val="24"/>
          <w:szCs w:val="24"/>
          <w:lang w:val="es-MX" w:eastAsia="es-ES"/>
        </w:rPr>
        <w:t>Los receptores privados que se encuentren en la obligación de restituir recursos transferidos deberán hacerlo al organismo público correspondiente, dentro del plazo máximo de sesenta días hábiles contado desde el término del respectivo convenio. Luego de la recepción</w:t>
      </w:r>
      <w:r w:rsidRPr="00624769">
        <w:rPr>
          <w:rFonts w:ascii="Courier New" w:eastAsia="Times New Roman" w:hAnsi="Courier New" w:cs="Courier New"/>
          <w:sz w:val="24"/>
          <w:szCs w:val="24"/>
          <w:lang w:val="es-MX" w:eastAsia="es-ES"/>
        </w:rPr>
        <w:t xml:space="preserve"> de los recursos, el organismo público deberá reintegrar dichos recursos a rentas </w:t>
      </w:r>
      <w:r w:rsidRPr="00624769">
        <w:rPr>
          <w:rFonts w:ascii="Courier New" w:eastAsia="Times New Roman" w:hAnsi="Courier New" w:cs="Courier New"/>
          <w:sz w:val="24"/>
          <w:szCs w:val="24"/>
          <w:lang w:val="es-MX" w:eastAsia="es-ES"/>
        </w:rPr>
        <w:lastRenderedPageBreak/>
        <w:t>generales de la Nación, a más tardar al mes siguiente de su recepción.</w:t>
      </w:r>
    </w:p>
    <w:p w14:paraId="1BD63FF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5FBC0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los organismos públicos, se entenderá por recursos transferidos no utilizados, los saldos no utilizados al término de la ejecución de las actividades convenidas. </w:t>
      </w:r>
      <w:r>
        <w:rPr>
          <w:rFonts w:ascii="Courier New" w:eastAsia="Times New Roman" w:hAnsi="Courier New" w:cs="Courier New"/>
          <w:sz w:val="24"/>
          <w:szCs w:val="24"/>
          <w:lang w:val="es-MX" w:eastAsia="es-ES"/>
        </w:rPr>
        <w:t xml:space="preserve">Si se trata </w:t>
      </w:r>
      <w:r w:rsidRPr="00624769">
        <w:rPr>
          <w:rFonts w:ascii="Courier New" w:eastAsia="Times New Roman" w:hAnsi="Courier New" w:cs="Courier New"/>
          <w:sz w:val="24"/>
          <w:szCs w:val="24"/>
          <w:lang w:val="es-MX" w:eastAsia="es-ES"/>
        </w:rPr>
        <w:t xml:space="preserve">de instituciones privadas, serán los que se encuentren en dicha situación al término del respectivo convenio. </w:t>
      </w:r>
    </w:p>
    <w:p w14:paraId="44BDD46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18953A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Pr>
          <w:rFonts w:ascii="Courier New" w:eastAsia="Times New Roman" w:hAnsi="Courier New" w:cs="Courier New"/>
          <w:sz w:val="24"/>
          <w:szCs w:val="24"/>
          <w:lang w:val="es-MX" w:eastAsia="es-ES"/>
        </w:rPr>
        <w:t>Si se trata</w:t>
      </w:r>
      <w:r w:rsidRPr="00624769">
        <w:rPr>
          <w:rFonts w:ascii="Courier New" w:eastAsia="Times New Roman" w:hAnsi="Courier New" w:cs="Courier New"/>
          <w:sz w:val="24"/>
          <w:szCs w:val="24"/>
          <w:lang w:val="es-MX" w:eastAsia="es-ES"/>
        </w:rPr>
        <w:t xml:space="preserve"> de transferencias consolidables entre organismos del sector público, éstas podrán efectuarse sin necesidad de suscripción de un convenio por parte de los organismos involucrados. Lo anterior, sin perjuicio de lo que dispongan las glosas aplicables de esta ley o de las facultades de las jefas y los jefes de servicio en este sentido. </w:t>
      </w:r>
    </w:p>
    <w:p w14:paraId="4C5BBD6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67F1DE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transferencias a municipalidades deberán incluir la información de las contrataciones de personal que se vayan a celebrar para el cumplimiento del objeto del convenio, así como su calidad jurídica.</w:t>
      </w:r>
    </w:p>
    <w:p w14:paraId="05AABA7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1C09D8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 deberán regular el destino de los bienes muebles adquiridos con cargo a los recursos transferidos, al término de la ejecución de los programas.</w:t>
      </w:r>
    </w:p>
    <w:p w14:paraId="5568419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BAA5B1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Con autorización previa de la Dirección de Presupuestos los órganos públicos podrán comprometer transferencias a otros órganos del sector público que excedan el ejercicio presupuestario.</w:t>
      </w:r>
    </w:p>
    <w:p w14:paraId="7175422A"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A784A0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3BCE9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27.- Sin perjuicio de lo dispuesto en el artículo 12 de la ley N° 19.880, las autoridades, </w:t>
      </w:r>
      <w:r w:rsidRPr="00E6298D">
        <w:rPr>
          <w:rFonts w:ascii="Courier New" w:eastAsia="Times New Roman" w:hAnsi="Courier New" w:cs="Courier New"/>
          <w:sz w:val="24"/>
          <w:szCs w:val="24"/>
          <w:lang w:val="es-MX" w:eastAsia="es-ES"/>
        </w:rPr>
        <w:t>las funcionarias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funcionarios públicos y el personal contratado sobre la base de honorarios, no podrán participar o intervenir en modo alguno en el proceso de concursabilidad, adjudicación o suscripción de un convenio, cuando se encuentren en las siguientes situaciones:</w:t>
      </w:r>
    </w:p>
    <w:p w14:paraId="715C6FD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23BE347"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tengan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 calidad de cónyuge, conviviente civil, o parientes hasta el </w:t>
      </w:r>
      <w:r w:rsidRPr="00624769">
        <w:rPr>
          <w:rFonts w:ascii="Courier New" w:eastAsia="Times New Roman" w:hAnsi="Courier New" w:cs="Courier New"/>
          <w:sz w:val="24"/>
          <w:szCs w:val="24"/>
          <w:lang w:val="es-MX" w:eastAsia="es-ES"/>
        </w:rPr>
        <w:lastRenderedPageBreak/>
        <w:t>cuarto grado de consanguinidad o tercero de afinidad inclusive, o tengan hijo o hija en común, con los miembros del directorio o de los ejecutivos o administradores principales de una institución privada que forme parte de un proceso concursal.</w:t>
      </w:r>
    </w:p>
    <w:p w14:paraId="4E8ACF9E"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3E4BBC6A"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 trabajado</w:t>
      </w:r>
      <w:r w:rsidRPr="00624769">
        <w:rPr>
          <w:rFonts w:ascii="Courier New" w:eastAsia="Times New Roman" w:hAnsi="Courier New" w:cs="Courier New"/>
          <w:sz w:val="24"/>
          <w:szCs w:val="24"/>
          <w:lang w:val="es-MX" w:eastAsia="es-ES"/>
        </w:rPr>
        <w:t>, prestado servicios remunerados o no, o desempeñado labores directivas en una institución privada que forme parte de un proceso concursal, en los dos años inmediatamente anteriores contados desde que asumieron el cargo público que desempeñan.</w:t>
      </w:r>
    </w:p>
    <w:p w14:paraId="7A87FB15"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p>
    <w:p w14:paraId="4DB846E5" w14:textId="77777777" w:rsidR="009E1F6D" w:rsidRPr="00624769" w:rsidRDefault="009E1F6D" w:rsidP="009E1F6D">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emitido opinión, por cualquier medio, sobre un procedimiento concursal en curso y cuya resolución de adjudicación se encuentre pendiente.</w:t>
      </w:r>
    </w:p>
    <w:p w14:paraId="3184992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6F5595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acta o las actas que se levanten durante el proceso concursal deberá dejarse constancia de la nómina de </w:t>
      </w:r>
      <w:r w:rsidRPr="00E6298D">
        <w:rPr>
          <w:rFonts w:ascii="Courier New" w:eastAsia="Times New Roman" w:hAnsi="Courier New" w:cs="Courier New"/>
          <w:sz w:val="24"/>
          <w:szCs w:val="24"/>
          <w:lang w:val="es-MX" w:eastAsia="es-ES"/>
        </w:rPr>
        <w:t>las funcionarias y los</w:t>
      </w:r>
      <w:r w:rsidRPr="00624769">
        <w:rPr>
          <w:rFonts w:ascii="Courier New" w:eastAsia="Times New Roman" w:hAnsi="Courier New" w:cs="Courier New"/>
          <w:sz w:val="24"/>
          <w:szCs w:val="24"/>
          <w:lang w:val="es-MX" w:eastAsia="es-ES"/>
        </w:rPr>
        <w:t xml:space="preserve"> funcionarios públicos y del personal contratado sobre la base de honorarios </w:t>
      </w:r>
      <w:r w:rsidRPr="00E6298D">
        <w:rPr>
          <w:rFonts w:ascii="Courier New" w:eastAsia="Times New Roman" w:hAnsi="Courier New" w:cs="Courier New"/>
          <w:sz w:val="24"/>
          <w:szCs w:val="24"/>
          <w:lang w:val="es-MX" w:eastAsia="es-ES"/>
        </w:rPr>
        <w:t>que intervinieron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éste.</w:t>
      </w:r>
    </w:p>
    <w:p w14:paraId="4D706FF0"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D83192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96924F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28.- Los organismos públicos regidos por esta ley, cuando cuenten con asignaciones de transferencias corrientes al sector privado, a otras entidades públicas, y a instituciones privadas ejecutoras de política pública, o bien, de capital al sector privado, y a otras entidades públicas, destinadas al mismo objeto y con la misma </w:t>
      </w:r>
      <w:r w:rsidRPr="00E6298D">
        <w:rPr>
          <w:rFonts w:ascii="Courier New" w:eastAsia="Times New Roman" w:hAnsi="Courier New" w:cs="Courier New"/>
          <w:sz w:val="24"/>
          <w:szCs w:val="24"/>
          <w:lang w:val="es-MX" w:eastAsia="es-ES"/>
        </w:rPr>
        <w:t>denominación, podrán</w:t>
      </w:r>
      <w:r w:rsidRPr="00624769">
        <w:rPr>
          <w:rFonts w:ascii="Courier New" w:eastAsia="Times New Roman" w:hAnsi="Courier New" w:cs="Courier New"/>
          <w:sz w:val="24"/>
          <w:szCs w:val="24"/>
          <w:lang w:val="es-MX" w:eastAsia="es-ES"/>
        </w:rPr>
        <w:t xml:space="preserve"> efectuar procesos de asignación de estos recursos en forma conjunta, imputando el gasto a los ítems 01,</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03 y 08 según corresponda. Para estos efectos, mediante decreto de modificación presupuestaria dictado con posterioridad a la adjudicación, se deberá regularizar la asignación de los recursos asociados a estas transferencias. La asignación de estos recursos en ningún caso podrá superar la suma de los ítems involucrados en conjunto.</w:t>
      </w:r>
    </w:p>
    <w:p w14:paraId="31BC074D"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570DA3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56FF6C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29.- Los actos y contratos que se </w:t>
      </w:r>
      <w:r w:rsidRPr="00F26DFB">
        <w:rPr>
          <w:rFonts w:ascii="Courier New" w:eastAsia="Times New Roman" w:hAnsi="Courier New" w:cs="Courier New"/>
          <w:sz w:val="24"/>
          <w:szCs w:val="24"/>
          <w:lang w:val="es-MX" w:eastAsia="es-ES"/>
        </w:rPr>
        <w:t>hayan e</w:t>
      </w:r>
      <w:r w:rsidRPr="00624769">
        <w:rPr>
          <w:rFonts w:ascii="Courier New" w:eastAsia="Times New Roman" w:hAnsi="Courier New" w:cs="Courier New"/>
          <w:sz w:val="24"/>
          <w:szCs w:val="24"/>
          <w:lang w:val="es-MX" w:eastAsia="es-ES"/>
        </w:rPr>
        <w:t xml:space="preserve">jecutado y celebrado con anterioridad a la entrada en vigencia de la presente ley y cuya </w:t>
      </w:r>
      <w:r w:rsidRPr="00624769">
        <w:rPr>
          <w:rFonts w:ascii="Courier New" w:eastAsia="Times New Roman" w:hAnsi="Courier New" w:cs="Courier New"/>
          <w:sz w:val="24"/>
          <w:szCs w:val="24"/>
          <w:lang w:val="es-MX" w:eastAsia="es-ES"/>
        </w:rPr>
        <w:lastRenderedPageBreak/>
        <w:t xml:space="preserve">imputación presupuestaria esté afecta a una Asignación, ítem o Subtítulo distinto </w:t>
      </w:r>
      <w:r w:rsidRPr="00F26DFB">
        <w:rPr>
          <w:rFonts w:ascii="Courier New" w:eastAsia="Times New Roman" w:hAnsi="Courier New" w:cs="Courier New"/>
          <w:sz w:val="24"/>
          <w:szCs w:val="24"/>
          <w:lang w:val="es-MX" w:eastAsia="es-ES"/>
        </w:rPr>
        <w:t>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aquel que corresponde de acuerdo al presente ordenamiento, continuarán produciendo sus efectos hasta su terminación con cargo a la Asignación, ítem o Subtítulo que corresponda de acuerdo a esta ley.</w:t>
      </w:r>
    </w:p>
    <w:p w14:paraId="535BDE41"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66A3DE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4D59C0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30.- El arriendo de infraestructura para realizar actividades institucionales, tales como reuniones, jornadas de planificación u otras similares, sólo deberá autorizarse en la medida que el servicio respectivo no cuente con infraestructura propia para ello, ni que le pueda ser facilitada por otro servicio público. </w:t>
      </w:r>
    </w:p>
    <w:p w14:paraId="01CFEC4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0A8F01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servicios públicos deberán efectuar todas las gestiones que sean necesarias para recuperar, desde las instituciones de salud previsional, los montos correspondientes a los subsidios por licencias médicas. El devengamiento asociado a la recuperación de licencias médicas de beneficiarios de ISAPRE deberá realizarse dentro del mes siguiente al que se presentó dicha situación. Además, el Servicio Público deberá realizar todas las gestiones para percibir dicho integro en el plazo máximo de </w:t>
      </w:r>
      <w:r w:rsidRPr="007B19A0">
        <w:rPr>
          <w:rFonts w:ascii="Courier New" w:eastAsia="Times New Roman" w:hAnsi="Courier New" w:cs="Courier New"/>
          <w:sz w:val="24"/>
          <w:szCs w:val="24"/>
          <w:lang w:val="es-MX" w:eastAsia="es-ES"/>
        </w:rPr>
        <w:t>cuarenta y cinco días corridos contado desde la fecha de pago de la</w:t>
      </w:r>
      <w:r w:rsidRPr="00624769">
        <w:rPr>
          <w:rFonts w:ascii="Courier New" w:eastAsia="Times New Roman" w:hAnsi="Courier New" w:cs="Courier New"/>
          <w:sz w:val="24"/>
          <w:szCs w:val="24"/>
          <w:lang w:val="es-MX" w:eastAsia="es-ES"/>
        </w:rPr>
        <w:t xml:space="preserve"> respectiva remuneración mensual e ingresarlos a rentas generales de la Nación. Para tales efectos, la Tesorería General de la República emitirá instrucciones técnicas generales para materializar estos procesos. Corresponderá a las unidades de auditoría interna de cada repartición la verificación del cumplimiento estricto de lo dispuesto en este inciso</w:t>
      </w:r>
      <w:r w:rsidRPr="006F1D4B">
        <w:rPr>
          <w:rFonts w:ascii="Courier New" w:eastAsia="Times New Roman" w:hAnsi="Courier New" w:cs="Courier New"/>
          <w:sz w:val="24"/>
          <w:szCs w:val="24"/>
          <w:lang w:val="es-MX" w:eastAsia="es-ES"/>
        </w:rPr>
        <w:t>, y deberán informar</w:t>
      </w:r>
      <w:r w:rsidRPr="00624769">
        <w:rPr>
          <w:rFonts w:ascii="Courier New" w:eastAsia="Times New Roman" w:hAnsi="Courier New" w:cs="Courier New"/>
          <w:sz w:val="24"/>
          <w:szCs w:val="24"/>
          <w:lang w:val="es-MX" w:eastAsia="es-ES"/>
        </w:rPr>
        <w:t xml:space="preserve"> trimestralmente de ello al Consejo de Auditoría Interna General de Gobierno. </w:t>
      </w:r>
    </w:p>
    <w:p w14:paraId="0C0F329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E15B1D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tanto en el artículo 22 como en los incisos anteriores también le será aplicable, en lo pertinente, a las empresas del Estado, incluidas Televisión Nacional de Chile, </w:t>
      </w:r>
      <w:r w:rsidRPr="006F1D4B">
        <w:rPr>
          <w:rFonts w:ascii="Courier New" w:eastAsia="Times New Roman" w:hAnsi="Courier New" w:cs="Courier New"/>
          <w:sz w:val="24"/>
          <w:szCs w:val="24"/>
          <w:lang w:val="es-MX" w:eastAsia="es-ES"/>
        </w:rPr>
        <w:t>la Corporación Nacional del Cobre de Chile y el Banco</w:t>
      </w:r>
      <w:r w:rsidRPr="00624769">
        <w:rPr>
          <w:rFonts w:ascii="Courier New" w:eastAsia="Times New Roman" w:hAnsi="Courier New" w:cs="Courier New"/>
          <w:sz w:val="24"/>
          <w:szCs w:val="24"/>
          <w:lang w:val="es-MX" w:eastAsia="es-ES"/>
        </w:rPr>
        <w:t xml:space="preserve"> del Estado de Chile, y a todas aquellas sociedades en que el Estado, sus instituciones o empresas tengan aporte de capital igual o superior al cincuenta por ciento. </w:t>
      </w:r>
    </w:p>
    <w:p w14:paraId="615441C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86D0DE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Los instructivos sobre buen uso de los recursos fiscales, que dicten el Presidente de la República o el Ministerio de Hacienda serán obligatorios para los órganos de la Administración Central del Estado y </w:t>
      </w:r>
      <w:r w:rsidRPr="006F1D4B">
        <w:rPr>
          <w:rFonts w:ascii="Courier New" w:eastAsia="Times New Roman" w:hAnsi="Courier New" w:cs="Courier New"/>
          <w:sz w:val="24"/>
          <w:szCs w:val="24"/>
          <w:lang w:val="es-MX" w:eastAsia="es-ES"/>
        </w:rPr>
        <w:t>para l</w:t>
      </w:r>
      <w:r w:rsidRPr="00624769">
        <w:rPr>
          <w:rFonts w:ascii="Courier New" w:eastAsia="Times New Roman" w:hAnsi="Courier New" w:cs="Courier New"/>
          <w:sz w:val="24"/>
          <w:szCs w:val="24"/>
          <w:lang w:val="es-MX" w:eastAsia="es-ES"/>
        </w:rPr>
        <w:t>os gobiernos regionales.</w:t>
      </w:r>
    </w:p>
    <w:p w14:paraId="0ABADB6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D80477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D41EDB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31.- 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incluidas Televisión Nacional de Chile, </w:t>
      </w:r>
      <w:r w:rsidRPr="00333D3A">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Corporación Nacional del Cobre de Chile y </w:t>
      </w:r>
      <w:r w:rsidRPr="00333D3A">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Banco del Estado de Chile, y a todas aquellas sociedades en que el Estado, sus instituciones o empresas tengan aporte de capital igual o superior al cincuenta por ciento. </w:t>
      </w:r>
    </w:p>
    <w:p w14:paraId="6549E87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F66F1D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de estas instrucciones serán enviadas a la Comisión Especial Mixta de Presupuestos a más tardar treinta días después que sean emitidas.</w:t>
      </w:r>
    </w:p>
    <w:p w14:paraId="0B59C20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D75E52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EE4FC1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32.- Las funcionarias y los funcionarios públicos regulados por la ley N° 18.834, sobre Estatuto Administrativo, cuyo texto refundido, coordinado y sistematizado fue fijado por el decreto con fuerza de ley N° 29, de 2005, del Ministerio de Hacienda, el Presidente de la República,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de Estado,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gobernador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gobernador</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s regionales, delegad</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delegad</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presidenciales regionales y jef</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jef</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 xml:space="preserve">s superiores de los servicios públicos regidos por el Título II de la ley N° 18.575, orgánica constitucional de Bases Generales de la Administración del Estado, cuyo texto refundido, coordinado y sistematizado fija el decreto con fuerza de ley N° 1-19.653, de 2000, del Ministerio Secretaría General de la Presidencia, no tendrán derecho a percibir dieta o </w:t>
      </w:r>
      <w:r w:rsidRPr="003F1AA8">
        <w:rPr>
          <w:rFonts w:ascii="Courier New" w:eastAsia="Times New Roman" w:hAnsi="Courier New" w:cs="Courier New"/>
          <w:sz w:val="24"/>
          <w:szCs w:val="24"/>
          <w:lang w:val="es-MX" w:eastAsia="es-ES"/>
        </w:rPr>
        <w:t>remuneración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integrar consejos o juntas directivas, presidencias, vicepresidencias, directorios, comités u otros equivalentes con cualquier nomenclatura, de empresas o entidades públicas que incrementen la remuneración </w:t>
      </w:r>
      <w:r w:rsidRPr="00624769">
        <w:rPr>
          <w:rFonts w:ascii="Courier New" w:eastAsia="Times New Roman" w:hAnsi="Courier New" w:cs="Courier New"/>
          <w:sz w:val="24"/>
          <w:szCs w:val="24"/>
          <w:lang w:val="es-MX" w:eastAsia="es-ES"/>
        </w:rPr>
        <w:lastRenderedPageBreak/>
        <w:t>correspondiente a los cargos regulados por las leyes señaladas.</w:t>
      </w:r>
    </w:p>
    <w:p w14:paraId="31A88A13"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9C5D4E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5850E7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33.- 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de éstos, mediante decreto dictado en la forma dispuesta en el artículo 70 del decreto ley N°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su dominio, </w:t>
      </w:r>
      <w:r w:rsidRPr="00A5255E">
        <w:rPr>
          <w:rFonts w:ascii="Courier New" w:eastAsia="Times New Roman" w:hAnsi="Courier New" w:cs="Courier New"/>
          <w:sz w:val="24"/>
          <w:szCs w:val="24"/>
          <w:lang w:val="es-MX" w:eastAsia="es-ES"/>
        </w:rPr>
        <w:t>y deberán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inscribirse en el Registro de Vehículos Motorizados del Servicio de Registro Civil e Identificación.</w:t>
      </w:r>
    </w:p>
    <w:p w14:paraId="7C87AFD5"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C7173B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7711EB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34.- Los órganos y servicios públicos del Gobierno Central incluidos en esta ley podrán efectuar pagos imputables al Subtítulo 34, ítem 07, Deuda Flotante, así como giros imputables al Subtítulo 25, ítem 99, Otros </w:t>
      </w:r>
      <w:proofErr w:type="spellStart"/>
      <w:r w:rsidRPr="00624769">
        <w:rPr>
          <w:rFonts w:ascii="Courier New" w:eastAsia="Times New Roman" w:hAnsi="Courier New" w:cs="Courier New"/>
          <w:sz w:val="24"/>
          <w:szCs w:val="24"/>
          <w:lang w:val="es-MX" w:eastAsia="es-ES"/>
        </w:rPr>
        <w:t>Integros</w:t>
      </w:r>
      <w:proofErr w:type="spellEnd"/>
      <w:r w:rsidRPr="00624769">
        <w:rPr>
          <w:rFonts w:ascii="Courier New" w:eastAsia="Times New Roman" w:hAnsi="Courier New" w:cs="Courier New"/>
          <w:sz w:val="24"/>
          <w:szCs w:val="24"/>
          <w:lang w:val="es-MX" w:eastAsia="es-ES"/>
        </w:rPr>
        <w:t xml:space="preserve">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39B3B688"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E6E62C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BCFA72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35.- Toda información que, de acuerdo con lo establecido en </w:t>
      </w:r>
      <w:r w:rsidRPr="00855B8B">
        <w:rPr>
          <w:rFonts w:ascii="Courier New" w:eastAsia="Times New Roman" w:hAnsi="Courier New" w:cs="Courier New"/>
          <w:sz w:val="24"/>
          <w:szCs w:val="24"/>
          <w:lang w:val="es-MX" w:eastAsia="es-ES"/>
        </w:rPr>
        <w:t>los artículos de</w:t>
      </w:r>
      <w:r w:rsidRPr="00624769">
        <w:rPr>
          <w:rFonts w:ascii="Courier New" w:eastAsia="Times New Roman" w:hAnsi="Courier New" w:cs="Courier New"/>
          <w:sz w:val="24"/>
          <w:szCs w:val="24"/>
          <w:lang w:val="es-MX" w:eastAsia="es-ES"/>
        </w:rPr>
        <w:t xml:space="preserve"> esta ley y en las respectivas </w:t>
      </w:r>
      <w:r w:rsidRPr="00A5255E">
        <w:rPr>
          <w:rFonts w:ascii="Courier New" w:eastAsia="Times New Roman" w:hAnsi="Courier New" w:cs="Courier New"/>
          <w:sz w:val="24"/>
          <w:szCs w:val="24"/>
          <w:lang w:val="es-MX" w:eastAsia="es-ES"/>
        </w:rPr>
        <w:t>g</w:t>
      </w:r>
      <w:r w:rsidRPr="00624769">
        <w:rPr>
          <w:rFonts w:ascii="Courier New" w:eastAsia="Times New Roman" w:hAnsi="Courier New" w:cs="Courier New"/>
          <w:sz w:val="24"/>
          <w:szCs w:val="24"/>
          <w:lang w:val="es-MX" w:eastAsia="es-ES"/>
        </w:rPr>
        <w:t xml:space="preserve">losas, deba ser puesta a disposición por cualquier órgano de la Administración del Estado, principalmente por los ministerios y la Dirección de Presupuestos, a las diversas instancias </w:t>
      </w:r>
      <w:r w:rsidRPr="00624769">
        <w:rPr>
          <w:rFonts w:ascii="Courier New" w:eastAsia="Times New Roman" w:hAnsi="Courier New" w:cs="Courier New"/>
          <w:sz w:val="24"/>
          <w:szCs w:val="24"/>
          <w:lang w:val="es-MX" w:eastAsia="es-ES"/>
        </w:rPr>
        <w:lastRenderedPageBreak/>
        <w:t xml:space="preserve">del Congreso Nacional, se proporcionará sólo en formato digital y procesable por software de análisis de datos, es decir, en planillas de cálculos o archivos de texto plano. </w:t>
      </w:r>
    </w:p>
    <w:p w14:paraId="584BAA7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9D6FB9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incumplimiento de cualquiera de los deberes de información contenidos en esta ley dará lugar al procedimiento y las sanciones que establece el artículo 10 de la ley N° 18.918, orgánica constitucional del Congreso Nacional. </w:t>
      </w:r>
    </w:p>
    <w:p w14:paraId="777E5BF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59C097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dicho efecto, y a solicitud de cualquier diputado o senador,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President</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el</w:t>
      </w:r>
      <w:r w:rsidRPr="00624769">
        <w:rPr>
          <w:rFonts w:ascii="Courier New" w:eastAsia="Times New Roman" w:hAnsi="Courier New" w:cs="Courier New"/>
          <w:sz w:val="24"/>
          <w:szCs w:val="24"/>
          <w:lang w:val="es-MX" w:eastAsia="es-ES"/>
        </w:rPr>
        <w:t xml:space="preserve"> Presiden</w:t>
      </w:r>
      <w:r>
        <w:rPr>
          <w:rFonts w:ascii="Courier New" w:eastAsia="Times New Roman" w:hAnsi="Courier New" w:cs="Courier New"/>
          <w:sz w:val="24"/>
          <w:szCs w:val="24"/>
          <w:lang w:val="es-MX" w:eastAsia="es-ES"/>
        </w:rPr>
        <w:t>te</w:t>
      </w:r>
      <w:r w:rsidRPr="00624769">
        <w:rPr>
          <w:rFonts w:ascii="Courier New" w:eastAsia="Times New Roman" w:hAnsi="Courier New" w:cs="Courier New"/>
          <w:sz w:val="24"/>
          <w:szCs w:val="24"/>
          <w:lang w:val="es-MX" w:eastAsia="es-ES"/>
        </w:rPr>
        <w:t xml:space="preserve"> de la Cámara de Diputados o del Senado remitirá los antecedentes a la Contraloría General de la República. De dicha acción deberá darse cuenta en la respectiva sesión.</w:t>
      </w:r>
    </w:p>
    <w:p w14:paraId="0E234318"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9D199A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901774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36.- 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 </w:t>
      </w:r>
    </w:p>
    <w:p w14:paraId="4849111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62191C6"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40E21A6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D1C4B45"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1806C1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37.- </w:t>
      </w:r>
      <w:proofErr w:type="spellStart"/>
      <w:r w:rsidRPr="00624769">
        <w:rPr>
          <w:rFonts w:ascii="Courier New" w:eastAsia="Times New Roman" w:hAnsi="Courier New" w:cs="Courier New"/>
          <w:sz w:val="24"/>
          <w:szCs w:val="24"/>
          <w:lang w:val="es-MX" w:eastAsia="es-ES"/>
        </w:rPr>
        <w:t>Autorízase</w:t>
      </w:r>
      <w:proofErr w:type="spellEnd"/>
      <w:r w:rsidRPr="00624769">
        <w:rPr>
          <w:rFonts w:ascii="Courier New" w:eastAsia="Times New Roman" w:hAnsi="Courier New" w:cs="Courier New"/>
          <w:sz w:val="24"/>
          <w:szCs w:val="24"/>
          <w:lang w:val="es-MX" w:eastAsia="es-ES"/>
        </w:rPr>
        <w:t xml:space="preserve"> al Fisco para postergar a contar de la fecha de publicación de esta ley y hasta su vigencia, el cumplimiento de la obligación contenida en el artículo tercero transitorio de la ley N° 21.174, que establece nuevo mecanismo de financiamiento de las capacidades estratégicas de la defensa nacional, respecto del Fondo de Contingencia Estratégico.</w:t>
      </w:r>
    </w:p>
    <w:p w14:paraId="36BF4F8D"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45B999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B51E4F4" w14:textId="77777777" w:rsidR="00DB775E" w:rsidRPr="00DB775E" w:rsidRDefault="00DB775E" w:rsidP="00DB775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lastRenderedPageBreak/>
        <w:t xml:space="preserve">Artículo 38.- Para los efectos de los gastos reservados asignados para el año 2025, el informe escrito de la Contraloría General de la República, que en virtud del inciso tercero del artículo 4 de la ley N° 19.863 deberá suscribirse en conjunto por la jefa o jefe de servicio y las jefas o jefes de las unidades operativas que tengan a su cargo gastos reservados, deberá contar además con el visto bueno del ministro o ministra respectiva, incluidos para estos efectos la Subsecretaría del Interior, la Subsecretaría de Relaciones Exteriores y las Subsecretarías de Defensa y de las Fuerzas Armadas. </w:t>
      </w:r>
    </w:p>
    <w:p w14:paraId="5FC929A6" w14:textId="77777777" w:rsidR="00DB775E" w:rsidRPr="00DB775E" w:rsidRDefault="00DB775E" w:rsidP="00DB775E">
      <w:pPr>
        <w:tabs>
          <w:tab w:val="left" w:pos="1134"/>
        </w:tabs>
        <w:spacing w:line="276" w:lineRule="auto"/>
        <w:ind w:firstLine="1134"/>
        <w:jc w:val="both"/>
        <w:rPr>
          <w:rFonts w:ascii="Courier New" w:eastAsia="Times New Roman" w:hAnsi="Courier New" w:cs="Courier New"/>
          <w:sz w:val="24"/>
          <w:szCs w:val="24"/>
          <w:lang w:val="es-MX" w:eastAsia="es-ES"/>
        </w:rPr>
      </w:pPr>
    </w:p>
    <w:p w14:paraId="434FB5CF" w14:textId="77777777" w:rsidR="00DB775E" w:rsidRPr="00DB775E" w:rsidRDefault="00DB775E" w:rsidP="00DB775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El informe a que se refiere deberá contar con la información suficiente para permitir al Contralor General de la República verificar que se ha dado cumplimiento a los fines establecidos en el artículo 2 y a lo dispuesto en el artículo 6 de la ley N° 19.863.</w:t>
      </w:r>
    </w:p>
    <w:p w14:paraId="63FEA8F4" w14:textId="77777777" w:rsidR="00DB775E" w:rsidRPr="00DB775E" w:rsidRDefault="00DB775E" w:rsidP="00DB775E">
      <w:pPr>
        <w:tabs>
          <w:tab w:val="left" w:pos="1134"/>
        </w:tabs>
        <w:spacing w:line="276" w:lineRule="auto"/>
        <w:ind w:firstLine="1134"/>
        <w:jc w:val="both"/>
        <w:rPr>
          <w:rFonts w:ascii="Courier New" w:eastAsia="Times New Roman" w:hAnsi="Courier New" w:cs="Courier New"/>
          <w:sz w:val="24"/>
          <w:szCs w:val="24"/>
          <w:lang w:val="es-MX" w:eastAsia="es-ES"/>
        </w:rPr>
      </w:pPr>
    </w:p>
    <w:p w14:paraId="234C1D0D" w14:textId="70E1BAF0" w:rsidR="009E1F6D" w:rsidRDefault="00DB775E" w:rsidP="00DB775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 xml:space="preserve">Sin perjuicio de lo establecido en los incisos anteriores, el Ejecutivo ingresará, dentro del primer semestre del año 2025, un proyecto de ley que modifique la ley N° 19.863, sobre remuneraciones de autoridades de Gobierno y cargos críticos de la Administración Pública y da normas sobre gastos reservados, con el fin de incluir al nuevo ministerio de seguridad pública en la regulación de los referidos gastos, así como perfeccionar las exigencias relativas a </w:t>
      </w:r>
      <w:r w:rsidR="0052112C">
        <w:rPr>
          <w:rFonts w:ascii="Courier New" w:eastAsia="Times New Roman" w:hAnsi="Courier New" w:cs="Courier New"/>
          <w:sz w:val="24"/>
          <w:szCs w:val="24"/>
          <w:lang w:val="es-MX" w:eastAsia="es-ES"/>
        </w:rPr>
        <w:t>su</w:t>
      </w:r>
      <w:r w:rsidRPr="00DB775E">
        <w:rPr>
          <w:rFonts w:ascii="Courier New" w:eastAsia="Times New Roman" w:hAnsi="Courier New" w:cs="Courier New"/>
          <w:sz w:val="24"/>
          <w:szCs w:val="24"/>
          <w:lang w:val="es-MX" w:eastAsia="es-ES"/>
        </w:rPr>
        <w:t xml:space="preserve"> rendición de cuentas sin alterar su naturaleza de reservados.</w:t>
      </w:r>
    </w:p>
    <w:p w14:paraId="3A0337D1"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167BF8F" w14:textId="77777777" w:rsidR="00DB775E" w:rsidRPr="00624769" w:rsidRDefault="00DB775E"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8811A5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39.- Durante el año 2025 la enajenación de los bienes inmuebles que formen parte del patrimonio de afectación fiscal del Comando de Industria Militar e Ingeniería del Ejército y de los Servicios de Bienestar de las Fuerzas Armadas requerirá de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 Defensa Nacional y del Ministerio de Bienes Nacionales. Respecto de los inmuebles que forman parte del patrimonio de afectación fiscal del Comando de Industria Militar e Ingeniería del Ejército y del Servicio de Bienestar de Carabineros de Chile y de la Jefatura de Bienestar de la Policía de Investigaciones de Chile, requerirán de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del Interior y Seguridad Pública y del </w:t>
      </w:r>
      <w:r w:rsidRPr="00624769">
        <w:rPr>
          <w:rFonts w:ascii="Courier New" w:eastAsia="Times New Roman" w:hAnsi="Courier New" w:cs="Courier New"/>
          <w:sz w:val="24"/>
          <w:szCs w:val="24"/>
          <w:lang w:val="es-MX" w:eastAsia="es-ES"/>
        </w:rPr>
        <w:lastRenderedPageBreak/>
        <w:t>Ministerio de Bienes Nacionales. Estas enajenaciones deberán ser informadas previamente por el Ministerio de Defensa Nacional o por el Ministerio del Interior y Seguridad Pública, según corresponda, al Ministerio de Vivienda y Urbanismo y a la Comisión Especial Mixta de Presupuestos.</w:t>
      </w:r>
    </w:p>
    <w:p w14:paraId="7BDBD457"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B6E06E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70C1BD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40.- Durante el año 2025 la suma de los montos involucrados en operaciones de cobertura de riesgos financieros que celebren las entidades autorizadas en el artículo 5 de la ley N° 19.908, no podrá exceder de US$4.000.000 miles o su equivalente en moneda nacional. Tales operaciones se deberán efectuar con sujeción a lo dispuesto en la citada norma legal.</w:t>
      </w:r>
    </w:p>
    <w:p w14:paraId="76950954"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E93CFE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79AC80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41.- Ante la ocurrencia de una emergencia, desastre o catástrofe declarada según las disposiciones de la ley N° 16.282, en virtud de la cual se requieran recursos con el objeto de financiar la etapa de rehabilitación definida en la ley N° 21.364, las solicitudes de los diferentes servicios públicos deberán ser coordinadas por la Subsecretaría del Interior. </w:t>
      </w:r>
    </w:p>
    <w:p w14:paraId="27F86D7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08D300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la Subsecretaría del Interior coordinará un Comité de Ayudas Tempranas, el que estará integrado por la Subsecretaría de Servicios Sociales y el Servicio Nacional de Prevención y Respuesta ante Desastres. Este comité tendrá por objeto proponer el plan del Gobierno Central en ayuda inmediata a los afectados. Este plan será presentado a la Dirección de Presupuestos para aprobar su financiamiento. </w:t>
      </w:r>
    </w:p>
    <w:p w14:paraId="43791BD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82D0A8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que se requieran recursos para financiar la etapa de reconstrucción definida en la ley N° 21.364, las </w:t>
      </w:r>
      <w:r w:rsidRPr="00B60327">
        <w:rPr>
          <w:rFonts w:ascii="Courier New" w:eastAsia="Times New Roman" w:hAnsi="Courier New" w:cs="Courier New"/>
          <w:sz w:val="24"/>
          <w:szCs w:val="24"/>
          <w:lang w:val="es-MX" w:eastAsia="es-ES"/>
        </w:rPr>
        <w:t>solicitudes de los diferentes servicios públicos deberán ser coordinadas por la Ministra o el Ministro</w:t>
      </w:r>
      <w:r w:rsidRPr="00624769">
        <w:rPr>
          <w:rFonts w:ascii="Courier New" w:eastAsia="Times New Roman" w:hAnsi="Courier New" w:cs="Courier New"/>
          <w:sz w:val="24"/>
          <w:szCs w:val="24"/>
          <w:lang w:val="es-MX" w:eastAsia="es-ES"/>
        </w:rPr>
        <w:t xml:space="preserve"> de Desarrollo Social y Familia. </w:t>
      </w:r>
    </w:p>
    <w:p w14:paraId="12F8B32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9FECE0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Social y Familia presidirá el Comité de Reconstrucción integrado por l</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o </w:t>
      </w:r>
      <w:r>
        <w:rPr>
          <w:rFonts w:ascii="Courier New" w:eastAsia="Times New Roman" w:hAnsi="Courier New" w:cs="Courier New"/>
          <w:sz w:val="24"/>
          <w:szCs w:val="24"/>
          <w:lang w:val="es-MX" w:eastAsia="es-ES"/>
        </w:rPr>
        <w:t xml:space="preserve">los </w:t>
      </w:r>
      <w:r w:rsidRPr="00624769">
        <w:rPr>
          <w:rFonts w:ascii="Courier New" w:eastAsia="Times New Roman" w:hAnsi="Courier New" w:cs="Courier New"/>
          <w:sz w:val="24"/>
          <w:szCs w:val="24"/>
          <w:lang w:val="es-MX" w:eastAsia="es-ES"/>
        </w:rPr>
        <w:lastRenderedPageBreak/>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s del Interior y Seguridad Pública, de Hacienda, de Obras Públicas, de Vivienda y Urbanismo, y de Agricultura;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Regional y Administrativo del Ministerio del Interior y Seguridad Pública y cualquier otro ministerio y/o servicio público, que tengan competencia en la respectiva reconstrucción. Este comité tendrá por objeto elaborar los planes y estrategias de reconstrucción; coordinar, adoptar y comunicar, según corresponda, las medidas tendientes a la ejecución de dichos planes y estrategias. Los planes serán presentados al Ministerio de Hacienda para aprobar su financiamiento e informados al Presidente de la República.</w:t>
      </w:r>
    </w:p>
    <w:p w14:paraId="6F32554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8FE7F3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funcionamiento de este Comité se regulará en virtud de lo dispuesto en el decreto supremo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2, de 2024, del Ministerio de Desarrollo Social y Familia</w:t>
      </w:r>
      <w:r w:rsidRPr="00656566">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sus eventuales modificaciones.</w:t>
      </w:r>
    </w:p>
    <w:p w14:paraId="5663A66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7F4225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ante situaciones de emergencia declaradas según las normas sectoriales pertinentes, las asignaciones presupuestarias habilitadas para la respuesta, tales como la Asignación Para Atender Situaciones de Emergencia de la Subsecretaría del Interior, la Asignación Emergencias Agrícolas de la Subsecretaría de Agricultura, la Asignación Emergencias del Instituto de Desarrollo Agropecuario, la Asignación Emergencias Sanitarias del Servicio Agrícola y Ganadero y la Asignación Programas Especiales del Servicio de Cooperación Técnica, podrán eximirse de la aplicación de los artículos 23, 24, 25 y 26. Los planes y estrategias vigentes serán publicados en el sitio electrónico del Ministerio de Hacienda y se informará su contenido y ejecución mensual a la Comisión Especial Mixta de Presupuesto.</w:t>
      </w:r>
    </w:p>
    <w:p w14:paraId="7BD5A09E"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D7FBEC4"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situaciones de emergencia, desastre o catástrofe declarada</w:t>
      </w:r>
      <w:r w:rsidRPr="00F51167">
        <w:rPr>
          <w:rFonts w:ascii="Courier New" w:eastAsia="Times New Roman" w:hAnsi="Courier New" w:cs="Courier New"/>
          <w:sz w:val="24"/>
          <w:szCs w:val="24"/>
          <w:lang w:val="es-MX" w:eastAsia="es-ES"/>
        </w:rPr>
        <w:t>s</w:t>
      </w:r>
      <w:r w:rsidRPr="00624769">
        <w:rPr>
          <w:rFonts w:ascii="Courier New" w:eastAsia="Times New Roman" w:hAnsi="Courier New" w:cs="Courier New"/>
          <w:sz w:val="24"/>
          <w:szCs w:val="24"/>
          <w:lang w:val="es-MX" w:eastAsia="es-ES"/>
        </w:rPr>
        <w:t xml:space="preserve"> según las disposiciones de la ley N° 16.282, el Ministerio de Obras Públicas podrá intervenir infraestructura vial y de canales de propiedad privada, previa autorización del o los </w:t>
      </w:r>
      <w:r w:rsidRPr="00F51167">
        <w:rPr>
          <w:rFonts w:ascii="Courier New" w:eastAsia="Times New Roman" w:hAnsi="Courier New" w:cs="Courier New"/>
          <w:sz w:val="24"/>
          <w:szCs w:val="24"/>
          <w:lang w:val="es-MX" w:eastAsia="es-ES"/>
        </w:rPr>
        <w:t>adquirentes.</w:t>
      </w:r>
    </w:p>
    <w:p w14:paraId="38C6384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76AA64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materia de proyectos de fomento productivo, conservación y reconstrucción de infraestructura dañada producto de las mismas </w:t>
      </w:r>
      <w:r w:rsidRPr="00624769">
        <w:rPr>
          <w:rFonts w:ascii="Courier New" w:eastAsia="Times New Roman" w:hAnsi="Courier New" w:cs="Courier New"/>
          <w:sz w:val="24"/>
          <w:szCs w:val="24"/>
          <w:lang w:val="es-MX" w:eastAsia="es-ES"/>
        </w:rPr>
        <w:lastRenderedPageBreak/>
        <w:t xml:space="preserve">ocurrencias </w:t>
      </w:r>
      <w:r w:rsidRPr="00C31D70">
        <w:rPr>
          <w:rFonts w:ascii="Courier New" w:eastAsia="Times New Roman" w:hAnsi="Courier New" w:cs="Courier New"/>
          <w:sz w:val="24"/>
          <w:szCs w:val="24"/>
          <w:lang w:val="es-MX" w:eastAsia="es-ES"/>
        </w:rPr>
        <w:t>señaladas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el inciso anterior, el Ministerio de Desarrollo Social y Familia y el Ministerio de Hacienda dispondrán un procedimiento abreviado para la declaración de admisibilidad de las iniciativas. Dicho procedimiento deberá estar publicado a más tardar el 31 de enero de 2025.</w:t>
      </w:r>
    </w:p>
    <w:p w14:paraId="417AF15A"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2489DC9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0C4C7DD"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Artículo 42.- El traspaso del servicio educacional, regulado por el artículo octavo transitorio de la ley N° 21.040, desde las municipalidades y corporaciones municipales que correspondan, a los Servicios Locales de Educación Pública señalados en el Capítulo I, Títulos I (Tamarugal), II (Elqui), III (Costa Central) y IV (Marga Marga); y Capítulo II con excepción del Título XI (Chiloé); del decreto N° 162, de 2022, del Ministerio de Educación, y sus modificaciones, no se producirá el año 2025. Excepcionalmente, el Ministerio de Educación podrá determinar mediante resolución exenta fundada que el traspaso del servicio educacional a los Servicios Locales de Educación Pública señalados en el Capítulo I, Títulos II (Elqui) y III (Costa Central), del decreto N° 162, de 2022, del Ministerio de Educación, y sus modificaciones, podrá producirse durante 2025.</w:t>
      </w:r>
    </w:p>
    <w:p w14:paraId="283451F7"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p>
    <w:p w14:paraId="7A3931B1"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La entrada en funcionamiento de los Servicios Locales de Educación Pública señalados en el Capítulo III, Títulos III (Manquehue), VI (Costa Colchagua) y VIII (Maule Valle), del decreto N° 162, de 2022, del Ministerio de Educación, y sus modificaciones, no se producirá el año 2025. Por su parte, los Servicios Locales de Educación Pública señalados en el Capítulo IV, Títulos III (Chacabuco) y IV (Los Viñedos), del decreto N° 162, de 2022, del Ministerio de Educación, y sus modificaciones, entrarán en funcionamiento el año 2025.</w:t>
      </w:r>
    </w:p>
    <w:p w14:paraId="7F343FA5"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p>
    <w:p w14:paraId="127A8FF6"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Para los efectos de lo dispuesto en los incisos anteriores, el Presidente de la República, mediante decreto expedido por intermedio del Ministerio de Hacienda, dictado bajo la fórmula “Por orden del Presidente de la República”, podrá crear, suprimir o modificar los capítulos, programas, subtítulos, ítems, asignaciones y glosas presupuestarias que sean pertinentes.</w:t>
      </w:r>
    </w:p>
    <w:p w14:paraId="02F17CF4" w14:textId="77777777" w:rsidR="005165D8" w:rsidRPr="003D7407"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p>
    <w:p w14:paraId="09D3926C" w14:textId="0553530B" w:rsidR="009E1F6D" w:rsidRPr="00624769" w:rsidRDefault="005165D8" w:rsidP="005165D8">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 xml:space="preserve">Sin perjuicio de lo establecido en el inciso segundo, los Servicios Locales de Educación Pública a los que les corresponde ser creados en 2025 no podrán ejecutar sus presupuestos hasta el despacho del proyecto de ley que modifica la ley N° 21.040, que modifica la ley </w:t>
      </w:r>
      <w:proofErr w:type="spellStart"/>
      <w:r w:rsidRPr="003D7407">
        <w:rPr>
          <w:rFonts w:ascii="Courier New" w:eastAsia="Times New Roman" w:hAnsi="Courier New" w:cs="Courier New"/>
          <w:sz w:val="24"/>
          <w:szCs w:val="24"/>
          <w:lang w:val="es-MX" w:eastAsia="es-ES"/>
        </w:rPr>
        <w:t>Nº</w:t>
      </w:r>
      <w:proofErr w:type="spellEnd"/>
      <w:r w:rsidRPr="003D7407">
        <w:rPr>
          <w:rFonts w:ascii="Courier New" w:eastAsia="Times New Roman" w:hAnsi="Courier New" w:cs="Courier New"/>
          <w:sz w:val="24"/>
          <w:szCs w:val="24"/>
          <w:lang w:val="es-MX" w:eastAsia="es-ES"/>
        </w:rPr>
        <w:t xml:space="preserve"> 21.040 y otros cuerpos legales, fortaleciendo la gestión educativa y mejorando las normas sobre administración e instalación del Sistema de Educación Pública. (Boletín N° 16.705-04).</w:t>
      </w:r>
    </w:p>
    <w:p w14:paraId="14A4F33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713E88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1CCC24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43.- El Ministerio de Hacienda mantendrá una plataforma informática en la que publicará la información detallada sobre los recursos asignados, su ejecución mensual a nivel transaccional para los organismos que conforman el Gobierno Central y los respectivos respaldos documentales. Se publicará esta información en forma detallada por regiones, así como los principales receptores de recursos y proveedores del Estado.</w:t>
      </w:r>
    </w:p>
    <w:p w14:paraId="57454CCB"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89FFA7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C585E3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44.- De acuerdo a lo establecido en el artículo 6° del </w:t>
      </w:r>
      <w:r w:rsidRPr="00C74711">
        <w:rPr>
          <w:rFonts w:ascii="Courier New" w:eastAsia="Times New Roman" w:hAnsi="Courier New" w:cs="Courier New"/>
          <w:sz w:val="24"/>
          <w:szCs w:val="24"/>
          <w:lang w:val="es-MX" w:eastAsia="es-ES"/>
        </w:rPr>
        <w:t>decreto ley N</w:t>
      </w:r>
      <w:r w:rsidRPr="00624769">
        <w:rPr>
          <w:rFonts w:ascii="Courier New" w:eastAsia="Times New Roman" w:hAnsi="Courier New" w:cs="Courier New"/>
          <w:sz w:val="24"/>
          <w:szCs w:val="24"/>
          <w:lang w:val="es-MX" w:eastAsia="es-ES"/>
        </w:rPr>
        <w:t>°</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la totalidad de los recursos presupuestarios que hayan sido puestos a disposición de los órganos y servicios públicos, así como los correspondientes a sus ingresos propios, serán susceptibles de ser utilizados para el financiamiento de cualquiera de sus conceptos legales de gasto. </w:t>
      </w:r>
    </w:p>
    <w:p w14:paraId="7523BD5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723D6D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w:t>
      </w:r>
      <w:r w:rsidRPr="00C74711">
        <w:rPr>
          <w:rFonts w:ascii="Courier New" w:eastAsia="Times New Roman" w:hAnsi="Courier New" w:cs="Courier New"/>
          <w:sz w:val="24"/>
          <w:szCs w:val="24"/>
          <w:lang w:val="es-MX" w:eastAsia="es-ES"/>
        </w:rPr>
        <w:t>órganos y servicios del sector público regidos por esta ley</w:t>
      </w:r>
      <w:r w:rsidRPr="00624769">
        <w:rPr>
          <w:rFonts w:ascii="Courier New" w:eastAsia="Times New Roman" w:hAnsi="Courier New" w:cs="Courier New"/>
          <w:sz w:val="24"/>
          <w:szCs w:val="24"/>
          <w:lang w:val="es-MX" w:eastAsia="es-ES"/>
        </w:rPr>
        <w:t xml:space="preserve"> deberán mantener cuentas corrientes que estén a su nombre, </w:t>
      </w:r>
      <w:r>
        <w:rPr>
          <w:rFonts w:ascii="Courier New" w:eastAsia="Times New Roman" w:hAnsi="Courier New" w:cs="Courier New"/>
          <w:sz w:val="24"/>
          <w:szCs w:val="24"/>
          <w:lang w:val="es-MX" w:eastAsia="es-ES"/>
        </w:rPr>
        <w:t xml:space="preserve">y clasificarlas </w:t>
      </w:r>
      <w:r w:rsidRPr="00624769">
        <w:rPr>
          <w:rFonts w:ascii="Courier New" w:eastAsia="Times New Roman" w:hAnsi="Courier New" w:cs="Courier New"/>
          <w:sz w:val="24"/>
          <w:szCs w:val="24"/>
          <w:lang w:val="es-MX" w:eastAsia="es-ES"/>
        </w:rPr>
        <w:t xml:space="preserve">en tres tipos excluyentes, correspondientes a remuneraciones, fondos de terceros y resto de operaciones. Para ello, adoptarán las medidas administrativas que sean necesarias. </w:t>
      </w:r>
    </w:p>
    <w:p w14:paraId="34F622A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19CB9E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impartirá instrucciones sobre la materia.</w:t>
      </w:r>
    </w:p>
    <w:p w14:paraId="5494030B"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D45A51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recursos que, como consecuencia de la aplicación de las disposiciones de este artículo, sean susceptibles de ser reingresados al tesoro público, por sobre el monto de gasto global autorizado en la Ley de Presupuestos, serán incorporados al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20.128, de acuerdo a las instrucciones que sean impartidas en ejercicio de la atribución establecida en el inciso anterior.</w:t>
      </w:r>
    </w:p>
    <w:p w14:paraId="03DA88D9"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71C0901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365E44F" w14:textId="37EC27E0"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45.- Durante el año 2025 la Subsecretaría de Desarrollo Regional y Administrativo elaborará un </w:t>
      </w:r>
      <w:r w:rsidR="005407D1"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que </w:t>
      </w:r>
      <w:r w:rsidRPr="00BC0567">
        <w:rPr>
          <w:rFonts w:ascii="Courier New" w:eastAsia="Times New Roman" w:hAnsi="Courier New" w:cs="Courier New"/>
          <w:sz w:val="24"/>
          <w:szCs w:val="24"/>
          <w:lang w:val="es-MX" w:eastAsia="es-ES"/>
        </w:rPr>
        <w:t>abarcará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diferentes aspectos de infraestructura y servicios por comuna en relación a su cantidad de habitantes.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76F465A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8ED291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estos efectos, la Subsecretaría de Desarrollo Regional y Administrativo deberá identificar o crear, según corresponda, un indicador por cada tipo de infraestructura o servicio a medir; determinar un estándar objetivo por cada tipo de infraestructura o servicio que permita mantener una buena calidad de vida a los habitantes de las comunas del país;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identificar y cuantificar económicamente la brecha comunal existente de cada estándar, y cuantificar las brechas totales por comuna y por tipo de infraestructura o servicio.</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5D4E146C"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7724E80" w14:textId="15D044BF"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w:t>
      </w:r>
      <w:r w:rsidR="005407D1"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mencionado abarcará, al menos, los siguientes ámbitos: áreas verdes y espacios públicos, pavimentación, luminarias y alumbrado público, agua potable y saneamiento, presencia policial, infraestructura policial, internet, transporte, ciclovías, salud primaria, servicios, acceso a educación, infraestructura deportiva, infraestructura cultural, e infraestructura de protección del medio ambiente. </w:t>
      </w:r>
    </w:p>
    <w:p w14:paraId="173A411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0E0F3B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Subsecretaría de Desarrollo Regional y Administrativo deberá coordinarse con ministerios y órganos públicos para determinar los indicadores y definir el estándar objetivo. </w:t>
      </w:r>
    </w:p>
    <w:p w14:paraId="40F288D3"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3377DC3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resultados del estudio deberán estar publicados en el sitio web de la Subsecretaría de Desarrollo Regional y Administrativo a más tardar el 30 de septiembre de 2025.  </w:t>
      </w:r>
    </w:p>
    <w:p w14:paraId="18483AD2"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2605420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Durante el último trimestre del año 2025 los Ministerios de Vivienda y Urbanismo; de Obras Públicas, de Transportes y Telecomunicaciones; de Salud; de Educación; del Interior y Seguridad Pública; de Energía; de Economía, Fomento y Turismo; del Deporte; de las Culturas, las Artes y el Patrimonio; y de Medioambiente deberán incorporar en sus planes, acciones destinadas a reducir las brechas identificadas en el precitado estudio. </w:t>
      </w:r>
    </w:p>
    <w:p w14:paraId="32C33281"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575538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1126BFD"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46.- </w:t>
      </w:r>
      <w:proofErr w:type="spellStart"/>
      <w:r w:rsidRPr="00624769">
        <w:rPr>
          <w:rFonts w:ascii="Courier New" w:eastAsia="Times New Roman" w:hAnsi="Courier New" w:cs="Courier New"/>
          <w:sz w:val="24"/>
          <w:szCs w:val="24"/>
          <w:lang w:val="es-MX" w:eastAsia="es-ES"/>
        </w:rPr>
        <w:t>Traspása</w:t>
      </w:r>
      <w:r w:rsidRPr="00256ABC">
        <w:rPr>
          <w:rFonts w:ascii="Courier New" w:eastAsia="Times New Roman" w:hAnsi="Courier New" w:cs="Courier New"/>
          <w:sz w:val="24"/>
          <w:szCs w:val="24"/>
          <w:lang w:val="es-MX" w:eastAsia="es-ES"/>
        </w:rPr>
        <w:t>ns</w:t>
      </w:r>
      <w:r w:rsidRPr="00624769">
        <w:rPr>
          <w:rFonts w:ascii="Courier New" w:eastAsia="Times New Roman" w:hAnsi="Courier New" w:cs="Courier New"/>
          <w:sz w:val="24"/>
          <w:szCs w:val="24"/>
          <w:lang w:val="es-MX" w:eastAsia="es-ES"/>
        </w:rPr>
        <w:t>e</w:t>
      </w:r>
      <w:proofErr w:type="spellEnd"/>
      <w:r w:rsidRPr="00624769">
        <w:rPr>
          <w:rFonts w:ascii="Courier New" w:eastAsia="Times New Roman" w:hAnsi="Courier New" w:cs="Courier New"/>
          <w:sz w:val="24"/>
          <w:szCs w:val="24"/>
          <w:lang w:val="es-MX" w:eastAsia="es-ES"/>
        </w:rPr>
        <w:t>, sin solución de continuidad, a partir de la fecha de publicación en el Diario Oficial de la ley que crea el Ministerio de Seguridad Pública, y modifica la ley N° 20.502, reformulando las funciones u atribuciones del Ministerio del Interior, hasta un máximo de 23 personas contratadas sobre la base de honorarios, que se desempeñan en el Programa Presupuestario Plan Buen Vivir, contemplado en la Partida 22.01.09 de la ley de Presupuestos del Sector Público correspondiente al año 2025, desde el Ministerio Secretaría General de la Presidencia al Ministerio del Interior</w:t>
      </w:r>
      <w:r>
        <w:rPr>
          <w:rFonts w:ascii="Courier New" w:eastAsia="Times New Roman" w:hAnsi="Courier New" w:cs="Courier New"/>
          <w:sz w:val="24"/>
          <w:szCs w:val="24"/>
          <w:lang w:val="es-MX" w:eastAsia="es-ES"/>
        </w:rPr>
        <w:t>.</w:t>
      </w:r>
    </w:p>
    <w:p w14:paraId="3AC58BBF"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478EF92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través de decreto exento del Ministerio Secretaría General de la Presidencia, suscrito además por el Ministro de Hacienda, y expedido bajo la fórmula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Por orden del Presidente de la República</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se individualizará a las personas traspasadas.</w:t>
      </w:r>
    </w:p>
    <w:p w14:paraId="52F824A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14A30751"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contar de la fecha del traspaso de las personas señaladas en el inciso primero, </w:t>
      </w:r>
      <w:proofErr w:type="spellStart"/>
      <w:r w:rsidRPr="00624769">
        <w:rPr>
          <w:rFonts w:ascii="Courier New" w:eastAsia="Times New Roman" w:hAnsi="Courier New" w:cs="Courier New"/>
          <w:sz w:val="24"/>
          <w:szCs w:val="24"/>
          <w:lang w:val="es-MX" w:eastAsia="es-ES"/>
        </w:rPr>
        <w:t>tra</w:t>
      </w:r>
      <w:r w:rsidRPr="00256ABC">
        <w:rPr>
          <w:rFonts w:ascii="Courier New" w:eastAsia="Times New Roman" w:hAnsi="Courier New" w:cs="Courier New"/>
          <w:sz w:val="24"/>
          <w:szCs w:val="24"/>
          <w:lang w:val="es-MX" w:eastAsia="es-ES"/>
        </w:rPr>
        <w:t>spásanse</w:t>
      </w:r>
      <w:proofErr w:type="spellEnd"/>
      <w:r w:rsidRPr="00624769">
        <w:rPr>
          <w:rFonts w:ascii="Courier New" w:eastAsia="Times New Roman" w:hAnsi="Courier New" w:cs="Courier New"/>
          <w:sz w:val="24"/>
          <w:szCs w:val="24"/>
          <w:lang w:val="es-MX" w:eastAsia="es-ES"/>
        </w:rPr>
        <w:t xml:space="preserve"> los recursos presupuestarios que se liberen por ese hecho desde del Ministerio Secretaría General de la Presidencia al Ministerio del Interior. Además, a contar de la misma fecha </w:t>
      </w:r>
      <w:proofErr w:type="spellStart"/>
      <w:r w:rsidRPr="00624769">
        <w:rPr>
          <w:rFonts w:ascii="Courier New" w:eastAsia="Times New Roman" w:hAnsi="Courier New" w:cs="Courier New"/>
          <w:sz w:val="24"/>
          <w:szCs w:val="24"/>
          <w:lang w:val="es-MX" w:eastAsia="es-ES"/>
        </w:rPr>
        <w:t>tra</w:t>
      </w:r>
      <w:r w:rsidRPr="00256ABC">
        <w:rPr>
          <w:rFonts w:ascii="Courier New" w:eastAsia="Times New Roman" w:hAnsi="Courier New" w:cs="Courier New"/>
          <w:sz w:val="24"/>
          <w:szCs w:val="24"/>
          <w:lang w:val="es-MX" w:eastAsia="es-ES"/>
        </w:rPr>
        <w:t>spása</w:t>
      </w:r>
      <w:r w:rsidRPr="00624769">
        <w:rPr>
          <w:rFonts w:ascii="Courier New" w:eastAsia="Times New Roman" w:hAnsi="Courier New" w:cs="Courier New"/>
          <w:sz w:val="24"/>
          <w:szCs w:val="24"/>
          <w:lang w:val="es-MX" w:eastAsia="es-ES"/>
        </w:rPr>
        <w:t>se</w:t>
      </w:r>
      <w:proofErr w:type="spellEnd"/>
      <w:r w:rsidRPr="00624769">
        <w:rPr>
          <w:rFonts w:ascii="Courier New" w:eastAsia="Times New Roman" w:hAnsi="Courier New" w:cs="Courier New"/>
          <w:sz w:val="24"/>
          <w:szCs w:val="24"/>
          <w:lang w:val="es-MX" w:eastAsia="es-ES"/>
        </w:rPr>
        <w:t xml:space="preserve"> el programa presupuestario correspondiente al Plan Buen Vivir al Ministerio del Interior, lo cual se formalizará por medio de uno o más decretos del Ministerio de Hacienda, dictados conforme a lo dispuesto en el artículo 70 del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del Ministerio de Hacienda, </w:t>
      </w:r>
      <w:r>
        <w:rPr>
          <w:rFonts w:ascii="Courier New" w:eastAsia="Times New Roman" w:hAnsi="Courier New" w:cs="Courier New"/>
          <w:sz w:val="24"/>
          <w:szCs w:val="24"/>
          <w:lang w:val="es-MX" w:eastAsia="es-ES"/>
        </w:rPr>
        <w:t xml:space="preserve">y </w:t>
      </w:r>
      <w:r w:rsidRPr="00CE1A5F">
        <w:rPr>
          <w:rFonts w:ascii="Courier New" w:eastAsia="Times New Roman" w:hAnsi="Courier New" w:cs="Courier New"/>
          <w:sz w:val="24"/>
          <w:szCs w:val="24"/>
          <w:lang w:val="es-MX" w:eastAsia="es-ES"/>
        </w:rPr>
        <w:t>se podrá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para tal efecto crear, suprimir o modificar asignaciones, ítem y glosas presupuestarias que sean pertinentes, </w:t>
      </w:r>
      <w:r w:rsidRPr="00CE1A5F">
        <w:rPr>
          <w:rFonts w:ascii="Courier New" w:eastAsia="Times New Roman" w:hAnsi="Courier New" w:cs="Courier New"/>
          <w:sz w:val="24"/>
          <w:szCs w:val="24"/>
          <w:lang w:val="es-MX" w:eastAsia="es-ES"/>
        </w:rPr>
        <w:t>ajustándose</w:t>
      </w:r>
      <w:r w:rsidRPr="00624769">
        <w:rPr>
          <w:rFonts w:ascii="Courier New" w:eastAsia="Times New Roman" w:hAnsi="Courier New" w:cs="Courier New"/>
          <w:sz w:val="24"/>
          <w:szCs w:val="24"/>
          <w:lang w:val="es-MX" w:eastAsia="es-ES"/>
        </w:rPr>
        <w:t xml:space="preserve">, asimismo, la titularidad de las obligaciones de información contenidas en la ley de presupuestos respecto del referido Plan.  </w:t>
      </w:r>
    </w:p>
    <w:p w14:paraId="4D5C707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6E525380"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 partir del mencionado traspaso, para todos los efectos legales, el Ministerio del Interior será el sucesor y continuador legal de todas los derechos y obligaciones que correspondían al Ministerio Secretaría General de la Presidencia en virtud del Plan Buen Vivir</w:t>
      </w:r>
      <w:r w:rsidRPr="00CE1A5F">
        <w:rPr>
          <w:rFonts w:ascii="Courier New" w:eastAsia="Times New Roman" w:hAnsi="Courier New" w:cs="Courier New"/>
          <w:sz w:val="24"/>
          <w:szCs w:val="24"/>
          <w:lang w:val="es-MX" w:eastAsia="es-ES"/>
        </w:rPr>
        <w:t>, y deberá, a</w:t>
      </w:r>
      <w:r w:rsidRPr="00624769">
        <w:rPr>
          <w:rFonts w:ascii="Courier New" w:eastAsia="Times New Roman" w:hAnsi="Courier New" w:cs="Courier New"/>
          <w:sz w:val="24"/>
          <w:szCs w:val="24"/>
          <w:lang w:val="es-MX" w:eastAsia="es-ES"/>
        </w:rPr>
        <w:t xml:space="preserve"> contar de dicho momento, dar cumplimiento a los objetivos y metas del mencionado Plan, en especial, lo relativo a la función coordinación interinstitucional que desarrolla el Plan para articular los esfuerzos y respuestas diseñadas desde el </w:t>
      </w:r>
      <w:r w:rsidRPr="000370C4">
        <w:rPr>
          <w:rFonts w:ascii="Courier New" w:eastAsia="Times New Roman" w:hAnsi="Courier New" w:cs="Courier New"/>
          <w:sz w:val="24"/>
          <w:szCs w:val="24"/>
          <w:lang w:val="es-MX" w:eastAsia="es-ES"/>
        </w:rPr>
        <w:t>Estado para abordar el conflicto intercultural en las regiones del Biobío, de La Araucanía, de Los Ríos y de Los Lagos.</w:t>
      </w:r>
    </w:p>
    <w:p w14:paraId="675A3508"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0AB16487"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virtud de lo dispuesto en el inciso anterior, corresponderán al Ministerio del Interior, todos los derechos y obligaciones adquiridos por el Ministerio Secretaría General de la Presidencia relacionados con la continuidad del desarrollo de las funciones del Plan Buen Vivir,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dicho Plan</w:t>
      </w:r>
      <w:r w:rsidRPr="00F553E6">
        <w:rPr>
          <w:rFonts w:ascii="Courier New" w:eastAsia="Times New Roman" w:hAnsi="Courier New" w:cs="Courier New"/>
          <w:sz w:val="24"/>
          <w:szCs w:val="24"/>
          <w:lang w:val="es-MX" w:eastAsia="es-ES"/>
        </w:rPr>
        <w:t>.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tanto, el referido </w:t>
      </w:r>
      <w:r w:rsidRPr="00F553E6">
        <w:rPr>
          <w:rFonts w:ascii="Courier New" w:eastAsia="Times New Roman" w:hAnsi="Courier New" w:cs="Courier New"/>
          <w:sz w:val="24"/>
          <w:szCs w:val="24"/>
          <w:lang w:val="es-MX" w:eastAsia="es-ES"/>
        </w:rPr>
        <w:t>Ministerio asumirá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la titularidad de los respectivos derechos y obligaciones.</w:t>
      </w:r>
    </w:p>
    <w:p w14:paraId="526A42BE" w14:textId="77777777" w:rsidR="009E1F6D"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518F5999"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lang w:val="es-MX" w:eastAsia="es-ES"/>
        </w:rPr>
      </w:pPr>
    </w:p>
    <w:p w14:paraId="036D35FA" w14:textId="77777777" w:rsidR="009E1F6D" w:rsidRPr="00624769" w:rsidRDefault="009E1F6D" w:rsidP="009E1F6D">
      <w:pPr>
        <w:tabs>
          <w:tab w:val="left" w:pos="1134"/>
        </w:tabs>
        <w:spacing w:line="276" w:lineRule="auto"/>
        <w:ind w:firstLine="1134"/>
        <w:jc w:val="both"/>
        <w:rPr>
          <w:rFonts w:ascii="Courier New" w:eastAsia="Times New Roman" w:hAnsi="Courier New" w:cs="Courier New"/>
          <w:sz w:val="24"/>
          <w:szCs w:val="24"/>
          <w:highlight w:val="yellow"/>
          <w:lang w:val="es-MX" w:eastAsia="es-ES"/>
        </w:rPr>
      </w:pPr>
      <w:r w:rsidRPr="00624769">
        <w:rPr>
          <w:rFonts w:ascii="Courier New" w:eastAsia="Times New Roman" w:hAnsi="Courier New" w:cs="Courier New"/>
          <w:sz w:val="24"/>
          <w:szCs w:val="24"/>
          <w:lang w:val="es-MX" w:eastAsia="es-ES"/>
        </w:rPr>
        <w:t xml:space="preserve">Artículo 47.- Las disposiciones de esta ley regirán a contar del 1 de enero del año 2025, sin perjuicio de que puedan dictarse a contar de la fecha de su publicación los decretos, resoluciones y convenios que en virtud de esta ley sean necesarios para posibilitar la ejecución presupuestaria. Esta ley y las instrucciones para su </w:t>
      </w:r>
      <w:r w:rsidRPr="00F553E6">
        <w:rPr>
          <w:rFonts w:ascii="Courier New" w:eastAsia="Times New Roman" w:hAnsi="Courier New" w:cs="Courier New"/>
          <w:sz w:val="24"/>
          <w:szCs w:val="24"/>
          <w:lang w:val="es-MX" w:eastAsia="es-ES"/>
        </w:rPr>
        <w:t>ejecución podrán ser publicadas en su integridad para su distribución</w:t>
      </w:r>
      <w:r w:rsidRPr="00624769">
        <w:rPr>
          <w:rFonts w:ascii="Courier New" w:eastAsia="Times New Roman" w:hAnsi="Courier New" w:cs="Courier New"/>
          <w:sz w:val="24"/>
          <w:szCs w:val="24"/>
          <w:lang w:val="es-MX" w:eastAsia="es-ES"/>
        </w:rPr>
        <w:t>.</w:t>
      </w:r>
    </w:p>
    <w:p w14:paraId="0FBC60CF" w14:textId="77777777" w:rsidR="009E1F6D" w:rsidRPr="00624769" w:rsidRDefault="009E1F6D" w:rsidP="009E1F6D">
      <w:pPr>
        <w:widowControl w:val="0"/>
        <w:spacing w:line="276" w:lineRule="auto"/>
        <w:ind w:firstLine="1134"/>
        <w:jc w:val="both"/>
        <w:rPr>
          <w:rFonts w:ascii="Courier New" w:hAnsi="Courier New" w:cs="Courier New"/>
          <w:sz w:val="24"/>
          <w:szCs w:val="24"/>
          <w:lang w:val="es-CL"/>
        </w:rPr>
      </w:pPr>
    </w:p>
    <w:p w14:paraId="48DAA663" w14:textId="77777777" w:rsidR="009E1F6D" w:rsidRDefault="009E1F6D" w:rsidP="009E1F6D">
      <w:pPr>
        <w:widowControl w:val="0"/>
        <w:spacing w:line="276" w:lineRule="auto"/>
        <w:ind w:firstLine="1134"/>
        <w:jc w:val="both"/>
        <w:rPr>
          <w:rFonts w:ascii="Courier New" w:hAnsi="Courier New" w:cs="Courier New"/>
          <w:sz w:val="24"/>
          <w:szCs w:val="24"/>
          <w:lang w:val="es-CL"/>
        </w:rPr>
      </w:pPr>
    </w:p>
    <w:p w14:paraId="072DFEDB" w14:textId="77777777" w:rsidR="009E1F6D" w:rsidRPr="00D63D73" w:rsidRDefault="009E1F6D" w:rsidP="009E1F6D">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Artículo 48.- En el marco de la aplicación de la presente ley, se suspenderá el inicio de todo procedimiento de Espacio Costero Marino de los Pueblos Originarios contemplado en la ley N° 20.249. Para el caso de aquellos procedimientos que se encuentran en tramitación, los organismos encargados tendrán el plazo de seis meses para resolver sobre éstos. Si no se resuelve en el plazo señalado el requerimiento se entenderá como rechazado.</w:t>
      </w:r>
    </w:p>
    <w:p w14:paraId="0A96D7B3" w14:textId="77777777" w:rsidR="009E1F6D" w:rsidRPr="00D63D73" w:rsidRDefault="009E1F6D" w:rsidP="009E1F6D">
      <w:pPr>
        <w:widowControl w:val="0"/>
        <w:spacing w:line="276" w:lineRule="auto"/>
        <w:ind w:firstLine="1134"/>
        <w:jc w:val="both"/>
        <w:rPr>
          <w:rFonts w:ascii="Courier New" w:hAnsi="Courier New" w:cs="Courier New"/>
          <w:sz w:val="24"/>
          <w:szCs w:val="24"/>
          <w:lang w:val="es-CL"/>
        </w:rPr>
      </w:pPr>
    </w:p>
    <w:p w14:paraId="57DDB416" w14:textId="77777777" w:rsidR="009E1F6D" w:rsidRDefault="009E1F6D" w:rsidP="009E1F6D">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 xml:space="preserve">Antes </w:t>
      </w:r>
      <w:r>
        <w:rPr>
          <w:rFonts w:ascii="Courier New" w:hAnsi="Courier New" w:cs="Courier New"/>
          <w:sz w:val="24"/>
          <w:szCs w:val="24"/>
          <w:lang w:val="es-CL"/>
        </w:rPr>
        <w:t>d</w:t>
      </w:r>
      <w:r w:rsidRPr="00D63D73">
        <w:rPr>
          <w:rFonts w:ascii="Courier New" w:hAnsi="Courier New" w:cs="Courier New"/>
          <w:sz w:val="24"/>
          <w:szCs w:val="24"/>
          <w:lang w:val="es-CL"/>
        </w:rPr>
        <w:t>el término del plazo y la paralización de procedimientos indicados en el inciso anterior, los órganos de la Administración del Estado podrán destinar aquellos recursos para el mejoramiento de áreas en que el servicio se vea deficitario, tanto del punto de vista económico como de recursos humanos.</w:t>
      </w:r>
    </w:p>
    <w:p w14:paraId="471C146D" w14:textId="77777777" w:rsidR="009E1F6D" w:rsidRDefault="009E1F6D" w:rsidP="009E1F6D">
      <w:pPr>
        <w:widowControl w:val="0"/>
        <w:spacing w:line="276" w:lineRule="auto"/>
        <w:ind w:firstLine="1134"/>
        <w:jc w:val="both"/>
        <w:rPr>
          <w:rFonts w:ascii="Courier New" w:hAnsi="Courier New" w:cs="Courier New"/>
          <w:sz w:val="24"/>
          <w:szCs w:val="24"/>
          <w:lang w:val="es-CL"/>
        </w:rPr>
      </w:pPr>
    </w:p>
    <w:p w14:paraId="1B487829" w14:textId="77777777" w:rsidR="009E1F6D" w:rsidRDefault="009E1F6D" w:rsidP="009E1F6D">
      <w:pPr>
        <w:widowControl w:val="0"/>
        <w:spacing w:line="276" w:lineRule="auto"/>
        <w:ind w:firstLine="1134"/>
        <w:jc w:val="both"/>
        <w:rPr>
          <w:rFonts w:ascii="Courier New" w:hAnsi="Courier New" w:cs="Courier New"/>
          <w:sz w:val="24"/>
          <w:szCs w:val="24"/>
          <w:lang w:val="es-CL"/>
        </w:rPr>
      </w:pPr>
    </w:p>
    <w:p w14:paraId="46367936" w14:textId="58E381FA" w:rsidR="009E1F6D" w:rsidRPr="00EB44FA" w:rsidRDefault="00384A19" w:rsidP="009E1F6D">
      <w:pPr>
        <w:widowControl w:val="0"/>
        <w:spacing w:line="276" w:lineRule="auto"/>
        <w:ind w:firstLine="1134"/>
        <w:jc w:val="both"/>
        <w:rPr>
          <w:rFonts w:ascii="Courier New" w:hAnsi="Courier New" w:cs="Courier New"/>
          <w:sz w:val="24"/>
          <w:szCs w:val="24"/>
          <w:lang w:val="es-CL"/>
        </w:rPr>
      </w:pPr>
      <w:r w:rsidRPr="0073370D">
        <w:rPr>
          <w:rFonts w:ascii="Courier New" w:hAnsi="Courier New" w:cs="Courier New"/>
          <w:sz w:val="24"/>
          <w:szCs w:val="24"/>
          <w:lang w:val="es-CL"/>
        </w:rPr>
        <w:t>Artículo 49.- La Dirección de Presupuestos informará al Congreso Nacional, junto con el Informe de Finanzas Públicas, cuando corresponda, respecto del estado de avance de los compromisos adquiridos durante la tramitación de la Ley de Presupuestos del Sector Público del año en curso.</w:t>
      </w:r>
    </w:p>
    <w:p w14:paraId="6C318419" w14:textId="77777777" w:rsidR="00BB46D8" w:rsidRDefault="00BB46D8" w:rsidP="005E7E7D">
      <w:pPr>
        <w:widowControl w:val="0"/>
        <w:spacing w:line="276" w:lineRule="auto"/>
        <w:ind w:firstLine="1134"/>
        <w:jc w:val="both"/>
        <w:rPr>
          <w:rFonts w:ascii="Courier New" w:eastAsia="Times New Roman" w:hAnsi="Courier New" w:cs="Courier New"/>
          <w:sz w:val="24"/>
          <w:szCs w:val="24"/>
          <w:lang w:val="es-CL"/>
        </w:rPr>
      </w:pPr>
    </w:p>
    <w:p w14:paraId="65891B21" w14:textId="77777777" w:rsidR="00BB46D8" w:rsidRDefault="00BB46D8" w:rsidP="005E7E7D">
      <w:pPr>
        <w:widowControl w:val="0"/>
        <w:spacing w:line="276" w:lineRule="auto"/>
        <w:ind w:firstLine="1134"/>
        <w:jc w:val="both"/>
        <w:rPr>
          <w:rFonts w:ascii="Courier New" w:eastAsia="Times New Roman" w:hAnsi="Courier New" w:cs="Courier New"/>
          <w:sz w:val="24"/>
          <w:szCs w:val="24"/>
          <w:lang w:val="es-CL"/>
        </w:rPr>
      </w:pPr>
    </w:p>
    <w:p w14:paraId="0E90689C" w14:textId="761165DE" w:rsidR="00FA2AE1" w:rsidRPr="00FA2AE1" w:rsidRDefault="00FA2AE1" w:rsidP="00FA2AE1">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Artículo 50.- Durante el año 2025, la Dirección de Presupuestos del Ministerio de Hacienda realizará un análisis del conjunto de glosas incluidas en la Ley de Presupuestos del Sector Público, considera</w:t>
      </w:r>
      <w:r w:rsidR="00D71FCC">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su concordancia con las normas sobre el presupuesto nacional en la Constitución Política de la República y </w:t>
      </w:r>
      <w:r w:rsidR="00D71FCC">
        <w:rPr>
          <w:rFonts w:ascii="Courier New" w:eastAsia="Times New Roman" w:hAnsi="Courier New" w:cs="Courier New"/>
          <w:sz w:val="24"/>
          <w:szCs w:val="24"/>
          <w:lang w:val="es-CL"/>
        </w:rPr>
        <w:t xml:space="preserve">en </w:t>
      </w:r>
      <w:r w:rsidRPr="0073370D">
        <w:rPr>
          <w:rFonts w:ascii="Courier New" w:eastAsia="Times New Roman" w:hAnsi="Courier New" w:cs="Courier New"/>
          <w:sz w:val="24"/>
          <w:szCs w:val="24"/>
          <w:lang w:val="es-CL"/>
        </w:rPr>
        <w:t xml:space="preserve">la ley de Administración Financiera del Estado, así como el uso efectivo de las glosas de información, </w:t>
      </w:r>
      <w:r w:rsidR="00D71FCC">
        <w:rPr>
          <w:rFonts w:ascii="Courier New" w:eastAsia="Times New Roman" w:hAnsi="Courier New" w:cs="Courier New"/>
          <w:sz w:val="24"/>
          <w:szCs w:val="24"/>
          <w:lang w:val="es-CL"/>
        </w:rPr>
        <w:t xml:space="preserve">y </w:t>
      </w:r>
      <w:r w:rsidRPr="0073370D">
        <w:rPr>
          <w:rFonts w:ascii="Courier New" w:eastAsia="Times New Roman" w:hAnsi="Courier New" w:cs="Courier New"/>
          <w:sz w:val="24"/>
          <w:szCs w:val="24"/>
          <w:lang w:val="es-CL"/>
        </w:rPr>
        <w:t>deriva</w:t>
      </w:r>
      <w:r w:rsidR="00D71FCC">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recomendaciones sobre la regulación futura de las glosas presupuestarias. Sobre la base de este análisis, el Ministerio de Hacienda propondrá a la Comisión Especial Mixta de Presupuestos ajustes a la regulación vigente sobre la procedencia y orientación de dichas glosas. Por su parte, las mesas del Senado y de la Cámara de Diputados estudiarán mecanismos predecibles y expeditos para resolver sobre la procedencia y admisibilidad de las glosas durante la tramitación legislativa de la Ley de Presupuestos del Sector Público.</w:t>
      </w:r>
    </w:p>
    <w:p w14:paraId="5509D9C0" w14:textId="77777777" w:rsidR="00FA2AE1" w:rsidRDefault="00FA2AE1" w:rsidP="00FA2AE1">
      <w:pPr>
        <w:widowControl w:val="0"/>
        <w:spacing w:line="276" w:lineRule="auto"/>
        <w:ind w:firstLine="1134"/>
        <w:jc w:val="both"/>
        <w:rPr>
          <w:rFonts w:ascii="Courier New" w:eastAsia="Times New Roman" w:hAnsi="Courier New" w:cs="Courier New"/>
          <w:sz w:val="24"/>
          <w:szCs w:val="24"/>
          <w:lang w:val="es-CL"/>
        </w:rPr>
      </w:pPr>
    </w:p>
    <w:p w14:paraId="605E5F2F" w14:textId="77777777" w:rsidR="00FA2AE1" w:rsidRPr="00FA2AE1" w:rsidRDefault="00FA2AE1" w:rsidP="00FA2AE1">
      <w:pPr>
        <w:widowControl w:val="0"/>
        <w:spacing w:line="276" w:lineRule="auto"/>
        <w:ind w:firstLine="1134"/>
        <w:jc w:val="both"/>
        <w:rPr>
          <w:rFonts w:ascii="Courier New" w:eastAsia="Times New Roman" w:hAnsi="Courier New" w:cs="Courier New"/>
          <w:sz w:val="24"/>
          <w:szCs w:val="24"/>
          <w:lang w:val="es-CL"/>
        </w:rPr>
      </w:pPr>
    </w:p>
    <w:p w14:paraId="75F3739D" w14:textId="77777777" w:rsidR="00FA2AE1" w:rsidRPr="0073370D" w:rsidRDefault="00FA2AE1" w:rsidP="00FA2AE1">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 xml:space="preserve">Artículo 51.- Durante el año 2025, en los casos a los que hace referencia el inciso tercero del artículo 7° ter del decreto con fuerza de ley N° 2, de 1998, del Ministerio de Educación, que fija el texto refundido, coordinado y sistematizado del decreto con fuerza de ley </w:t>
      </w:r>
      <w:proofErr w:type="spellStart"/>
      <w:r w:rsidRPr="0073370D">
        <w:rPr>
          <w:rFonts w:ascii="Courier New" w:eastAsia="Times New Roman" w:hAnsi="Courier New" w:cs="Courier New"/>
          <w:sz w:val="24"/>
          <w:szCs w:val="24"/>
          <w:lang w:val="es-CL"/>
        </w:rPr>
        <w:t>Nº</w:t>
      </w:r>
      <w:proofErr w:type="spellEnd"/>
      <w:r w:rsidRPr="0073370D">
        <w:rPr>
          <w:rFonts w:ascii="Courier New" w:eastAsia="Times New Roman" w:hAnsi="Courier New" w:cs="Courier New"/>
          <w:sz w:val="24"/>
          <w:szCs w:val="24"/>
          <w:lang w:val="es-CL"/>
        </w:rPr>
        <w:t xml:space="preserve"> 2, de 1996, sobre Subvención del Estado a Establecimientos Educacionales, en el marco del proceso de admisión escolar 2026 no se implementará lo relativo a la aplicación de un procedimiento de admisión aleatorio proporcionado por el Ministerio de Educación.  </w:t>
      </w:r>
    </w:p>
    <w:p w14:paraId="17A73836" w14:textId="77777777" w:rsidR="00FA2AE1" w:rsidRPr="0073370D" w:rsidRDefault="00FA2AE1" w:rsidP="00FA2AE1">
      <w:pPr>
        <w:widowControl w:val="0"/>
        <w:spacing w:line="276" w:lineRule="auto"/>
        <w:ind w:firstLine="1134"/>
        <w:jc w:val="both"/>
        <w:rPr>
          <w:rFonts w:ascii="Courier New" w:eastAsia="Times New Roman" w:hAnsi="Courier New" w:cs="Courier New"/>
          <w:sz w:val="24"/>
          <w:szCs w:val="24"/>
          <w:lang w:val="es-CL"/>
        </w:rPr>
      </w:pPr>
    </w:p>
    <w:p w14:paraId="3B301ABC" w14:textId="6CCE3F27" w:rsidR="00A24C1F" w:rsidRDefault="00FA2AE1" w:rsidP="00B33006">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En su reemplazo, a través de un decreto supremo dictado por el Ministerio de Educación, se deberá regular un procedimiento alternativo de admisión, el que se ajustará a los principios establecidos en la Ley General de Educación y en el precitado decreto con fuerza de ley N° 2.</w:t>
      </w:r>
      <w:r w:rsidR="00A24C1F" w:rsidRPr="0073370D">
        <w:rPr>
          <w:rFonts w:ascii="Courier New" w:eastAsia="Times New Roman" w:hAnsi="Courier New" w:cs="Courier New"/>
          <w:sz w:val="24"/>
          <w:szCs w:val="24"/>
          <w:lang w:val="es-CL"/>
        </w:rPr>
        <w:t>”.</w:t>
      </w:r>
    </w:p>
    <w:p w14:paraId="0D9253D0" w14:textId="77777777" w:rsidR="0073370D" w:rsidRDefault="0073370D" w:rsidP="0073370D">
      <w:pPr>
        <w:widowControl w:val="0"/>
        <w:spacing w:line="276" w:lineRule="auto"/>
        <w:jc w:val="both"/>
        <w:rPr>
          <w:rFonts w:ascii="Courier New" w:eastAsia="Times New Roman" w:hAnsi="Courier New" w:cs="Courier New"/>
          <w:sz w:val="24"/>
          <w:szCs w:val="24"/>
          <w:lang w:val="es-CL"/>
        </w:rPr>
      </w:pPr>
    </w:p>
    <w:p w14:paraId="199E7B2B" w14:textId="77777777" w:rsidR="0073370D" w:rsidRDefault="0073370D" w:rsidP="0073370D">
      <w:pPr>
        <w:widowControl w:val="0"/>
        <w:spacing w:line="276" w:lineRule="auto"/>
        <w:jc w:val="both"/>
        <w:rPr>
          <w:rFonts w:ascii="Courier New" w:eastAsia="Times New Roman" w:hAnsi="Courier New" w:cs="Courier New"/>
          <w:sz w:val="24"/>
          <w:szCs w:val="24"/>
          <w:lang w:val="es-CL"/>
        </w:rPr>
      </w:pPr>
    </w:p>
    <w:p w14:paraId="42134145" w14:textId="266A5788" w:rsidR="0073370D" w:rsidRDefault="0073370D" w:rsidP="0073370D">
      <w:pPr>
        <w:widowControl w:val="0"/>
        <w:spacing w:line="276" w:lineRule="auto"/>
        <w:jc w:val="center"/>
        <w:rPr>
          <w:rFonts w:ascii="Courier New" w:eastAsia="Times New Roman" w:hAnsi="Courier New" w:cs="Courier New"/>
          <w:sz w:val="24"/>
          <w:szCs w:val="24"/>
          <w:lang w:val="es-CL"/>
        </w:rPr>
      </w:pPr>
      <w:r>
        <w:rPr>
          <w:rFonts w:ascii="Courier New" w:eastAsia="Times New Roman" w:hAnsi="Courier New" w:cs="Courier New"/>
          <w:sz w:val="24"/>
          <w:szCs w:val="24"/>
          <w:lang w:val="es-CL"/>
        </w:rPr>
        <w:t>*****</w:t>
      </w:r>
    </w:p>
    <w:p w14:paraId="21D17DDD" w14:textId="77777777" w:rsidR="0073370D" w:rsidRDefault="0073370D" w:rsidP="0073370D">
      <w:pPr>
        <w:widowControl w:val="0"/>
        <w:spacing w:line="276" w:lineRule="auto"/>
        <w:jc w:val="both"/>
        <w:rPr>
          <w:rFonts w:ascii="Courier New" w:eastAsia="Times New Roman" w:hAnsi="Courier New" w:cs="Courier New"/>
          <w:sz w:val="24"/>
          <w:szCs w:val="24"/>
          <w:lang w:val="es-CL"/>
        </w:rPr>
      </w:pPr>
    </w:p>
    <w:p w14:paraId="79615FC3" w14:textId="77777777" w:rsidR="0073370D" w:rsidRDefault="0073370D" w:rsidP="0073370D">
      <w:pPr>
        <w:widowControl w:val="0"/>
        <w:spacing w:line="276" w:lineRule="auto"/>
        <w:jc w:val="both"/>
        <w:rPr>
          <w:rFonts w:ascii="Courier New" w:eastAsia="Times New Roman" w:hAnsi="Courier New" w:cs="Courier New"/>
          <w:sz w:val="24"/>
          <w:szCs w:val="24"/>
          <w:lang w:val="es-ES_tradnl" w:eastAsia="es-ES"/>
        </w:rPr>
      </w:pPr>
    </w:p>
    <w:p w14:paraId="3F7E63E8" w14:textId="77777777" w:rsidR="00D066EE" w:rsidRPr="008676FE" w:rsidRDefault="00EF1C5C" w:rsidP="005E7E7D">
      <w:pPr>
        <w:tabs>
          <w:tab w:val="left" w:pos="1134"/>
        </w:tabs>
        <w:spacing w:line="276" w:lineRule="auto"/>
        <w:ind w:firstLine="1134"/>
        <w:jc w:val="both"/>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4"/>
          <w:lang w:val="es-ES_tradnl" w:eastAsia="es-ES"/>
        </w:rPr>
        <w:br w:type="page"/>
      </w:r>
    </w:p>
    <w:p w14:paraId="6ECB8B4D" w14:textId="5E5AB197" w:rsidR="00CF460D" w:rsidRPr="008676FE" w:rsidRDefault="00F402C7"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Lo que tengo a honra comunicar</w:t>
      </w:r>
      <w:r w:rsidR="00CF460D" w:rsidRPr="008676FE">
        <w:rPr>
          <w:rFonts w:ascii="Courier New" w:eastAsia="Times New Roman" w:hAnsi="Courier New" w:cs="Courier New"/>
          <w:sz w:val="24"/>
          <w:szCs w:val="24"/>
          <w:lang w:val="es-ES_tradnl" w:eastAsia="es-ES"/>
        </w:rPr>
        <w:t xml:space="preserve"> a V.E.</w:t>
      </w:r>
    </w:p>
    <w:p w14:paraId="11AC08E1" w14:textId="77777777" w:rsidR="00F43897" w:rsidRPr="00F43897" w:rsidRDefault="00F43897" w:rsidP="00A32404">
      <w:pPr>
        <w:tabs>
          <w:tab w:val="left" w:pos="2592"/>
        </w:tabs>
        <w:rPr>
          <w:rFonts w:ascii="Courier New" w:eastAsia="Times New Roman" w:hAnsi="Courier New" w:cs="Courier New"/>
          <w:sz w:val="24"/>
          <w:szCs w:val="20"/>
          <w:lang w:val="es-ES_tradnl" w:eastAsia="es-ES"/>
        </w:rPr>
      </w:pPr>
    </w:p>
    <w:p w14:paraId="0FDD559D" w14:textId="77777777" w:rsidR="00F43897" w:rsidRPr="00F43897" w:rsidRDefault="00F43897" w:rsidP="00A32404">
      <w:pPr>
        <w:tabs>
          <w:tab w:val="left" w:pos="2127"/>
          <w:tab w:val="left" w:pos="2410"/>
        </w:tabs>
        <w:rPr>
          <w:rFonts w:ascii="Courier New" w:eastAsia="Times New Roman" w:hAnsi="Courier New" w:cs="Courier New"/>
          <w:sz w:val="24"/>
          <w:szCs w:val="20"/>
          <w:lang w:val="es-ES_tradnl" w:eastAsia="es-ES"/>
        </w:rPr>
      </w:pPr>
    </w:p>
    <w:p w14:paraId="392A3284" w14:textId="77777777" w:rsidR="00F43897" w:rsidRPr="00F43897" w:rsidRDefault="00F43897" w:rsidP="00A32404">
      <w:pPr>
        <w:tabs>
          <w:tab w:val="left" w:pos="2410"/>
          <w:tab w:val="left" w:pos="2552"/>
        </w:tabs>
        <w:jc w:val="both"/>
        <w:rPr>
          <w:rFonts w:ascii="Courier New" w:eastAsia="Times New Roman" w:hAnsi="Courier New" w:cs="Courier New"/>
          <w:sz w:val="24"/>
          <w:szCs w:val="20"/>
          <w:lang w:val="es-ES_tradnl" w:eastAsia="es-ES"/>
        </w:rPr>
      </w:pPr>
    </w:p>
    <w:p w14:paraId="22E0BA90" w14:textId="77777777" w:rsidR="00F43897" w:rsidRPr="00F43897" w:rsidRDefault="00F43897" w:rsidP="00A32404">
      <w:pPr>
        <w:tabs>
          <w:tab w:val="left" w:pos="2410"/>
          <w:tab w:val="left" w:pos="2552"/>
        </w:tabs>
        <w:jc w:val="both"/>
        <w:rPr>
          <w:rFonts w:ascii="Courier New" w:eastAsia="Times New Roman" w:hAnsi="Courier New" w:cs="Courier New"/>
          <w:sz w:val="24"/>
          <w:szCs w:val="20"/>
          <w:lang w:val="es-ES_tradnl" w:eastAsia="es-ES"/>
        </w:rPr>
      </w:pPr>
    </w:p>
    <w:p w14:paraId="2261DA2A" w14:textId="77777777" w:rsidR="00F43897" w:rsidRPr="00F43897" w:rsidRDefault="00F43897" w:rsidP="00A32404">
      <w:pPr>
        <w:jc w:val="both"/>
        <w:rPr>
          <w:rFonts w:ascii="Courier New" w:eastAsia="Times New Roman" w:hAnsi="Courier New" w:cs="Courier New"/>
          <w:sz w:val="24"/>
          <w:szCs w:val="20"/>
          <w:lang w:val="es-ES_tradnl" w:eastAsia="es-ES"/>
        </w:rPr>
      </w:pPr>
    </w:p>
    <w:p w14:paraId="1EFB4B69" w14:textId="77777777" w:rsidR="00F43897" w:rsidRPr="00F43897" w:rsidRDefault="00F43897" w:rsidP="00A32404">
      <w:pPr>
        <w:jc w:val="both"/>
        <w:rPr>
          <w:rFonts w:ascii="Courier New" w:eastAsia="Times New Roman" w:hAnsi="Courier New" w:cs="Courier New"/>
          <w:sz w:val="24"/>
          <w:szCs w:val="20"/>
          <w:lang w:val="es-ES_tradnl" w:eastAsia="es-ES"/>
        </w:rPr>
      </w:pPr>
    </w:p>
    <w:p w14:paraId="2988BFEE" w14:textId="0303F09C" w:rsidR="00F43897" w:rsidRPr="00F43897" w:rsidRDefault="006A6554" w:rsidP="00321874">
      <w:pPr>
        <w:ind w:left="1701"/>
        <w:jc w:val="center"/>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0"/>
          <w:lang w:val="es-ES_tradnl" w:eastAsia="es-ES"/>
        </w:rPr>
        <w:t>KAROL CARIOLA OLIVA</w:t>
      </w:r>
    </w:p>
    <w:p w14:paraId="7E37DD8E" w14:textId="28B5143F" w:rsidR="00F43897" w:rsidRPr="00F43897" w:rsidRDefault="00F43897" w:rsidP="00321874">
      <w:pPr>
        <w:ind w:left="1701"/>
        <w:jc w:val="center"/>
        <w:rPr>
          <w:rFonts w:ascii="Courier New" w:eastAsia="Times New Roman" w:hAnsi="Courier New" w:cs="Courier New"/>
          <w:sz w:val="24"/>
          <w:szCs w:val="24"/>
          <w:lang w:val="es-MX" w:eastAsia="es-ES"/>
        </w:rPr>
      </w:pPr>
      <w:r w:rsidRPr="00F43897">
        <w:rPr>
          <w:rFonts w:ascii="Courier New" w:eastAsia="Times New Roman" w:hAnsi="Courier New" w:cs="Courier New"/>
          <w:sz w:val="24"/>
          <w:szCs w:val="24"/>
          <w:lang w:val="es-MX" w:eastAsia="es-ES"/>
        </w:rPr>
        <w:t>President</w:t>
      </w:r>
      <w:r w:rsidR="006A6554">
        <w:rPr>
          <w:rFonts w:ascii="Courier New" w:eastAsia="Times New Roman" w:hAnsi="Courier New" w:cs="Courier New"/>
          <w:sz w:val="24"/>
          <w:szCs w:val="24"/>
          <w:lang w:val="es-MX" w:eastAsia="es-ES"/>
        </w:rPr>
        <w:t>a</w:t>
      </w:r>
      <w:r w:rsidRPr="00F43897">
        <w:rPr>
          <w:rFonts w:ascii="Courier New" w:eastAsia="Times New Roman" w:hAnsi="Courier New" w:cs="Courier New"/>
          <w:sz w:val="24"/>
          <w:szCs w:val="24"/>
          <w:lang w:val="es-MX" w:eastAsia="es-ES"/>
        </w:rPr>
        <w:t xml:space="preserve"> de la Cámara de Diputados</w:t>
      </w:r>
    </w:p>
    <w:p w14:paraId="403B9775" w14:textId="77777777" w:rsidR="00F43897" w:rsidRPr="00F43897" w:rsidRDefault="00F43897" w:rsidP="00A32404">
      <w:pPr>
        <w:tabs>
          <w:tab w:val="left" w:pos="2592"/>
        </w:tabs>
        <w:rPr>
          <w:rFonts w:ascii="Courier New" w:eastAsia="Times New Roman" w:hAnsi="Courier New" w:cs="Courier New"/>
          <w:sz w:val="24"/>
          <w:szCs w:val="20"/>
          <w:lang w:val="es-ES_tradnl" w:eastAsia="es-ES"/>
        </w:rPr>
      </w:pPr>
    </w:p>
    <w:p w14:paraId="492E3B8B" w14:textId="77777777" w:rsidR="00F43897" w:rsidRPr="00F43897" w:rsidRDefault="00F43897" w:rsidP="00A32404">
      <w:pPr>
        <w:tabs>
          <w:tab w:val="left" w:pos="2592"/>
        </w:tabs>
        <w:rPr>
          <w:rFonts w:ascii="Courier New" w:eastAsia="Times New Roman" w:hAnsi="Courier New" w:cs="Courier New"/>
          <w:sz w:val="24"/>
          <w:szCs w:val="20"/>
          <w:lang w:val="es-ES_tradnl" w:eastAsia="es-ES"/>
        </w:rPr>
      </w:pPr>
    </w:p>
    <w:p w14:paraId="0DAF2DBF" w14:textId="77777777" w:rsidR="00F43897" w:rsidRPr="00F43897" w:rsidRDefault="00F43897" w:rsidP="00A32404">
      <w:pPr>
        <w:tabs>
          <w:tab w:val="left" w:pos="2127"/>
          <w:tab w:val="left" w:pos="2410"/>
        </w:tabs>
        <w:rPr>
          <w:rFonts w:ascii="Courier New" w:eastAsia="Times New Roman" w:hAnsi="Courier New" w:cs="Courier New"/>
          <w:sz w:val="24"/>
          <w:szCs w:val="20"/>
          <w:lang w:val="es-ES_tradnl" w:eastAsia="es-ES"/>
        </w:rPr>
      </w:pPr>
    </w:p>
    <w:p w14:paraId="147AC198" w14:textId="77777777" w:rsidR="00F43897" w:rsidRPr="00F43897" w:rsidRDefault="00F43897" w:rsidP="00A32404">
      <w:pPr>
        <w:tabs>
          <w:tab w:val="left" w:pos="2127"/>
          <w:tab w:val="left" w:pos="2410"/>
        </w:tabs>
        <w:rPr>
          <w:rFonts w:ascii="Courier New" w:eastAsia="Times New Roman" w:hAnsi="Courier New" w:cs="Courier New"/>
          <w:sz w:val="24"/>
          <w:szCs w:val="20"/>
          <w:lang w:val="es-ES_tradnl" w:eastAsia="es-ES"/>
        </w:rPr>
      </w:pPr>
    </w:p>
    <w:p w14:paraId="4461A974" w14:textId="77777777" w:rsidR="00F43897" w:rsidRPr="00F43897" w:rsidRDefault="00F43897" w:rsidP="00A32404">
      <w:pPr>
        <w:jc w:val="both"/>
        <w:rPr>
          <w:rFonts w:ascii="Courier New" w:eastAsia="Times New Roman" w:hAnsi="Courier New" w:cs="Courier New"/>
          <w:sz w:val="24"/>
          <w:szCs w:val="20"/>
          <w:lang w:val="es-ES_tradnl" w:eastAsia="es-ES"/>
        </w:rPr>
      </w:pPr>
    </w:p>
    <w:p w14:paraId="71AE9AAF" w14:textId="77777777" w:rsidR="00F43897" w:rsidRPr="00F43897" w:rsidRDefault="00F43897" w:rsidP="00A32404">
      <w:pPr>
        <w:jc w:val="both"/>
        <w:rPr>
          <w:rFonts w:ascii="Courier New" w:eastAsia="Times New Roman" w:hAnsi="Courier New" w:cs="Courier New"/>
          <w:sz w:val="24"/>
          <w:szCs w:val="20"/>
          <w:lang w:val="es-ES_tradnl" w:eastAsia="es-ES"/>
        </w:rPr>
      </w:pPr>
    </w:p>
    <w:p w14:paraId="527119B8" w14:textId="77777777" w:rsidR="00F43897" w:rsidRPr="00F43897" w:rsidRDefault="00F43897" w:rsidP="00321874">
      <w:pPr>
        <w:tabs>
          <w:tab w:val="left" w:pos="2268"/>
        </w:tabs>
        <w:ind w:right="1468"/>
        <w:jc w:val="center"/>
        <w:rPr>
          <w:rFonts w:ascii="Courier New" w:eastAsia="Times New Roman" w:hAnsi="Courier New" w:cs="Courier New"/>
          <w:sz w:val="24"/>
          <w:szCs w:val="24"/>
          <w:lang w:val="es-ES_tradnl" w:eastAsia="es-ES"/>
        </w:rPr>
      </w:pPr>
      <w:r w:rsidRPr="00F43897">
        <w:rPr>
          <w:rFonts w:ascii="Courier New" w:eastAsia="Times New Roman" w:hAnsi="Courier New" w:cs="Courier New"/>
          <w:sz w:val="24"/>
          <w:szCs w:val="24"/>
          <w:lang w:val="es-ES_tradnl" w:eastAsia="es-ES"/>
        </w:rPr>
        <w:t>MIGUEL LANDEROS PERKIĆ</w:t>
      </w:r>
    </w:p>
    <w:p w14:paraId="57F48248" w14:textId="77777777" w:rsidR="00CF460D" w:rsidRPr="008676FE" w:rsidRDefault="00F43897" w:rsidP="00321874">
      <w:pPr>
        <w:tabs>
          <w:tab w:val="left" w:pos="2268"/>
        </w:tabs>
        <w:ind w:right="1468"/>
        <w:jc w:val="center"/>
        <w:rPr>
          <w:rFonts w:ascii="Courier New" w:eastAsia="Times New Roman" w:hAnsi="Courier New" w:cs="Courier New"/>
          <w:sz w:val="24"/>
          <w:szCs w:val="24"/>
          <w:lang w:val="es-ES_tradnl" w:eastAsia="es-ES"/>
        </w:rPr>
      </w:pPr>
      <w:r w:rsidRPr="00F43897">
        <w:rPr>
          <w:rFonts w:ascii="Courier New" w:eastAsia="Times New Roman" w:hAnsi="Courier New" w:cs="Courier New"/>
          <w:spacing w:val="-20"/>
          <w:sz w:val="24"/>
          <w:szCs w:val="24"/>
          <w:lang w:val="es-ES_tradnl" w:eastAsia="es-ES"/>
        </w:rPr>
        <w:t>Secretario General de la Cámara de Diputados</w:t>
      </w:r>
    </w:p>
    <w:sectPr w:rsidR="00CF460D" w:rsidRPr="008676FE" w:rsidSect="00572621">
      <w:headerReference w:type="default" r:id="rId12"/>
      <w:headerReference w:type="first" r:id="rId13"/>
      <w:pgSz w:w="12242" w:h="18722" w:code="141"/>
      <w:pgMar w:top="2410"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5ADA" w14:textId="77777777" w:rsidR="001A53B0" w:rsidRDefault="001A53B0" w:rsidP="000E5040">
      <w:r>
        <w:separator/>
      </w:r>
    </w:p>
  </w:endnote>
  <w:endnote w:type="continuationSeparator" w:id="0">
    <w:p w14:paraId="73EC02A6" w14:textId="77777777" w:rsidR="001A53B0" w:rsidRDefault="001A53B0" w:rsidP="000E5040">
      <w:r>
        <w:continuationSeparator/>
      </w:r>
    </w:p>
  </w:endnote>
  <w:endnote w:type="continuationNotice" w:id="1">
    <w:p w14:paraId="55F8C9D6" w14:textId="77777777" w:rsidR="001A53B0" w:rsidRDefault="001A5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D77D" w14:textId="77777777" w:rsidR="001A53B0" w:rsidRDefault="001A53B0" w:rsidP="000E5040">
      <w:r>
        <w:separator/>
      </w:r>
    </w:p>
  </w:footnote>
  <w:footnote w:type="continuationSeparator" w:id="0">
    <w:p w14:paraId="3464ED19" w14:textId="77777777" w:rsidR="001A53B0" w:rsidRDefault="001A53B0" w:rsidP="000E5040">
      <w:r>
        <w:continuationSeparator/>
      </w:r>
    </w:p>
  </w:footnote>
  <w:footnote w:type="continuationNotice" w:id="1">
    <w:p w14:paraId="5E88CD38" w14:textId="77777777" w:rsidR="001A53B0" w:rsidRDefault="001A5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388A" w14:textId="77777777" w:rsidR="00431642" w:rsidRDefault="00431642">
    <w:pPr>
      <w:pStyle w:val="Encabezado"/>
      <w:jc w:val="right"/>
    </w:pPr>
    <w:r>
      <w:fldChar w:fldCharType="begin"/>
    </w:r>
    <w:r>
      <w:instrText>PAGE   \* MERGEFORMAT</w:instrText>
    </w:r>
    <w:r>
      <w:fldChar w:fldCharType="separate"/>
    </w:r>
    <w:r w:rsidR="00C930CC">
      <w:rPr>
        <w:noProof/>
      </w:rPr>
      <w:t>21</w:t>
    </w:r>
    <w:r>
      <w:fldChar w:fldCharType="end"/>
    </w:r>
  </w:p>
  <w:p w14:paraId="6F58E01E" w14:textId="77777777" w:rsidR="000E5040" w:rsidRDefault="00000000">
    <w:pPr>
      <w:pStyle w:val="Encabezado"/>
    </w:pPr>
    <w:r>
      <w:rPr>
        <w:noProof/>
        <w:lang w:val="es-CL" w:eastAsia="es-CL"/>
      </w:rPr>
      <w:pict w14:anchorId="3C28B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1029" w14:textId="77777777" w:rsidR="00572621" w:rsidRDefault="00000000">
    <w:pPr>
      <w:pStyle w:val="Encabezado"/>
    </w:pPr>
    <w:r>
      <w:rPr>
        <w:noProof/>
        <w:lang w:val="es-CL" w:eastAsia="es-CL"/>
      </w:rPr>
      <w:pict w14:anchorId="0001B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4.9pt;margin-top:-8.35pt;width:72.15pt;height:1in;z-index:2;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2D99"/>
    <w:rsid w:val="000078F1"/>
    <w:rsid w:val="00017598"/>
    <w:rsid w:val="00017C15"/>
    <w:rsid w:val="0002192F"/>
    <w:rsid w:val="00021CE8"/>
    <w:rsid w:val="000224AF"/>
    <w:rsid w:val="000238BE"/>
    <w:rsid w:val="00024776"/>
    <w:rsid w:val="00024B0D"/>
    <w:rsid w:val="00026E74"/>
    <w:rsid w:val="00033101"/>
    <w:rsid w:val="00033B18"/>
    <w:rsid w:val="000448BB"/>
    <w:rsid w:val="00044FAF"/>
    <w:rsid w:val="00046434"/>
    <w:rsid w:val="00047C98"/>
    <w:rsid w:val="000602D7"/>
    <w:rsid w:val="000616A3"/>
    <w:rsid w:val="00063CF1"/>
    <w:rsid w:val="00066161"/>
    <w:rsid w:val="000667E6"/>
    <w:rsid w:val="00077B03"/>
    <w:rsid w:val="000821EE"/>
    <w:rsid w:val="00082889"/>
    <w:rsid w:val="000919D3"/>
    <w:rsid w:val="00091FDE"/>
    <w:rsid w:val="00092A12"/>
    <w:rsid w:val="0009309A"/>
    <w:rsid w:val="000966DD"/>
    <w:rsid w:val="000973A9"/>
    <w:rsid w:val="000A7E2E"/>
    <w:rsid w:val="000B27D5"/>
    <w:rsid w:val="000B307D"/>
    <w:rsid w:val="000B5AFA"/>
    <w:rsid w:val="000B7D80"/>
    <w:rsid w:val="000C305D"/>
    <w:rsid w:val="000D0B2F"/>
    <w:rsid w:val="000D6FEC"/>
    <w:rsid w:val="000E4944"/>
    <w:rsid w:val="000E5040"/>
    <w:rsid w:val="000E653B"/>
    <w:rsid w:val="000F2476"/>
    <w:rsid w:val="00103DA5"/>
    <w:rsid w:val="0011412E"/>
    <w:rsid w:val="001200E9"/>
    <w:rsid w:val="0012359E"/>
    <w:rsid w:val="00125390"/>
    <w:rsid w:val="001317AA"/>
    <w:rsid w:val="00134699"/>
    <w:rsid w:val="00136991"/>
    <w:rsid w:val="00136ED2"/>
    <w:rsid w:val="00141E7F"/>
    <w:rsid w:val="00144176"/>
    <w:rsid w:val="00156D9D"/>
    <w:rsid w:val="00162A93"/>
    <w:rsid w:val="00164580"/>
    <w:rsid w:val="001663C4"/>
    <w:rsid w:val="00171E57"/>
    <w:rsid w:val="00181134"/>
    <w:rsid w:val="00185C5D"/>
    <w:rsid w:val="00185E27"/>
    <w:rsid w:val="00187841"/>
    <w:rsid w:val="00194E5D"/>
    <w:rsid w:val="0019786F"/>
    <w:rsid w:val="001A2017"/>
    <w:rsid w:val="001A215F"/>
    <w:rsid w:val="001A53B0"/>
    <w:rsid w:val="001A627F"/>
    <w:rsid w:val="001B2A80"/>
    <w:rsid w:val="001C111F"/>
    <w:rsid w:val="001C6187"/>
    <w:rsid w:val="001D147F"/>
    <w:rsid w:val="001D169F"/>
    <w:rsid w:val="001D16AE"/>
    <w:rsid w:val="001D2664"/>
    <w:rsid w:val="001D352D"/>
    <w:rsid w:val="001D52A5"/>
    <w:rsid w:val="001E1B89"/>
    <w:rsid w:val="001E7DE1"/>
    <w:rsid w:val="001F00B9"/>
    <w:rsid w:val="001F2113"/>
    <w:rsid w:val="001F6D46"/>
    <w:rsid w:val="002045BE"/>
    <w:rsid w:val="00206026"/>
    <w:rsid w:val="002076F8"/>
    <w:rsid w:val="0021307A"/>
    <w:rsid w:val="00223625"/>
    <w:rsid w:val="00226403"/>
    <w:rsid w:val="00233230"/>
    <w:rsid w:val="00233ECE"/>
    <w:rsid w:val="00235506"/>
    <w:rsid w:val="0024124D"/>
    <w:rsid w:val="00243393"/>
    <w:rsid w:val="00245920"/>
    <w:rsid w:val="00246B87"/>
    <w:rsid w:val="002479CE"/>
    <w:rsid w:val="002500FD"/>
    <w:rsid w:val="002501C6"/>
    <w:rsid w:val="0025254B"/>
    <w:rsid w:val="00252D66"/>
    <w:rsid w:val="00265FC8"/>
    <w:rsid w:val="00271CDF"/>
    <w:rsid w:val="002830EE"/>
    <w:rsid w:val="0028629F"/>
    <w:rsid w:val="00291859"/>
    <w:rsid w:val="00295A9E"/>
    <w:rsid w:val="0029696D"/>
    <w:rsid w:val="002A0BBE"/>
    <w:rsid w:val="002A2022"/>
    <w:rsid w:val="002A48FB"/>
    <w:rsid w:val="002B3990"/>
    <w:rsid w:val="002C29DC"/>
    <w:rsid w:val="002C2AFC"/>
    <w:rsid w:val="002C2DAA"/>
    <w:rsid w:val="002C5D29"/>
    <w:rsid w:val="002D0751"/>
    <w:rsid w:val="002D296F"/>
    <w:rsid w:val="002E73A8"/>
    <w:rsid w:val="002F1CA9"/>
    <w:rsid w:val="002F3434"/>
    <w:rsid w:val="0030140D"/>
    <w:rsid w:val="00302832"/>
    <w:rsid w:val="00302BD8"/>
    <w:rsid w:val="003040CC"/>
    <w:rsid w:val="003060CB"/>
    <w:rsid w:val="00306841"/>
    <w:rsid w:val="003127C4"/>
    <w:rsid w:val="00313DA7"/>
    <w:rsid w:val="003156A6"/>
    <w:rsid w:val="00320002"/>
    <w:rsid w:val="00321874"/>
    <w:rsid w:val="00323879"/>
    <w:rsid w:val="00332ED0"/>
    <w:rsid w:val="00334449"/>
    <w:rsid w:val="00336EBC"/>
    <w:rsid w:val="00340B8C"/>
    <w:rsid w:val="00341460"/>
    <w:rsid w:val="0034328C"/>
    <w:rsid w:val="00344D37"/>
    <w:rsid w:val="00346350"/>
    <w:rsid w:val="003513F6"/>
    <w:rsid w:val="0035337F"/>
    <w:rsid w:val="00354DA3"/>
    <w:rsid w:val="0035590F"/>
    <w:rsid w:val="003602BC"/>
    <w:rsid w:val="00363068"/>
    <w:rsid w:val="00364FE1"/>
    <w:rsid w:val="00371E79"/>
    <w:rsid w:val="00372268"/>
    <w:rsid w:val="003723D0"/>
    <w:rsid w:val="00375D05"/>
    <w:rsid w:val="003808D3"/>
    <w:rsid w:val="0038324B"/>
    <w:rsid w:val="00384A19"/>
    <w:rsid w:val="00386FC4"/>
    <w:rsid w:val="00387661"/>
    <w:rsid w:val="003917DB"/>
    <w:rsid w:val="00397E4C"/>
    <w:rsid w:val="003A042F"/>
    <w:rsid w:val="003A0763"/>
    <w:rsid w:val="003A302A"/>
    <w:rsid w:val="003A5017"/>
    <w:rsid w:val="003A5A13"/>
    <w:rsid w:val="003B542E"/>
    <w:rsid w:val="003C22DC"/>
    <w:rsid w:val="003C7297"/>
    <w:rsid w:val="003D233A"/>
    <w:rsid w:val="003D26B0"/>
    <w:rsid w:val="003D450F"/>
    <w:rsid w:val="003D5A4F"/>
    <w:rsid w:val="003D66B3"/>
    <w:rsid w:val="003D7407"/>
    <w:rsid w:val="003E3999"/>
    <w:rsid w:val="003E66DF"/>
    <w:rsid w:val="003E7855"/>
    <w:rsid w:val="003F36D2"/>
    <w:rsid w:val="003F4E6A"/>
    <w:rsid w:val="003F50E4"/>
    <w:rsid w:val="003F61BF"/>
    <w:rsid w:val="00405A36"/>
    <w:rsid w:val="00410190"/>
    <w:rsid w:val="00411D45"/>
    <w:rsid w:val="00411E8A"/>
    <w:rsid w:val="00414CB5"/>
    <w:rsid w:val="00423908"/>
    <w:rsid w:val="00430AF5"/>
    <w:rsid w:val="00431642"/>
    <w:rsid w:val="0043375B"/>
    <w:rsid w:val="00433A16"/>
    <w:rsid w:val="00441FAB"/>
    <w:rsid w:val="00444453"/>
    <w:rsid w:val="00445768"/>
    <w:rsid w:val="004521CC"/>
    <w:rsid w:val="00457772"/>
    <w:rsid w:val="004656CD"/>
    <w:rsid w:val="004676CB"/>
    <w:rsid w:val="00475BBC"/>
    <w:rsid w:val="00476891"/>
    <w:rsid w:val="004772F2"/>
    <w:rsid w:val="00480394"/>
    <w:rsid w:val="00480514"/>
    <w:rsid w:val="00481A51"/>
    <w:rsid w:val="00482A4F"/>
    <w:rsid w:val="00487DE0"/>
    <w:rsid w:val="00490BF1"/>
    <w:rsid w:val="004919C1"/>
    <w:rsid w:val="00492364"/>
    <w:rsid w:val="004925AB"/>
    <w:rsid w:val="00494BDE"/>
    <w:rsid w:val="004A4C45"/>
    <w:rsid w:val="004A6939"/>
    <w:rsid w:val="004B231A"/>
    <w:rsid w:val="004B3A50"/>
    <w:rsid w:val="004B7613"/>
    <w:rsid w:val="004B7736"/>
    <w:rsid w:val="004C05DD"/>
    <w:rsid w:val="004C0DD2"/>
    <w:rsid w:val="004C16DD"/>
    <w:rsid w:val="004C46D1"/>
    <w:rsid w:val="004C6DB6"/>
    <w:rsid w:val="004D2EF7"/>
    <w:rsid w:val="004D5FC1"/>
    <w:rsid w:val="004D6235"/>
    <w:rsid w:val="004E15C2"/>
    <w:rsid w:val="004E2CC0"/>
    <w:rsid w:val="004E2CEE"/>
    <w:rsid w:val="004F36A0"/>
    <w:rsid w:val="004F4101"/>
    <w:rsid w:val="004F4CB6"/>
    <w:rsid w:val="004F52FA"/>
    <w:rsid w:val="004F7F16"/>
    <w:rsid w:val="005003EC"/>
    <w:rsid w:val="005026E4"/>
    <w:rsid w:val="005040C4"/>
    <w:rsid w:val="00507945"/>
    <w:rsid w:val="00512217"/>
    <w:rsid w:val="005124E4"/>
    <w:rsid w:val="005165D8"/>
    <w:rsid w:val="00516C0A"/>
    <w:rsid w:val="0052112C"/>
    <w:rsid w:val="005230AD"/>
    <w:rsid w:val="00524276"/>
    <w:rsid w:val="00531197"/>
    <w:rsid w:val="00535C83"/>
    <w:rsid w:val="005363FC"/>
    <w:rsid w:val="005407D1"/>
    <w:rsid w:val="00545CF4"/>
    <w:rsid w:val="00554B00"/>
    <w:rsid w:val="005622B8"/>
    <w:rsid w:val="00572621"/>
    <w:rsid w:val="00573ECC"/>
    <w:rsid w:val="00575877"/>
    <w:rsid w:val="005860A7"/>
    <w:rsid w:val="005865F0"/>
    <w:rsid w:val="00592193"/>
    <w:rsid w:val="0059465A"/>
    <w:rsid w:val="00595914"/>
    <w:rsid w:val="005965F2"/>
    <w:rsid w:val="005A5546"/>
    <w:rsid w:val="005A6F05"/>
    <w:rsid w:val="005B4243"/>
    <w:rsid w:val="005B4561"/>
    <w:rsid w:val="005B4CB4"/>
    <w:rsid w:val="005B5971"/>
    <w:rsid w:val="005B698F"/>
    <w:rsid w:val="005C1A87"/>
    <w:rsid w:val="005C3DA8"/>
    <w:rsid w:val="005C3FAE"/>
    <w:rsid w:val="005C499B"/>
    <w:rsid w:val="005C72A7"/>
    <w:rsid w:val="005D115A"/>
    <w:rsid w:val="005D13DF"/>
    <w:rsid w:val="005D77DD"/>
    <w:rsid w:val="005E035B"/>
    <w:rsid w:val="005E4071"/>
    <w:rsid w:val="005E7E7D"/>
    <w:rsid w:val="005F279A"/>
    <w:rsid w:val="005F32D8"/>
    <w:rsid w:val="005F5BBA"/>
    <w:rsid w:val="005F71B6"/>
    <w:rsid w:val="005F7576"/>
    <w:rsid w:val="00604131"/>
    <w:rsid w:val="00610DC2"/>
    <w:rsid w:val="00616643"/>
    <w:rsid w:val="00622F76"/>
    <w:rsid w:val="00626111"/>
    <w:rsid w:val="006273AD"/>
    <w:rsid w:val="00627C58"/>
    <w:rsid w:val="00633085"/>
    <w:rsid w:val="00634A6C"/>
    <w:rsid w:val="006356D0"/>
    <w:rsid w:val="006371FD"/>
    <w:rsid w:val="00644622"/>
    <w:rsid w:val="006500FB"/>
    <w:rsid w:val="00651FF5"/>
    <w:rsid w:val="00652570"/>
    <w:rsid w:val="00652668"/>
    <w:rsid w:val="00654756"/>
    <w:rsid w:val="00660670"/>
    <w:rsid w:val="00664199"/>
    <w:rsid w:val="006669EB"/>
    <w:rsid w:val="006675A1"/>
    <w:rsid w:val="00672230"/>
    <w:rsid w:val="00673E0F"/>
    <w:rsid w:val="006823E2"/>
    <w:rsid w:val="00682E75"/>
    <w:rsid w:val="00687101"/>
    <w:rsid w:val="00687E97"/>
    <w:rsid w:val="00695535"/>
    <w:rsid w:val="006958E9"/>
    <w:rsid w:val="006A1817"/>
    <w:rsid w:val="006A6554"/>
    <w:rsid w:val="006B0126"/>
    <w:rsid w:val="006B2C9B"/>
    <w:rsid w:val="006B401C"/>
    <w:rsid w:val="006C07E3"/>
    <w:rsid w:val="006C18DB"/>
    <w:rsid w:val="006C2742"/>
    <w:rsid w:val="006C6A79"/>
    <w:rsid w:val="006C76DF"/>
    <w:rsid w:val="006D1435"/>
    <w:rsid w:val="006D5411"/>
    <w:rsid w:val="006E0F28"/>
    <w:rsid w:val="006E3C4D"/>
    <w:rsid w:val="006E6C50"/>
    <w:rsid w:val="006E7AEF"/>
    <w:rsid w:val="006F0FCB"/>
    <w:rsid w:val="00703C63"/>
    <w:rsid w:val="00704196"/>
    <w:rsid w:val="00704D8A"/>
    <w:rsid w:val="007079E5"/>
    <w:rsid w:val="00712D35"/>
    <w:rsid w:val="00716A37"/>
    <w:rsid w:val="00722585"/>
    <w:rsid w:val="00724AD5"/>
    <w:rsid w:val="0072547E"/>
    <w:rsid w:val="0073052D"/>
    <w:rsid w:val="007323AE"/>
    <w:rsid w:val="0073370D"/>
    <w:rsid w:val="00744AFE"/>
    <w:rsid w:val="00751A8D"/>
    <w:rsid w:val="00751CF4"/>
    <w:rsid w:val="0075221B"/>
    <w:rsid w:val="00754E94"/>
    <w:rsid w:val="00761503"/>
    <w:rsid w:val="00762C10"/>
    <w:rsid w:val="00763C20"/>
    <w:rsid w:val="007665AF"/>
    <w:rsid w:val="007804B0"/>
    <w:rsid w:val="00783A25"/>
    <w:rsid w:val="007917B3"/>
    <w:rsid w:val="007927E0"/>
    <w:rsid w:val="007A166B"/>
    <w:rsid w:val="007A2946"/>
    <w:rsid w:val="007A3ECD"/>
    <w:rsid w:val="007A6088"/>
    <w:rsid w:val="007B5863"/>
    <w:rsid w:val="007B7EED"/>
    <w:rsid w:val="007C6893"/>
    <w:rsid w:val="007D07AD"/>
    <w:rsid w:val="007D405C"/>
    <w:rsid w:val="007E0A31"/>
    <w:rsid w:val="007E5343"/>
    <w:rsid w:val="007E6615"/>
    <w:rsid w:val="007E6B72"/>
    <w:rsid w:val="007F23E4"/>
    <w:rsid w:val="007F5CAD"/>
    <w:rsid w:val="007F7B98"/>
    <w:rsid w:val="00801ADC"/>
    <w:rsid w:val="008024ED"/>
    <w:rsid w:val="0080683A"/>
    <w:rsid w:val="00807D83"/>
    <w:rsid w:val="00810967"/>
    <w:rsid w:val="00815D16"/>
    <w:rsid w:val="008255DE"/>
    <w:rsid w:val="00827827"/>
    <w:rsid w:val="00834675"/>
    <w:rsid w:val="0083670D"/>
    <w:rsid w:val="00844AF0"/>
    <w:rsid w:val="00844FCB"/>
    <w:rsid w:val="00854F45"/>
    <w:rsid w:val="0086129E"/>
    <w:rsid w:val="008676FE"/>
    <w:rsid w:val="00874F7B"/>
    <w:rsid w:val="00875666"/>
    <w:rsid w:val="008854B9"/>
    <w:rsid w:val="00887F1C"/>
    <w:rsid w:val="008934CD"/>
    <w:rsid w:val="00895D93"/>
    <w:rsid w:val="00896FCE"/>
    <w:rsid w:val="008A282B"/>
    <w:rsid w:val="008A4B84"/>
    <w:rsid w:val="008A4D1E"/>
    <w:rsid w:val="008B12B3"/>
    <w:rsid w:val="008B4E58"/>
    <w:rsid w:val="008B677B"/>
    <w:rsid w:val="008B718E"/>
    <w:rsid w:val="008B7B08"/>
    <w:rsid w:val="008B7B88"/>
    <w:rsid w:val="008C1C87"/>
    <w:rsid w:val="008C25AF"/>
    <w:rsid w:val="008C2EF6"/>
    <w:rsid w:val="008C4BE2"/>
    <w:rsid w:val="008C5D79"/>
    <w:rsid w:val="008D3FA3"/>
    <w:rsid w:val="008D4847"/>
    <w:rsid w:val="008D6206"/>
    <w:rsid w:val="008D6F1D"/>
    <w:rsid w:val="008D74A9"/>
    <w:rsid w:val="008D75D3"/>
    <w:rsid w:val="008E19F8"/>
    <w:rsid w:val="008F0AAC"/>
    <w:rsid w:val="008F214E"/>
    <w:rsid w:val="008F56FD"/>
    <w:rsid w:val="00902185"/>
    <w:rsid w:val="00902AB7"/>
    <w:rsid w:val="00903BE2"/>
    <w:rsid w:val="00903EBC"/>
    <w:rsid w:val="00910687"/>
    <w:rsid w:val="00925761"/>
    <w:rsid w:val="0093250B"/>
    <w:rsid w:val="00942A1B"/>
    <w:rsid w:val="00943CFE"/>
    <w:rsid w:val="00944194"/>
    <w:rsid w:val="00947CD3"/>
    <w:rsid w:val="0096163C"/>
    <w:rsid w:val="00964273"/>
    <w:rsid w:val="00965341"/>
    <w:rsid w:val="0096651F"/>
    <w:rsid w:val="0096665D"/>
    <w:rsid w:val="00966A97"/>
    <w:rsid w:val="009670E7"/>
    <w:rsid w:val="0097121B"/>
    <w:rsid w:val="00972F1B"/>
    <w:rsid w:val="00973E19"/>
    <w:rsid w:val="00975350"/>
    <w:rsid w:val="00977371"/>
    <w:rsid w:val="00984F4D"/>
    <w:rsid w:val="00985451"/>
    <w:rsid w:val="009915CE"/>
    <w:rsid w:val="00994FE9"/>
    <w:rsid w:val="00996853"/>
    <w:rsid w:val="009A1C7A"/>
    <w:rsid w:val="009A29B8"/>
    <w:rsid w:val="009B0639"/>
    <w:rsid w:val="009B3FAB"/>
    <w:rsid w:val="009B5428"/>
    <w:rsid w:val="009B6B14"/>
    <w:rsid w:val="009B7CD9"/>
    <w:rsid w:val="009C0186"/>
    <w:rsid w:val="009C0ACA"/>
    <w:rsid w:val="009C6AF4"/>
    <w:rsid w:val="009C6E9A"/>
    <w:rsid w:val="009D0012"/>
    <w:rsid w:val="009D4600"/>
    <w:rsid w:val="009E1F6D"/>
    <w:rsid w:val="009E35A2"/>
    <w:rsid w:val="009E61A2"/>
    <w:rsid w:val="009E7037"/>
    <w:rsid w:val="009F62F8"/>
    <w:rsid w:val="009F71BF"/>
    <w:rsid w:val="00A00888"/>
    <w:rsid w:val="00A03FE5"/>
    <w:rsid w:val="00A055A3"/>
    <w:rsid w:val="00A12E05"/>
    <w:rsid w:val="00A17731"/>
    <w:rsid w:val="00A24C1F"/>
    <w:rsid w:val="00A2616A"/>
    <w:rsid w:val="00A32404"/>
    <w:rsid w:val="00A47C2C"/>
    <w:rsid w:val="00A564A9"/>
    <w:rsid w:val="00A66DA9"/>
    <w:rsid w:val="00A66E3B"/>
    <w:rsid w:val="00A66F47"/>
    <w:rsid w:val="00A76FB9"/>
    <w:rsid w:val="00A81D9A"/>
    <w:rsid w:val="00A82BD8"/>
    <w:rsid w:val="00A83D2D"/>
    <w:rsid w:val="00A851D0"/>
    <w:rsid w:val="00A91485"/>
    <w:rsid w:val="00A949E5"/>
    <w:rsid w:val="00A96BA1"/>
    <w:rsid w:val="00AA2212"/>
    <w:rsid w:val="00AA756F"/>
    <w:rsid w:val="00AB162F"/>
    <w:rsid w:val="00AB22D9"/>
    <w:rsid w:val="00AB31CF"/>
    <w:rsid w:val="00AB3602"/>
    <w:rsid w:val="00AB7881"/>
    <w:rsid w:val="00AC54E1"/>
    <w:rsid w:val="00AC7117"/>
    <w:rsid w:val="00AD0FC3"/>
    <w:rsid w:val="00AD23BE"/>
    <w:rsid w:val="00AE1400"/>
    <w:rsid w:val="00AE303C"/>
    <w:rsid w:val="00AF2A53"/>
    <w:rsid w:val="00AF6DBC"/>
    <w:rsid w:val="00B010AE"/>
    <w:rsid w:val="00B01D79"/>
    <w:rsid w:val="00B07BDD"/>
    <w:rsid w:val="00B12402"/>
    <w:rsid w:val="00B1523D"/>
    <w:rsid w:val="00B1584A"/>
    <w:rsid w:val="00B27A98"/>
    <w:rsid w:val="00B325AE"/>
    <w:rsid w:val="00B32D57"/>
    <w:rsid w:val="00B33006"/>
    <w:rsid w:val="00B33B52"/>
    <w:rsid w:val="00B379F1"/>
    <w:rsid w:val="00B41489"/>
    <w:rsid w:val="00B423B9"/>
    <w:rsid w:val="00B4392D"/>
    <w:rsid w:val="00B4544E"/>
    <w:rsid w:val="00B45EFC"/>
    <w:rsid w:val="00B46589"/>
    <w:rsid w:val="00B46844"/>
    <w:rsid w:val="00B4796A"/>
    <w:rsid w:val="00B506AE"/>
    <w:rsid w:val="00B623F6"/>
    <w:rsid w:val="00B66A31"/>
    <w:rsid w:val="00B67E3D"/>
    <w:rsid w:val="00B749AA"/>
    <w:rsid w:val="00B82BED"/>
    <w:rsid w:val="00B84126"/>
    <w:rsid w:val="00B91D0D"/>
    <w:rsid w:val="00B95654"/>
    <w:rsid w:val="00B9699D"/>
    <w:rsid w:val="00BA3630"/>
    <w:rsid w:val="00BA722B"/>
    <w:rsid w:val="00BA7D1D"/>
    <w:rsid w:val="00BB0F8B"/>
    <w:rsid w:val="00BB46D8"/>
    <w:rsid w:val="00BB56C2"/>
    <w:rsid w:val="00BB58D2"/>
    <w:rsid w:val="00BB59D7"/>
    <w:rsid w:val="00BB6788"/>
    <w:rsid w:val="00BC7D1D"/>
    <w:rsid w:val="00BD0B03"/>
    <w:rsid w:val="00BD6F6A"/>
    <w:rsid w:val="00BD757A"/>
    <w:rsid w:val="00BD7A1B"/>
    <w:rsid w:val="00BD7FF1"/>
    <w:rsid w:val="00BE423B"/>
    <w:rsid w:val="00BF1210"/>
    <w:rsid w:val="00BF2D9E"/>
    <w:rsid w:val="00BF485F"/>
    <w:rsid w:val="00BF7161"/>
    <w:rsid w:val="00BF7EB4"/>
    <w:rsid w:val="00C0126C"/>
    <w:rsid w:val="00C0283F"/>
    <w:rsid w:val="00C06119"/>
    <w:rsid w:val="00C13517"/>
    <w:rsid w:val="00C22C8E"/>
    <w:rsid w:val="00C23ED3"/>
    <w:rsid w:val="00C24140"/>
    <w:rsid w:val="00C24F9C"/>
    <w:rsid w:val="00C33A32"/>
    <w:rsid w:val="00C33D8A"/>
    <w:rsid w:val="00C340F8"/>
    <w:rsid w:val="00C35254"/>
    <w:rsid w:val="00C40044"/>
    <w:rsid w:val="00C52453"/>
    <w:rsid w:val="00C55711"/>
    <w:rsid w:val="00C61FBC"/>
    <w:rsid w:val="00C66BF8"/>
    <w:rsid w:val="00C671CF"/>
    <w:rsid w:val="00C70E56"/>
    <w:rsid w:val="00C71440"/>
    <w:rsid w:val="00C71F54"/>
    <w:rsid w:val="00C72C61"/>
    <w:rsid w:val="00C82D2B"/>
    <w:rsid w:val="00C8469E"/>
    <w:rsid w:val="00C84F23"/>
    <w:rsid w:val="00C85C99"/>
    <w:rsid w:val="00C86CBA"/>
    <w:rsid w:val="00C911EA"/>
    <w:rsid w:val="00C930CC"/>
    <w:rsid w:val="00C9311F"/>
    <w:rsid w:val="00C9706D"/>
    <w:rsid w:val="00CA1479"/>
    <w:rsid w:val="00CA20C4"/>
    <w:rsid w:val="00CA2B0F"/>
    <w:rsid w:val="00CA3F77"/>
    <w:rsid w:val="00CA4EB8"/>
    <w:rsid w:val="00CB2C1F"/>
    <w:rsid w:val="00CC274A"/>
    <w:rsid w:val="00CD18CB"/>
    <w:rsid w:val="00CD1B06"/>
    <w:rsid w:val="00CD244C"/>
    <w:rsid w:val="00CD6BB3"/>
    <w:rsid w:val="00CE1AFC"/>
    <w:rsid w:val="00CE426B"/>
    <w:rsid w:val="00CE5DC2"/>
    <w:rsid w:val="00CE70B0"/>
    <w:rsid w:val="00CE7BF2"/>
    <w:rsid w:val="00CF460D"/>
    <w:rsid w:val="00CF4AE1"/>
    <w:rsid w:val="00CF7D4C"/>
    <w:rsid w:val="00D01ABB"/>
    <w:rsid w:val="00D066EE"/>
    <w:rsid w:val="00D06FAD"/>
    <w:rsid w:val="00D12D59"/>
    <w:rsid w:val="00D134F9"/>
    <w:rsid w:val="00D15178"/>
    <w:rsid w:val="00D15D71"/>
    <w:rsid w:val="00D16414"/>
    <w:rsid w:val="00D30172"/>
    <w:rsid w:val="00D31104"/>
    <w:rsid w:val="00D3528C"/>
    <w:rsid w:val="00D35C4A"/>
    <w:rsid w:val="00D42BC8"/>
    <w:rsid w:val="00D454C3"/>
    <w:rsid w:val="00D50B24"/>
    <w:rsid w:val="00D50BF8"/>
    <w:rsid w:val="00D543F3"/>
    <w:rsid w:val="00D570F3"/>
    <w:rsid w:val="00D57250"/>
    <w:rsid w:val="00D60F69"/>
    <w:rsid w:val="00D62A6A"/>
    <w:rsid w:val="00D645FC"/>
    <w:rsid w:val="00D656E5"/>
    <w:rsid w:val="00D671AD"/>
    <w:rsid w:val="00D70380"/>
    <w:rsid w:val="00D71FCC"/>
    <w:rsid w:val="00D9031C"/>
    <w:rsid w:val="00D94D97"/>
    <w:rsid w:val="00D95DAF"/>
    <w:rsid w:val="00D96462"/>
    <w:rsid w:val="00D968FD"/>
    <w:rsid w:val="00DA52D8"/>
    <w:rsid w:val="00DA56E2"/>
    <w:rsid w:val="00DB0440"/>
    <w:rsid w:val="00DB23BF"/>
    <w:rsid w:val="00DB775E"/>
    <w:rsid w:val="00DB7DA8"/>
    <w:rsid w:val="00DC048C"/>
    <w:rsid w:val="00DC3895"/>
    <w:rsid w:val="00DC3B3F"/>
    <w:rsid w:val="00DC5085"/>
    <w:rsid w:val="00DC57FA"/>
    <w:rsid w:val="00DD61AA"/>
    <w:rsid w:val="00DE4CF9"/>
    <w:rsid w:val="00DE5456"/>
    <w:rsid w:val="00DE5A31"/>
    <w:rsid w:val="00DE5AE4"/>
    <w:rsid w:val="00DE7CEE"/>
    <w:rsid w:val="00DF074E"/>
    <w:rsid w:val="00DF128F"/>
    <w:rsid w:val="00DF291C"/>
    <w:rsid w:val="00DF37E3"/>
    <w:rsid w:val="00DF7BE7"/>
    <w:rsid w:val="00E04CDF"/>
    <w:rsid w:val="00E07D5D"/>
    <w:rsid w:val="00E159E7"/>
    <w:rsid w:val="00E1694B"/>
    <w:rsid w:val="00E204F4"/>
    <w:rsid w:val="00E21D38"/>
    <w:rsid w:val="00E239A0"/>
    <w:rsid w:val="00E3649D"/>
    <w:rsid w:val="00E37C02"/>
    <w:rsid w:val="00E4013D"/>
    <w:rsid w:val="00E408DD"/>
    <w:rsid w:val="00E44DE1"/>
    <w:rsid w:val="00E4518B"/>
    <w:rsid w:val="00E50A76"/>
    <w:rsid w:val="00E510CA"/>
    <w:rsid w:val="00E51927"/>
    <w:rsid w:val="00E52E2C"/>
    <w:rsid w:val="00E553FC"/>
    <w:rsid w:val="00E56526"/>
    <w:rsid w:val="00E571E5"/>
    <w:rsid w:val="00E72043"/>
    <w:rsid w:val="00E80DA3"/>
    <w:rsid w:val="00E8398A"/>
    <w:rsid w:val="00E863FA"/>
    <w:rsid w:val="00E91E26"/>
    <w:rsid w:val="00E950B4"/>
    <w:rsid w:val="00E951C1"/>
    <w:rsid w:val="00E96316"/>
    <w:rsid w:val="00EA10EF"/>
    <w:rsid w:val="00EA1BF9"/>
    <w:rsid w:val="00EA6B1A"/>
    <w:rsid w:val="00EB44FA"/>
    <w:rsid w:val="00EB56DB"/>
    <w:rsid w:val="00EC010E"/>
    <w:rsid w:val="00EC02F6"/>
    <w:rsid w:val="00EC278E"/>
    <w:rsid w:val="00EC2A9A"/>
    <w:rsid w:val="00EC34B0"/>
    <w:rsid w:val="00EC64EF"/>
    <w:rsid w:val="00EC7EC0"/>
    <w:rsid w:val="00ED3B71"/>
    <w:rsid w:val="00ED3CE9"/>
    <w:rsid w:val="00ED4DD5"/>
    <w:rsid w:val="00ED5E4B"/>
    <w:rsid w:val="00EE41FA"/>
    <w:rsid w:val="00EF1C5C"/>
    <w:rsid w:val="00EF4BD7"/>
    <w:rsid w:val="00EF7563"/>
    <w:rsid w:val="00F05FDA"/>
    <w:rsid w:val="00F16153"/>
    <w:rsid w:val="00F170E2"/>
    <w:rsid w:val="00F24B0F"/>
    <w:rsid w:val="00F265F1"/>
    <w:rsid w:val="00F26AD2"/>
    <w:rsid w:val="00F274C5"/>
    <w:rsid w:val="00F30836"/>
    <w:rsid w:val="00F3247D"/>
    <w:rsid w:val="00F343D1"/>
    <w:rsid w:val="00F3503F"/>
    <w:rsid w:val="00F402C7"/>
    <w:rsid w:val="00F42F73"/>
    <w:rsid w:val="00F43897"/>
    <w:rsid w:val="00F4712C"/>
    <w:rsid w:val="00F477E7"/>
    <w:rsid w:val="00F50005"/>
    <w:rsid w:val="00F51FC9"/>
    <w:rsid w:val="00F57A27"/>
    <w:rsid w:val="00F61EB0"/>
    <w:rsid w:val="00F70AE8"/>
    <w:rsid w:val="00F751B6"/>
    <w:rsid w:val="00F75DF8"/>
    <w:rsid w:val="00F76352"/>
    <w:rsid w:val="00F804EF"/>
    <w:rsid w:val="00F852C7"/>
    <w:rsid w:val="00F87D46"/>
    <w:rsid w:val="00F90D9F"/>
    <w:rsid w:val="00F92D44"/>
    <w:rsid w:val="00F94990"/>
    <w:rsid w:val="00F9698E"/>
    <w:rsid w:val="00FA1FAF"/>
    <w:rsid w:val="00FA2AE1"/>
    <w:rsid w:val="00FA40B2"/>
    <w:rsid w:val="00FB358A"/>
    <w:rsid w:val="00FB40B5"/>
    <w:rsid w:val="00FC5A62"/>
    <w:rsid w:val="00FC6B4C"/>
    <w:rsid w:val="00FC78BC"/>
    <w:rsid w:val="00FD5EB9"/>
    <w:rsid w:val="00FD5EEC"/>
    <w:rsid w:val="00FD5F57"/>
    <w:rsid w:val="00FD6BE0"/>
    <w:rsid w:val="00FE0322"/>
    <w:rsid w:val="00FE549D"/>
    <w:rsid w:val="00FE7062"/>
    <w:rsid w:val="00FF04C7"/>
    <w:rsid w:val="00FF2A7B"/>
    <w:rsid w:val="00FF3689"/>
    <w:rsid w:val="00FF39D2"/>
    <w:rsid w:val="00FF3B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69CB2F4"/>
  <w15:chartTrackingRefBased/>
  <w15:docId w15:val="{EFD18AB1-4AD0-4492-B6C3-FA17D0DF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C103E-5842-4661-81CC-9D3CA7D48EE1}">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2144B531-7852-4E79-9826-CA457425CADA}">
  <ds:schemaRefs>
    <ds:schemaRef ds:uri="http://schemas.microsoft.com/office/2006/metadata/longProperties"/>
  </ds:schemaRefs>
</ds:datastoreItem>
</file>

<file path=customXml/itemProps3.xml><?xml version="1.0" encoding="utf-8"?>
<ds:datastoreItem xmlns:ds="http://schemas.openxmlformats.org/officeDocument/2006/customXml" ds:itemID="{7B6A39F8-D2AE-426E-B6F5-DD64DC78F90C}">
  <ds:schemaRefs>
    <ds:schemaRef ds:uri="http://schemas.microsoft.com/sharepoint/v3/contenttype/forms"/>
  </ds:schemaRefs>
</ds:datastoreItem>
</file>

<file path=customXml/itemProps4.xml><?xml version="1.0" encoding="utf-8"?>
<ds:datastoreItem xmlns:ds="http://schemas.openxmlformats.org/officeDocument/2006/customXml" ds:itemID="{81B3B1CE-9CF3-492E-A00D-1F852B9784B9}">
  <ds:schemaRefs>
    <ds:schemaRef ds:uri="http://schemas.openxmlformats.org/officeDocument/2006/bibliography"/>
  </ds:schemaRefs>
</ds:datastoreItem>
</file>

<file path=customXml/itemProps5.xml><?xml version="1.0" encoding="utf-8"?>
<ds:datastoreItem xmlns:ds="http://schemas.openxmlformats.org/officeDocument/2006/customXml" ds:itemID="{B3E14E52-04AE-4D87-8D09-574E9B76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52</TotalTime>
  <Pages>48</Pages>
  <Words>15736</Words>
  <Characters>86554</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56</cp:revision>
  <cp:lastPrinted>2024-11-27T21:58:00Z</cp:lastPrinted>
  <dcterms:created xsi:type="dcterms:W3CDTF">2024-11-25T19:05:00Z</dcterms:created>
  <dcterms:modified xsi:type="dcterms:W3CDTF">2024-11-28T17:16:00Z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11442800.0000000</vt:lpwstr>
  </property>
  <property fmtid="{D5CDD505-2E9C-101B-9397-08002B2CF9AE}" pid="3" name="ContentTypeId">
    <vt:lpwstr>0x010100938378B7A0932F4A834ADFBB96F89B57</vt:lpwstr>
  </property>
  <property fmtid="{D5CDD505-2E9C-101B-9397-08002B2CF9AE}" pid="4" name="MediaServiceImageTags">
    <vt:lpwstr/>
  </property>
</Properties>
</file>