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1430F" w14:textId="006BD3B6" w:rsidR="00FB61B0" w:rsidRPr="003D3413" w:rsidRDefault="004F0F85" w:rsidP="00A51224">
      <w:pPr>
        <w:pBdr>
          <w:bottom w:val="single" w:sz="12" w:space="1" w:color="auto"/>
        </w:pBdr>
        <w:spacing w:before="120" w:after="120" w:line="240" w:lineRule="auto"/>
        <w:jc w:val="center"/>
        <w:rPr>
          <w:rFonts w:ascii="Book Antiqua" w:hAnsi="Book Antiqua" w:cs="Arial"/>
          <w:b/>
          <w:color w:val="000000" w:themeColor="text1"/>
          <w:u w:val="single"/>
          <w:lang w:val="es-ES_tradnl"/>
        </w:rPr>
      </w:pPr>
      <w:bookmarkStart w:id="0" w:name="_GoBack"/>
      <w:bookmarkEnd w:id="0"/>
      <w:r w:rsidRPr="003D3413">
        <w:rPr>
          <w:rFonts w:ascii="Book Antiqua" w:hAnsi="Book Antiqua" w:cs="Arial"/>
          <w:b/>
          <w:color w:val="000000" w:themeColor="text1"/>
          <w:u w:val="single"/>
          <w:lang w:val="es-ES_tradnl"/>
        </w:rPr>
        <w:t xml:space="preserve">Análisis de las deficiencias y propuestas de mejoras para las </w:t>
      </w:r>
      <w:r w:rsidR="00CC259F">
        <w:rPr>
          <w:rFonts w:ascii="Book Antiqua" w:hAnsi="Book Antiqua" w:cs="Arial"/>
          <w:b/>
          <w:color w:val="000000" w:themeColor="text1"/>
          <w:u w:val="single"/>
          <w:lang w:val="es-ES_tradnl"/>
        </w:rPr>
        <w:t>entidades de derecho privado que ejercen funciones administrativas</w:t>
      </w:r>
      <w:r w:rsidRPr="003D3413">
        <w:rPr>
          <w:rFonts w:ascii="Book Antiqua" w:hAnsi="Book Antiqua" w:cs="Arial"/>
          <w:b/>
          <w:color w:val="000000" w:themeColor="text1"/>
          <w:u w:val="single"/>
          <w:lang w:val="es-ES_tradnl"/>
        </w:rPr>
        <w:t xml:space="preserve"> dentro del régimen de transparencia</w:t>
      </w:r>
    </w:p>
    <w:p w14:paraId="7979DBCF" w14:textId="77777777" w:rsidR="00180AA8" w:rsidRDefault="00180AA8" w:rsidP="00A51224">
      <w:pPr>
        <w:pBdr>
          <w:bottom w:val="single" w:sz="12" w:space="1" w:color="auto"/>
        </w:pBdr>
        <w:spacing w:before="120" w:after="120" w:line="240" w:lineRule="auto"/>
        <w:jc w:val="center"/>
        <w:rPr>
          <w:rFonts w:ascii="Book Antiqua" w:hAnsi="Book Antiqua" w:cs="Arial"/>
          <w:b/>
          <w:color w:val="000000" w:themeColor="text1"/>
          <w:lang w:val="es-ES_tradnl"/>
        </w:rPr>
      </w:pPr>
    </w:p>
    <w:p w14:paraId="4C214310" w14:textId="2F556113" w:rsidR="00CF1436" w:rsidRPr="000D3D18" w:rsidRDefault="00DD7DCF" w:rsidP="00A51224">
      <w:pPr>
        <w:pBdr>
          <w:bottom w:val="single" w:sz="12" w:space="1" w:color="auto"/>
        </w:pBdr>
        <w:spacing w:before="120" w:after="120" w:line="240" w:lineRule="auto"/>
        <w:jc w:val="center"/>
        <w:rPr>
          <w:rFonts w:ascii="Book Antiqua" w:hAnsi="Book Antiqua" w:cs="Arial"/>
          <w:b/>
          <w:color w:val="000000" w:themeColor="text1"/>
          <w:lang w:val="es-ES_tradnl"/>
        </w:rPr>
      </w:pPr>
      <w:r w:rsidRPr="000D3D18">
        <w:rPr>
          <w:rFonts w:ascii="Book Antiqua" w:hAnsi="Book Antiqua" w:cs="Arial"/>
          <w:b/>
          <w:color w:val="000000" w:themeColor="text1"/>
          <w:lang w:val="es-ES_tradnl"/>
        </w:rPr>
        <w:t>DJ/UNR/</w:t>
      </w:r>
      <w:r w:rsidR="004F0F85">
        <w:rPr>
          <w:rFonts w:ascii="Book Antiqua" w:hAnsi="Book Antiqua" w:cs="Arial"/>
          <w:b/>
          <w:color w:val="000000" w:themeColor="text1"/>
          <w:lang w:val="es-ES_tradnl"/>
        </w:rPr>
        <w:t>05</w:t>
      </w:r>
      <w:r w:rsidR="000942E4" w:rsidRPr="000D3D18">
        <w:rPr>
          <w:rFonts w:ascii="Book Antiqua" w:hAnsi="Book Antiqua" w:cs="Arial"/>
          <w:b/>
          <w:color w:val="000000" w:themeColor="text1"/>
          <w:lang w:val="es-ES_tradnl"/>
        </w:rPr>
        <w:t>.0</w:t>
      </w:r>
      <w:r w:rsidR="004F0F85">
        <w:rPr>
          <w:rFonts w:ascii="Book Antiqua" w:hAnsi="Book Antiqua" w:cs="Arial"/>
          <w:b/>
          <w:color w:val="000000" w:themeColor="text1"/>
          <w:lang w:val="es-ES_tradnl"/>
        </w:rPr>
        <w:t>6</w:t>
      </w:r>
      <w:r w:rsidR="00873BC6" w:rsidRPr="000D3D18">
        <w:rPr>
          <w:rFonts w:ascii="Book Antiqua" w:hAnsi="Book Antiqua" w:cs="Arial"/>
          <w:b/>
          <w:color w:val="000000" w:themeColor="text1"/>
          <w:lang w:val="es-ES_tradnl"/>
        </w:rPr>
        <w:t>.20</w:t>
      </w:r>
      <w:r w:rsidR="004F0F85">
        <w:rPr>
          <w:rFonts w:ascii="Book Antiqua" w:hAnsi="Book Antiqua" w:cs="Arial"/>
          <w:b/>
          <w:color w:val="000000" w:themeColor="text1"/>
          <w:lang w:val="es-ES_tradnl"/>
        </w:rPr>
        <w:t>23</w:t>
      </w:r>
    </w:p>
    <w:p w14:paraId="4C214311" w14:textId="77777777" w:rsidR="00BF154B" w:rsidRPr="000D3D18" w:rsidRDefault="00BF154B" w:rsidP="00A51224">
      <w:pPr>
        <w:pBdr>
          <w:bottom w:val="single" w:sz="12" w:space="1" w:color="auto"/>
        </w:pBdr>
        <w:spacing w:before="120" w:after="120" w:line="240" w:lineRule="auto"/>
        <w:jc w:val="center"/>
        <w:rPr>
          <w:rFonts w:ascii="Book Antiqua" w:hAnsi="Book Antiqua" w:cs="Arial"/>
          <w:b/>
          <w:color w:val="000000" w:themeColor="text1"/>
          <w:lang w:val="es-ES_tradnl"/>
        </w:rPr>
      </w:pPr>
    </w:p>
    <w:p w14:paraId="51A09112" w14:textId="77777777" w:rsidR="00184861" w:rsidRDefault="00184861" w:rsidP="00A51224">
      <w:pPr>
        <w:pStyle w:val="Prrafodelista"/>
        <w:spacing w:before="120" w:after="120" w:line="240" w:lineRule="auto"/>
        <w:ind w:left="0"/>
        <w:contextualSpacing w:val="0"/>
        <w:jc w:val="both"/>
        <w:rPr>
          <w:rFonts w:ascii="Book Antiqua" w:hAnsi="Book Antiqua" w:cs="Arial"/>
          <w:b/>
          <w:color w:val="000000" w:themeColor="text1"/>
          <w:u w:val="single"/>
        </w:rPr>
      </w:pPr>
    </w:p>
    <w:p w14:paraId="7713EE27" w14:textId="7F5DC40B" w:rsidR="000D3D18" w:rsidRPr="000D3D18" w:rsidRDefault="00184861" w:rsidP="00180AA8">
      <w:pPr>
        <w:pStyle w:val="Prrafodelista"/>
        <w:numPr>
          <w:ilvl w:val="0"/>
          <w:numId w:val="2"/>
        </w:numPr>
        <w:spacing w:before="120" w:after="120" w:line="240" w:lineRule="auto"/>
        <w:contextualSpacing w:val="0"/>
        <w:jc w:val="both"/>
        <w:rPr>
          <w:rFonts w:ascii="Book Antiqua" w:hAnsi="Book Antiqua" w:cs="Arial"/>
          <w:b/>
          <w:color w:val="000000" w:themeColor="text1"/>
          <w:u w:val="single"/>
        </w:rPr>
      </w:pPr>
      <w:r>
        <w:rPr>
          <w:rFonts w:ascii="Book Antiqua" w:hAnsi="Book Antiqua" w:cs="Arial"/>
          <w:b/>
          <w:color w:val="000000" w:themeColor="text1"/>
          <w:u w:val="single"/>
        </w:rPr>
        <w:t>Antecedentes</w:t>
      </w:r>
      <w:r w:rsidR="00CC4514">
        <w:rPr>
          <w:rFonts w:ascii="Book Antiqua" w:hAnsi="Book Antiqua" w:cs="Arial"/>
          <w:b/>
          <w:color w:val="000000" w:themeColor="text1"/>
          <w:u w:val="single"/>
        </w:rPr>
        <w:t>.</w:t>
      </w:r>
    </w:p>
    <w:p w14:paraId="590FE711" w14:textId="77777777" w:rsidR="00180AA8" w:rsidRDefault="00180AA8" w:rsidP="00180AA8">
      <w:pPr>
        <w:pStyle w:val="NormalWeb"/>
        <w:numPr>
          <w:ilvl w:val="0"/>
          <w:numId w:val="3"/>
        </w:numPr>
        <w:tabs>
          <w:tab w:val="left" w:pos="0"/>
        </w:tabs>
        <w:spacing w:before="120" w:beforeAutospacing="0" w:after="120" w:afterAutospacing="0"/>
        <w:ind w:left="714" w:hanging="357"/>
        <w:jc w:val="both"/>
        <w:rPr>
          <w:rFonts w:ascii="Book Antiqua" w:hAnsi="Book Antiqua" w:cs="Arial"/>
          <w:sz w:val="22"/>
          <w:szCs w:val="22"/>
        </w:rPr>
      </w:pPr>
      <w:r w:rsidRPr="00180AA8">
        <w:rPr>
          <w:rFonts w:ascii="Book Antiqua" w:hAnsi="Book Antiqua" w:cs="Arial"/>
          <w:sz w:val="22"/>
          <w:szCs w:val="22"/>
        </w:rPr>
        <w:t xml:space="preserve">El artículo 2 de la Ley de Transparencia dispone quienes son los sujetos obligados al cumplimiento de esta. Así, establece que las disposiciones de dicha ley serán aplicables a los ministerios, intendencias, gobernaciones, gobiernos regionales, municipalidades, Fuerzas Armadas de Orden y Seguridad Pública </w:t>
      </w:r>
      <w:r w:rsidRPr="00180AA8">
        <w:rPr>
          <w:rFonts w:ascii="Book Antiqua" w:hAnsi="Book Antiqua" w:cs="Arial"/>
          <w:b/>
          <w:bCs/>
          <w:sz w:val="22"/>
          <w:szCs w:val="22"/>
        </w:rPr>
        <w:t>y a los órganos y servicios públicos creados pare el cumplimiento de la función administrativa</w:t>
      </w:r>
      <w:r w:rsidRPr="00180AA8">
        <w:rPr>
          <w:rFonts w:ascii="Book Antiqua" w:hAnsi="Book Antiqua" w:cs="Arial"/>
          <w:sz w:val="22"/>
          <w:szCs w:val="22"/>
        </w:rPr>
        <w:t xml:space="preserve">. </w:t>
      </w:r>
    </w:p>
    <w:p w14:paraId="5547C759" w14:textId="5219B929" w:rsidR="00180AA8" w:rsidRPr="00180AA8" w:rsidRDefault="00180AA8" w:rsidP="00180AA8">
      <w:pPr>
        <w:pStyle w:val="NormalWeb"/>
        <w:numPr>
          <w:ilvl w:val="0"/>
          <w:numId w:val="3"/>
        </w:numPr>
        <w:tabs>
          <w:tab w:val="left" w:pos="0"/>
        </w:tabs>
        <w:spacing w:before="120" w:beforeAutospacing="0" w:after="120" w:afterAutospacing="0"/>
        <w:ind w:left="714" w:hanging="357"/>
        <w:jc w:val="both"/>
        <w:rPr>
          <w:rFonts w:ascii="Book Antiqua" w:hAnsi="Book Antiqua" w:cs="Arial"/>
          <w:sz w:val="20"/>
          <w:szCs w:val="20"/>
        </w:rPr>
      </w:pPr>
      <w:r w:rsidRPr="00180AA8">
        <w:rPr>
          <w:rFonts w:ascii="Book Antiqua" w:hAnsi="Book Antiqua" w:cs="Arial"/>
          <w:sz w:val="22"/>
          <w:szCs w:val="22"/>
        </w:rPr>
        <w:t>Esto último resulta de suma importancia, en tanto permite la aplicación de la L</w:t>
      </w:r>
      <w:r w:rsidR="001D1FFD">
        <w:rPr>
          <w:rFonts w:ascii="Book Antiqua" w:hAnsi="Book Antiqua" w:cs="Arial"/>
          <w:sz w:val="22"/>
          <w:szCs w:val="22"/>
        </w:rPr>
        <w:t>ey de Transparencia</w:t>
      </w:r>
      <w:r w:rsidRPr="00180AA8">
        <w:rPr>
          <w:rFonts w:ascii="Book Antiqua" w:hAnsi="Book Antiqua" w:cs="Arial"/>
          <w:sz w:val="22"/>
          <w:szCs w:val="22"/>
        </w:rPr>
        <w:t xml:space="preserve"> a un mayor espectro de organismos, en tanto estos ejerzan o desarrollen una función pública. La creación de entidades </w:t>
      </w:r>
      <w:r w:rsidR="00CC4514">
        <w:rPr>
          <w:rFonts w:ascii="Book Antiqua" w:hAnsi="Book Antiqua" w:cs="Arial"/>
          <w:sz w:val="22"/>
          <w:szCs w:val="22"/>
        </w:rPr>
        <w:t>con</w:t>
      </w:r>
      <w:r w:rsidRPr="00180AA8">
        <w:rPr>
          <w:rFonts w:ascii="Book Antiqua" w:hAnsi="Book Antiqua" w:cs="Arial"/>
          <w:sz w:val="22"/>
          <w:szCs w:val="22"/>
        </w:rPr>
        <w:t xml:space="preserve"> formas organizativas privadas, para desarrollar típicas funciones administrativas, es una tendencia del Derecho Administrativo</w:t>
      </w:r>
      <w:r w:rsidR="00CC4514">
        <w:rPr>
          <w:rFonts w:ascii="Book Antiqua" w:hAnsi="Book Antiqua" w:cs="Arial"/>
          <w:sz w:val="22"/>
          <w:szCs w:val="22"/>
        </w:rPr>
        <w:t>, siendo</w:t>
      </w:r>
      <w:r w:rsidRPr="00180AA8">
        <w:rPr>
          <w:rFonts w:ascii="Book Antiqua" w:hAnsi="Book Antiqua" w:cs="Arial"/>
          <w:sz w:val="22"/>
          <w:szCs w:val="22"/>
        </w:rPr>
        <w:t xml:space="preserve"> </w:t>
      </w:r>
      <w:r w:rsidR="00CC4514">
        <w:rPr>
          <w:rFonts w:ascii="Book Antiqua" w:hAnsi="Book Antiqua" w:cs="Arial"/>
          <w:sz w:val="22"/>
          <w:szCs w:val="22"/>
        </w:rPr>
        <w:t>l</w:t>
      </w:r>
      <w:r w:rsidRPr="00180AA8">
        <w:rPr>
          <w:rFonts w:ascii="Book Antiqua" w:hAnsi="Book Antiqua" w:cs="Arial"/>
          <w:sz w:val="22"/>
          <w:szCs w:val="22"/>
        </w:rPr>
        <w:t xml:space="preserve">as corporaciones municipales una manifestación </w:t>
      </w:r>
      <w:r w:rsidR="00CC4514">
        <w:rPr>
          <w:rFonts w:ascii="Book Antiqua" w:hAnsi="Book Antiqua" w:cs="Arial"/>
          <w:sz w:val="22"/>
          <w:szCs w:val="22"/>
        </w:rPr>
        <w:t>de ello</w:t>
      </w:r>
      <w:r w:rsidRPr="00180AA8">
        <w:rPr>
          <w:rFonts w:ascii="Book Antiqua" w:hAnsi="Book Antiqua" w:cs="Arial"/>
          <w:sz w:val="22"/>
          <w:szCs w:val="22"/>
        </w:rPr>
        <w:t xml:space="preserve">. Éstas tienen un evidente carácter instrumental para contar con niveles de eficacia y flexibilidad que no resulta posible alcanzar dentro del marco de la Administración tradicional. </w:t>
      </w:r>
    </w:p>
    <w:p w14:paraId="5F222245" w14:textId="120D1D23" w:rsidR="00184861" w:rsidRDefault="00180AA8" w:rsidP="00180AA8">
      <w:pPr>
        <w:pStyle w:val="NormalWeb"/>
        <w:numPr>
          <w:ilvl w:val="0"/>
          <w:numId w:val="3"/>
        </w:numPr>
        <w:tabs>
          <w:tab w:val="left" w:pos="0"/>
        </w:tabs>
        <w:spacing w:before="120" w:beforeAutospacing="0" w:after="120" w:afterAutospacing="0"/>
        <w:ind w:left="714" w:hanging="357"/>
        <w:jc w:val="both"/>
        <w:rPr>
          <w:rFonts w:ascii="Book Antiqua" w:hAnsi="Book Antiqua" w:cs="Arial"/>
          <w:bCs/>
          <w:sz w:val="22"/>
          <w:szCs w:val="22"/>
        </w:rPr>
      </w:pPr>
      <w:r>
        <w:rPr>
          <w:rFonts w:ascii="Book Antiqua" w:hAnsi="Book Antiqua" w:cs="Arial"/>
          <w:bCs/>
          <w:sz w:val="22"/>
          <w:szCs w:val="22"/>
        </w:rPr>
        <w:t>Respecto a su naturaleza jurídica</w:t>
      </w:r>
      <w:r w:rsidR="00362E00">
        <w:rPr>
          <w:rFonts w:ascii="Book Antiqua" w:hAnsi="Book Antiqua" w:cs="Arial"/>
          <w:bCs/>
          <w:sz w:val="22"/>
          <w:szCs w:val="22"/>
        </w:rPr>
        <w:t>, l</w:t>
      </w:r>
      <w:r w:rsidR="00184861" w:rsidRPr="00184861">
        <w:rPr>
          <w:rFonts w:ascii="Book Antiqua" w:hAnsi="Book Antiqua" w:cs="Arial"/>
          <w:bCs/>
          <w:sz w:val="22"/>
          <w:szCs w:val="22"/>
        </w:rPr>
        <w:t xml:space="preserve">as corporaciones municipales son personas jurídicas de derecho privado, constituidas conforme al artículo 12 del DFL 1-3063 de 1981, que autoriza a las municipalidades a crearlas según lo dispuesto en el Título XXXIII, del Libro I del Código Civil, para que tomen a su cargo servicios en las áreas de educación, salud o atención de menores. </w:t>
      </w:r>
    </w:p>
    <w:p w14:paraId="210D4C90" w14:textId="0CF7F7B7" w:rsidR="00184861" w:rsidRDefault="00184861" w:rsidP="00180AA8">
      <w:pPr>
        <w:pStyle w:val="NormalWeb"/>
        <w:numPr>
          <w:ilvl w:val="0"/>
          <w:numId w:val="3"/>
        </w:numPr>
        <w:tabs>
          <w:tab w:val="left" w:pos="0"/>
        </w:tabs>
        <w:spacing w:before="120" w:beforeAutospacing="0" w:after="120" w:afterAutospacing="0"/>
        <w:ind w:left="714" w:hanging="357"/>
        <w:jc w:val="both"/>
        <w:rPr>
          <w:rFonts w:ascii="Book Antiqua" w:hAnsi="Book Antiqua" w:cs="Arial"/>
          <w:bCs/>
          <w:sz w:val="22"/>
          <w:szCs w:val="22"/>
        </w:rPr>
      </w:pPr>
      <w:r w:rsidRPr="00184861">
        <w:rPr>
          <w:rFonts w:ascii="Book Antiqua" w:hAnsi="Book Antiqua" w:cs="Arial"/>
          <w:bCs/>
          <w:sz w:val="22"/>
          <w:szCs w:val="22"/>
        </w:rPr>
        <w:t xml:space="preserve">Posteriormente, </w:t>
      </w:r>
      <w:r w:rsidR="00180AA8">
        <w:rPr>
          <w:rFonts w:ascii="Book Antiqua" w:hAnsi="Book Antiqua" w:cs="Arial"/>
          <w:bCs/>
          <w:sz w:val="22"/>
          <w:szCs w:val="22"/>
        </w:rPr>
        <w:t xml:space="preserve">con </w:t>
      </w:r>
      <w:r w:rsidRPr="00184861">
        <w:rPr>
          <w:rFonts w:ascii="Book Antiqua" w:hAnsi="Book Antiqua" w:cs="Arial"/>
          <w:bCs/>
          <w:sz w:val="22"/>
          <w:szCs w:val="22"/>
        </w:rPr>
        <w:t>la entrada en vigor de la ley 18.695</w:t>
      </w:r>
      <w:r>
        <w:rPr>
          <w:rFonts w:ascii="Book Antiqua" w:hAnsi="Book Antiqua" w:cs="Arial"/>
          <w:bCs/>
          <w:sz w:val="22"/>
          <w:szCs w:val="22"/>
        </w:rPr>
        <w:t xml:space="preserve"> (LOC de Municipalidades)</w:t>
      </w:r>
      <w:r w:rsidRPr="00184861">
        <w:rPr>
          <w:rFonts w:ascii="Book Antiqua" w:hAnsi="Book Antiqua" w:cs="Arial"/>
          <w:bCs/>
          <w:sz w:val="22"/>
          <w:szCs w:val="22"/>
        </w:rPr>
        <w:t xml:space="preserve">, </w:t>
      </w:r>
      <w:r w:rsidR="00180AA8">
        <w:rPr>
          <w:rFonts w:ascii="Book Antiqua" w:hAnsi="Book Antiqua" w:cs="Arial"/>
          <w:bCs/>
          <w:sz w:val="22"/>
          <w:szCs w:val="22"/>
        </w:rPr>
        <w:t xml:space="preserve">se </w:t>
      </w:r>
      <w:r w:rsidRPr="00184861">
        <w:rPr>
          <w:rFonts w:ascii="Book Antiqua" w:hAnsi="Book Antiqua" w:cs="Arial"/>
          <w:bCs/>
          <w:sz w:val="22"/>
          <w:szCs w:val="22"/>
        </w:rPr>
        <w:t>limitaría la posibilidad de las municipalidades de constituir o participar en estas corporaciones o fundaciones de derecho privado</w:t>
      </w:r>
      <w:r w:rsidRPr="00180AA8">
        <w:rPr>
          <w:rFonts w:ascii="Book Antiqua" w:hAnsi="Book Antiqua" w:cs="Arial"/>
          <w:b/>
          <w:sz w:val="22"/>
          <w:szCs w:val="22"/>
        </w:rPr>
        <w:t>, únicamente a aquellas destinadas a la promoción y difusión del arte, cultura y deporte o el fomento de obras de desarrollo comunal y productivo</w:t>
      </w:r>
      <w:r>
        <w:rPr>
          <w:rFonts w:ascii="Book Antiqua" w:hAnsi="Book Antiqua" w:cs="Arial"/>
          <w:bCs/>
          <w:sz w:val="22"/>
          <w:szCs w:val="22"/>
        </w:rPr>
        <w:t>.</w:t>
      </w:r>
    </w:p>
    <w:p w14:paraId="670B1F75" w14:textId="6A571C94" w:rsidR="00CC259F" w:rsidRPr="00CC4514" w:rsidRDefault="00CC259F" w:rsidP="00180AA8">
      <w:pPr>
        <w:pStyle w:val="Prrafodelista"/>
        <w:numPr>
          <w:ilvl w:val="0"/>
          <w:numId w:val="3"/>
        </w:numPr>
        <w:spacing w:before="120" w:after="120" w:line="240" w:lineRule="auto"/>
        <w:ind w:left="714" w:hanging="357"/>
        <w:contextualSpacing w:val="0"/>
        <w:jc w:val="both"/>
        <w:rPr>
          <w:rFonts w:ascii="Book Antiqua" w:eastAsia="Times New Roman" w:hAnsi="Book Antiqua" w:cs="Arial"/>
          <w:bCs/>
          <w:lang w:eastAsia="es-CL"/>
        </w:rPr>
      </w:pPr>
      <w:r w:rsidRPr="00CC4514">
        <w:rPr>
          <w:rFonts w:ascii="Book Antiqua" w:hAnsi="Book Antiqua" w:cs="Arial"/>
          <w:bCs/>
        </w:rPr>
        <w:t xml:space="preserve">Por otro lado, existen otras figuras jurídicas de derecho privado que también </w:t>
      </w:r>
      <w:r w:rsidR="00180AA8" w:rsidRPr="00CC4514">
        <w:rPr>
          <w:rFonts w:ascii="Book Antiqua" w:hAnsi="Book Antiqua" w:cs="Arial"/>
          <w:bCs/>
        </w:rPr>
        <w:t>reciben</w:t>
      </w:r>
      <w:r w:rsidRPr="00CC4514">
        <w:rPr>
          <w:rFonts w:ascii="Book Antiqua" w:hAnsi="Book Antiqua" w:cs="Arial"/>
          <w:bCs/>
        </w:rPr>
        <w:t xml:space="preserve"> aportes por parte de las municipalidades. Estas </w:t>
      </w:r>
      <w:r w:rsidRPr="00CC4514">
        <w:rPr>
          <w:rFonts w:ascii="Book Antiqua" w:hAnsi="Book Antiqua" w:cs="Arial"/>
          <w:b/>
        </w:rPr>
        <w:t>son las organizaciones comunitarias funcionales</w:t>
      </w:r>
      <w:r w:rsidRPr="00CC4514">
        <w:rPr>
          <w:rFonts w:ascii="Book Antiqua" w:hAnsi="Book Antiqua" w:cs="Arial"/>
          <w:bCs/>
        </w:rPr>
        <w:t>, las que de acuerdo al artículo 2º de la Ley Nº 19.418 son a</w:t>
      </w:r>
      <w:r w:rsidRPr="00CC4514">
        <w:rPr>
          <w:rFonts w:ascii="Book Antiqua" w:eastAsia="Times New Roman" w:hAnsi="Book Antiqua" w:cs="Arial"/>
          <w:bCs/>
          <w:lang w:eastAsia="es-CL"/>
        </w:rPr>
        <w:t>quellas con personalidad jurídica y sin fines de lucro, que tenga por objeto representar y promover valores e intereses específicos de la comunidad dentro del territorio de la comuna o agrupación de comunas respectiva.</w:t>
      </w:r>
    </w:p>
    <w:p w14:paraId="55FF5FCA" w14:textId="78736E5C" w:rsidR="00CC4514" w:rsidRPr="00180AA8" w:rsidRDefault="00CC4514" w:rsidP="00CC4514">
      <w:pPr>
        <w:pStyle w:val="NormalWeb"/>
        <w:numPr>
          <w:ilvl w:val="0"/>
          <w:numId w:val="3"/>
        </w:numPr>
        <w:tabs>
          <w:tab w:val="left" w:pos="0"/>
        </w:tabs>
        <w:spacing w:before="120" w:beforeAutospacing="0" w:after="120" w:afterAutospacing="0"/>
        <w:ind w:left="714" w:hanging="357"/>
        <w:jc w:val="both"/>
        <w:rPr>
          <w:rFonts w:ascii="Book Antiqua" w:hAnsi="Book Antiqua" w:cs="Arial"/>
          <w:sz w:val="20"/>
          <w:szCs w:val="20"/>
        </w:rPr>
      </w:pPr>
      <w:r w:rsidRPr="00180AA8">
        <w:rPr>
          <w:rFonts w:ascii="Book Antiqua" w:hAnsi="Book Antiqua" w:cstheme="minorHAnsi"/>
          <w:sz w:val="22"/>
          <w:szCs w:val="22"/>
        </w:rPr>
        <w:t xml:space="preserve">En efecto, </w:t>
      </w:r>
      <w:r>
        <w:rPr>
          <w:rFonts w:ascii="Book Antiqua" w:hAnsi="Book Antiqua" w:cstheme="minorHAnsi"/>
          <w:b/>
          <w:bCs/>
          <w:sz w:val="22"/>
          <w:szCs w:val="22"/>
        </w:rPr>
        <w:t>la</w:t>
      </w:r>
      <w:r w:rsidRPr="00180AA8">
        <w:rPr>
          <w:rFonts w:ascii="Book Antiqua" w:hAnsi="Book Antiqua" w:cstheme="minorHAnsi"/>
          <w:b/>
          <w:bCs/>
          <w:sz w:val="22"/>
          <w:szCs w:val="22"/>
        </w:rPr>
        <w:t xml:space="preserve"> extensión de la aplicación de la L</w:t>
      </w:r>
      <w:r>
        <w:rPr>
          <w:rFonts w:ascii="Book Antiqua" w:hAnsi="Book Antiqua" w:cstheme="minorHAnsi"/>
          <w:b/>
          <w:bCs/>
          <w:sz w:val="22"/>
          <w:szCs w:val="22"/>
        </w:rPr>
        <w:t xml:space="preserve">ey de Transparencia a entidades con forma organizativa privada, abordada por el Consejo para la Transparencia a través de criterios jurisprudenciales, y por la Contraloría General de la República a través de sus dictámenes, </w:t>
      </w:r>
      <w:r w:rsidRPr="00180AA8">
        <w:rPr>
          <w:rFonts w:ascii="Book Antiqua" w:hAnsi="Book Antiqua" w:cstheme="minorHAnsi"/>
          <w:b/>
          <w:bCs/>
          <w:sz w:val="22"/>
          <w:szCs w:val="22"/>
        </w:rPr>
        <w:t xml:space="preserve">es crucial en tanto el fenómeno de la huida o fuga del derecho administrativo ha supuesto la constitución de instituciones jurídicas </w:t>
      </w:r>
      <w:r w:rsidRPr="00180AA8">
        <w:rPr>
          <w:rFonts w:ascii="Book Antiqua" w:hAnsi="Book Antiqua" w:cstheme="minorHAnsi"/>
          <w:b/>
          <w:bCs/>
          <w:sz w:val="22"/>
          <w:szCs w:val="22"/>
        </w:rPr>
        <w:lastRenderedPageBreak/>
        <w:t>propias del derecho privado (civil y comercial) que realizan funciones de interés público</w:t>
      </w:r>
      <w:r w:rsidRPr="00180AA8">
        <w:rPr>
          <w:rFonts w:ascii="Book Antiqua" w:hAnsi="Book Antiqua" w:cstheme="minorHAnsi"/>
          <w:sz w:val="22"/>
          <w:szCs w:val="22"/>
        </w:rPr>
        <w:t xml:space="preserve">. </w:t>
      </w:r>
    </w:p>
    <w:p w14:paraId="7951E65C" w14:textId="77777777" w:rsidR="00CC4514" w:rsidRPr="00C2457C" w:rsidRDefault="00CC4514" w:rsidP="00CC4514">
      <w:pPr>
        <w:pStyle w:val="Prrafodelista"/>
        <w:spacing w:before="120" w:after="120" w:line="240" w:lineRule="auto"/>
        <w:ind w:left="714"/>
        <w:contextualSpacing w:val="0"/>
        <w:jc w:val="both"/>
        <w:rPr>
          <w:rFonts w:ascii="Book Antiqua" w:eastAsia="Times New Roman" w:hAnsi="Book Antiqua" w:cs="Arial"/>
          <w:bCs/>
          <w:lang w:eastAsia="es-CL"/>
        </w:rPr>
      </w:pPr>
    </w:p>
    <w:p w14:paraId="02CA8090" w14:textId="4B36D2B5" w:rsidR="00184861" w:rsidRDefault="00184861" w:rsidP="00180AA8">
      <w:pPr>
        <w:pStyle w:val="NormalWeb"/>
        <w:numPr>
          <w:ilvl w:val="0"/>
          <w:numId w:val="2"/>
        </w:numPr>
        <w:tabs>
          <w:tab w:val="left" w:pos="0"/>
        </w:tabs>
        <w:spacing w:before="120" w:beforeAutospacing="0" w:after="120" w:afterAutospacing="0"/>
        <w:rPr>
          <w:rFonts w:ascii="Book Antiqua" w:hAnsi="Book Antiqua" w:cs="Arial"/>
          <w:b/>
          <w:bCs/>
          <w:sz w:val="22"/>
          <w:szCs w:val="22"/>
          <w:u w:val="single"/>
        </w:rPr>
      </w:pPr>
      <w:r w:rsidRPr="00184861">
        <w:rPr>
          <w:rFonts w:ascii="Book Antiqua" w:hAnsi="Book Antiqua" w:cs="Arial"/>
          <w:b/>
          <w:bCs/>
          <w:sz w:val="22"/>
          <w:szCs w:val="22"/>
          <w:u w:val="single"/>
        </w:rPr>
        <w:t xml:space="preserve">Debilidades del régimen de transparencia </w:t>
      </w:r>
      <w:r w:rsidR="00180AA8">
        <w:rPr>
          <w:rFonts w:ascii="Book Antiqua" w:hAnsi="Book Antiqua" w:cs="Arial"/>
          <w:b/>
          <w:bCs/>
          <w:sz w:val="22"/>
          <w:szCs w:val="22"/>
          <w:u w:val="single"/>
        </w:rPr>
        <w:t xml:space="preserve">respecto </w:t>
      </w:r>
      <w:r w:rsidRPr="00184861">
        <w:rPr>
          <w:rFonts w:ascii="Book Antiqua" w:hAnsi="Book Antiqua" w:cs="Arial"/>
          <w:b/>
          <w:bCs/>
          <w:sz w:val="22"/>
          <w:szCs w:val="22"/>
          <w:u w:val="single"/>
        </w:rPr>
        <w:t>de este tipo de entidades</w:t>
      </w:r>
      <w:r w:rsidR="00CC4514">
        <w:rPr>
          <w:rFonts w:ascii="Book Antiqua" w:hAnsi="Book Antiqua" w:cs="Arial"/>
          <w:b/>
          <w:bCs/>
          <w:sz w:val="22"/>
          <w:szCs w:val="22"/>
          <w:u w:val="single"/>
        </w:rPr>
        <w:t>.</w:t>
      </w:r>
    </w:p>
    <w:p w14:paraId="79E0F9FB" w14:textId="77777777" w:rsidR="00180AA8" w:rsidRPr="00184861" w:rsidRDefault="00180AA8" w:rsidP="00180AA8">
      <w:pPr>
        <w:pStyle w:val="NormalWeb"/>
        <w:tabs>
          <w:tab w:val="left" w:pos="0"/>
        </w:tabs>
        <w:spacing w:before="120" w:beforeAutospacing="0" w:after="120" w:afterAutospacing="0"/>
        <w:ind w:left="720"/>
        <w:rPr>
          <w:rFonts w:ascii="Book Antiqua" w:hAnsi="Book Antiqua" w:cs="Arial"/>
          <w:b/>
          <w:bCs/>
          <w:sz w:val="22"/>
          <w:szCs w:val="22"/>
          <w:u w:val="single"/>
        </w:rPr>
      </w:pPr>
    </w:p>
    <w:p w14:paraId="04391C4D" w14:textId="05B61F15" w:rsidR="00362E00" w:rsidRPr="00C10A7B" w:rsidRDefault="00362E00" w:rsidP="00180AA8">
      <w:pPr>
        <w:pStyle w:val="Prrafodelista"/>
        <w:numPr>
          <w:ilvl w:val="0"/>
          <w:numId w:val="1"/>
        </w:numPr>
        <w:spacing w:before="120" w:after="120" w:line="240" w:lineRule="auto"/>
        <w:contextualSpacing w:val="0"/>
        <w:jc w:val="both"/>
        <w:rPr>
          <w:rFonts w:ascii="Book Antiqua" w:hAnsi="Book Antiqua" w:cstheme="minorHAnsi"/>
        </w:rPr>
      </w:pPr>
      <w:r w:rsidRPr="00362E00">
        <w:rPr>
          <w:rFonts w:ascii="Book Antiqua" w:hAnsi="Book Antiqua" w:cstheme="minorHAnsi"/>
          <w:b/>
          <w:bCs/>
          <w:u w:val="single"/>
        </w:rPr>
        <w:t>Huida del derecho administrativo</w:t>
      </w:r>
      <w:r w:rsidRPr="00244EF8">
        <w:rPr>
          <w:rFonts w:ascii="Book Antiqua" w:hAnsi="Book Antiqua" w:cstheme="minorHAnsi"/>
          <w:b/>
          <w:bCs/>
        </w:rPr>
        <w:t xml:space="preserve">: la singularidad del régimen jurídico que se aplica a los entes privados no debe ser </w:t>
      </w:r>
      <w:r w:rsidR="00A51224">
        <w:rPr>
          <w:rFonts w:ascii="Book Antiqua" w:hAnsi="Book Antiqua" w:cstheme="minorHAnsi"/>
          <w:b/>
          <w:bCs/>
        </w:rPr>
        <w:t>un obstáculo</w:t>
      </w:r>
      <w:r w:rsidRPr="00244EF8">
        <w:rPr>
          <w:rFonts w:ascii="Book Antiqua" w:hAnsi="Book Antiqua" w:cstheme="minorHAnsi"/>
          <w:b/>
          <w:bCs/>
        </w:rPr>
        <w:t xml:space="preserve"> para sujetarlos a algunos principios básicos propios del Derecho Público</w:t>
      </w:r>
      <w:r w:rsidRPr="00C10A7B">
        <w:rPr>
          <w:rFonts w:ascii="Book Antiqua" w:hAnsi="Book Antiqua" w:cstheme="minorHAnsi"/>
        </w:rPr>
        <w:t>, los que deberán ser respetados dado el carácter instrumental del accionar de aquéllos con respecto a los órganos de la Administración del Estado.</w:t>
      </w:r>
    </w:p>
    <w:p w14:paraId="1DFF5811" w14:textId="2E3F26A4" w:rsidR="00362E00" w:rsidRPr="00244EF8" w:rsidRDefault="00362E00" w:rsidP="00180AA8">
      <w:pPr>
        <w:pStyle w:val="Prrafodelista"/>
        <w:numPr>
          <w:ilvl w:val="0"/>
          <w:numId w:val="1"/>
        </w:numPr>
        <w:spacing w:before="120" w:after="120" w:line="240" w:lineRule="auto"/>
        <w:contextualSpacing w:val="0"/>
        <w:jc w:val="both"/>
        <w:rPr>
          <w:rFonts w:ascii="Book Antiqua" w:hAnsi="Book Antiqua" w:cstheme="minorHAnsi"/>
          <w:b/>
          <w:bCs/>
        </w:rPr>
      </w:pPr>
      <w:r w:rsidRPr="00362E00">
        <w:rPr>
          <w:rFonts w:ascii="Book Antiqua" w:hAnsi="Book Antiqua" w:cstheme="minorHAnsi"/>
          <w:b/>
          <w:bCs/>
          <w:u w:val="single"/>
        </w:rPr>
        <w:t>Carácter instrumental de la creación de entidades privadas por la Administración Pública. Requisitos</w:t>
      </w:r>
      <w:r w:rsidRPr="00244EF8">
        <w:rPr>
          <w:rFonts w:ascii="Book Antiqua" w:hAnsi="Book Antiqua" w:cstheme="minorHAnsi"/>
          <w:b/>
          <w:bCs/>
        </w:rPr>
        <w:t>: En materia de organización, la hu</w:t>
      </w:r>
      <w:r w:rsidR="00CC4514">
        <w:rPr>
          <w:rFonts w:ascii="Book Antiqua" w:hAnsi="Book Antiqua" w:cstheme="minorHAnsi"/>
          <w:b/>
          <w:bCs/>
        </w:rPr>
        <w:t>i</w:t>
      </w:r>
      <w:r w:rsidRPr="00244EF8">
        <w:rPr>
          <w:rFonts w:ascii="Book Antiqua" w:hAnsi="Book Antiqua" w:cstheme="minorHAnsi"/>
          <w:b/>
          <w:bCs/>
        </w:rPr>
        <w:t xml:space="preserve">da del Derecho Administrativo lleva a la creación de entidades con formas organizativas privadas para desarrollar típicas funciones administrativas: sociedades en cualquiera de sus tipos y corporaciones o fundaciones de Derecho Privado. </w:t>
      </w:r>
    </w:p>
    <w:p w14:paraId="67E25073" w14:textId="77777777" w:rsidR="00362E00" w:rsidRDefault="00362E00" w:rsidP="00180AA8">
      <w:pPr>
        <w:pStyle w:val="Prrafodelista"/>
        <w:spacing w:before="120" w:after="120" w:line="240" w:lineRule="auto"/>
        <w:contextualSpacing w:val="0"/>
        <w:jc w:val="both"/>
        <w:rPr>
          <w:rFonts w:ascii="Book Antiqua" w:hAnsi="Book Antiqua" w:cstheme="minorHAnsi"/>
        </w:rPr>
      </w:pPr>
      <w:r w:rsidRPr="00FF10ED">
        <w:rPr>
          <w:rFonts w:ascii="Book Antiqua" w:hAnsi="Book Antiqua" w:cstheme="minorHAnsi"/>
        </w:rPr>
        <w:t xml:space="preserve">La creación de estas entidades tiene un evidente carácter instrumental, pues se constituyen cuando los fines específicos que se pretenden conseguir o la necesaria participación de los ciudadanos en la gestión de una función pública hacen necesario o conveniente contar con niveles de eficacia y flexibilidad que no resulta posible alcanzar dentro del marco de la Administración tradicional. Por ello es un requisito básico que la creación y existencia de tales entidades responda a necesidades efectivas derivadas de las exigencias propias de las funciones encomendadas a los organismos que concurren a su creación y que sean elementos coadyuvantes de la consecución del bien común (finalidad encomendada al Estado en el artículo 1° de la Constitución Política). </w:t>
      </w:r>
    </w:p>
    <w:p w14:paraId="70354888" w14:textId="603B046F" w:rsidR="00362E00" w:rsidRDefault="00362E00" w:rsidP="00180AA8">
      <w:pPr>
        <w:pStyle w:val="Prrafodelista"/>
        <w:spacing w:before="120" w:after="120" w:line="240" w:lineRule="auto"/>
        <w:contextualSpacing w:val="0"/>
        <w:jc w:val="both"/>
        <w:rPr>
          <w:rFonts w:ascii="Book Antiqua" w:hAnsi="Book Antiqua" w:cstheme="minorHAnsi"/>
          <w:b/>
          <w:bCs/>
        </w:rPr>
      </w:pPr>
      <w:r w:rsidRPr="00244EF8">
        <w:rPr>
          <w:rFonts w:ascii="Book Antiqua" w:hAnsi="Book Antiqua" w:cstheme="minorHAnsi"/>
          <w:b/>
          <w:bCs/>
        </w:rPr>
        <w:t>En consecuencia, optar por la creación de esta</w:t>
      </w:r>
      <w:r>
        <w:rPr>
          <w:rFonts w:ascii="Book Antiqua" w:hAnsi="Book Antiqua" w:cstheme="minorHAnsi"/>
          <w:b/>
          <w:bCs/>
        </w:rPr>
        <w:t>s</w:t>
      </w:r>
      <w:r w:rsidRPr="00244EF8">
        <w:rPr>
          <w:rFonts w:ascii="Book Antiqua" w:hAnsi="Book Antiqua" w:cstheme="minorHAnsi"/>
          <w:b/>
          <w:bCs/>
        </w:rPr>
        <w:t xml:space="preserve"> entidades no puede responder al mero interés por eludir la aplicación íntegra del Derecho Público, sino al mejor servicio de los ciudadanos; ni tampoco puede implicar que los entes así creados queden por completa fuera del ámbito del Derecho Público, como si </w:t>
      </w:r>
      <w:r w:rsidR="00CC4514">
        <w:rPr>
          <w:rFonts w:ascii="Book Antiqua" w:hAnsi="Book Antiqua" w:cstheme="minorHAnsi"/>
          <w:b/>
          <w:bCs/>
        </w:rPr>
        <w:t xml:space="preserve">su </w:t>
      </w:r>
      <w:r w:rsidRPr="00244EF8">
        <w:rPr>
          <w:rFonts w:ascii="Book Antiqua" w:hAnsi="Book Antiqua" w:cstheme="minorHAnsi"/>
          <w:b/>
          <w:bCs/>
        </w:rPr>
        <w:t xml:space="preserve">creación respondiera al libre despliegue de la iniciativa de los particulares. </w:t>
      </w:r>
    </w:p>
    <w:p w14:paraId="2311D865" w14:textId="6852984E" w:rsidR="00C95AE9" w:rsidRPr="00C95AE9" w:rsidRDefault="00362E00" w:rsidP="00C95AE9">
      <w:pPr>
        <w:pStyle w:val="Prrafodelista"/>
        <w:numPr>
          <w:ilvl w:val="0"/>
          <w:numId w:val="1"/>
        </w:numPr>
        <w:spacing w:before="120" w:after="120" w:line="240" w:lineRule="auto"/>
        <w:contextualSpacing w:val="0"/>
        <w:jc w:val="both"/>
        <w:rPr>
          <w:rFonts w:ascii="Book Antiqua" w:hAnsi="Book Antiqua" w:cstheme="minorHAnsi"/>
        </w:rPr>
      </w:pPr>
      <w:r w:rsidRPr="00FA3107">
        <w:rPr>
          <w:rFonts w:ascii="Book Antiqua" w:hAnsi="Book Antiqua" w:cstheme="minorHAnsi"/>
          <w:b/>
          <w:bCs/>
          <w:u w:val="single"/>
        </w:rPr>
        <w:t>Las Corporaciones Municipales son sujetos obligados por la Ley de Transparencia</w:t>
      </w:r>
      <w:r w:rsidRPr="00244EF8">
        <w:rPr>
          <w:rFonts w:ascii="Book Antiqua" w:hAnsi="Book Antiqua" w:cstheme="minorHAnsi"/>
          <w:b/>
          <w:bCs/>
        </w:rPr>
        <w:t xml:space="preserve">: </w:t>
      </w:r>
      <w:r w:rsidRPr="00362E00">
        <w:rPr>
          <w:rFonts w:ascii="Book Antiqua" w:hAnsi="Book Antiqua" w:cstheme="minorHAnsi"/>
        </w:rPr>
        <w:t xml:space="preserve">En línea con los dictámenes </w:t>
      </w:r>
      <w:r>
        <w:rPr>
          <w:rFonts w:ascii="Book Antiqua" w:hAnsi="Book Antiqua" w:cstheme="minorHAnsi"/>
        </w:rPr>
        <w:t>de Contraloría</w:t>
      </w:r>
      <w:r w:rsidR="00A51224">
        <w:rPr>
          <w:rFonts w:ascii="Book Antiqua" w:hAnsi="Book Antiqua" w:cstheme="minorHAnsi"/>
        </w:rPr>
        <w:t xml:space="preserve"> (en especial </w:t>
      </w:r>
      <w:r w:rsidR="00A51224" w:rsidRPr="00A51224">
        <w:rPr>
          <w:rFonts w:ascii="Book Antiqua" w:hAnsi="Book Antiqua" w:cs="Arial"/>
          <w:b/>
        </w:rPr>
        <w:t>Dictamen N°E160316/2021, de fecha 29 de noviembre de 2021</w:t>
      </w:r>
      <w:r w:rsidR="00A51224" w:rsidRPr="00A51224">
        <w:rPr>
          <w:rFonts w:ascii="Book Antiqua" w:hAnsi="Book Antiqua" w:cs="Arial"/>
          <w:bCs/>
        </w:rPr>
        <w:t>, el cual estableció la obligatoriedad de la observancia de la Ley de Transparencia</w:t>
      </w:r>
      <w:r w:rsidR="00CC4514">
        <w:rPr>
          <w:rFonts w:ascii="Book Antiqua" w:hAnsi="Book Antiqua" w:cs="Arial"/>
          <w:bCs/>
        </w:rPr>
        <w:t xml:space="preserve"> y de otras normas en materia de integridad pública,</w:t>
      </w:r>
      <w:r w:rsidR="00A51224" w:rsidRPr="00A51224">
        <w:rPr>
          <w:rFonts w:ascii="Book Antiqua" w:hAnsi="Book Antiqua" w:cs="Arial"/>
          <w:bCs/>
        </w:rPr>
        <w:t xml:space="preserve"> por parte de las Corporaciones Municipales)</w:t>
      </w:r>
      <w:r w:rsidRPr="00A51224">
        <w:rPr>
          <w:rFonts w:ascii="Book Antiqua" w:hAnsi="Book Antiqua" w:cstheme="minorHAnsi"/>
          <w:bCs/>
        </w:rPr>
        <w:t>,</w:t>
      </w:r>
      <w:r>
        <w:rPr>
          <w:rFonts w:ascii="Book Antiqua" w:hAnsi="Book Antiqua" w:cstheme="minorHAnsi"/>
        </w:rPr>
        <w:t xml:space="preserve"> que establecieron que si se les aplica a estas entidades la Ley Nº 20.285 sobre Acceso a la Información Pública</w:t>
      </w:r>
      <w:r w:rsidRPr="00362E00">
        <w:rPr>
          <w:rFonts w:ascii="Book Antiqua" w:hAnsi="Book Antiqua" w:cstheme="minorHAnsi"/>
        </w:rPr>
        <w:t xml:space="preserve">, el Consejo concluyó </w:t>
      </w:r>
      <w:r w:rsidR="00A51224">
        <w:rPr>
          <w:rFonts w:ascii="Book Antiqua" w:hAnsi="Book Antiqua" w:cstheme="minorHAnsi"/>
        </w:rPr>
        <w:t>(</w:t>
      </w:r>
      <w:r w:rsidR="00A51224" w:rsidRPr="00CD409A">
        <w:rPr>
          <w:rFonts w:ascii="Book Antiqua" w:hAnsi="Book Antiqua" w:cs="Arial"/>
          <w:bCs/>
        </w:rPr>
        <w:t xml:space="preserve">en la decisión del amparo </w:t>
      </w:r>
      <w:r w:rsidR="00A51224" w:rsidRPr="00CD409A">
        <w:rPr>
          <w:rFonts w:ascii="Book Antiqua" w:hAnsi="Book Antiqua" w:cs="Arial"/>
          <w:b/>
        </w:rPr>
        <w:t>Rol C1519-22, de mayo de 2022</w:t>
      </w:r>
      <w:r w:rsidR="00A51224">
        <w:rPr>
          <w:rFonts w:ascii="Book Antiqua" w:hAnsi="Book Antiqua" w:cs="Arial"/>
          <w:b/>
        </w:rPr>
        <w:t xml:space="preserve">), </w:t>
      </w:r>
      <w:r w:rsidRPr="00362E00">
        <w:rPr>
          <w:rFonts w:ascii="Book Antiqua" w:hAnsi="Book Antiqua" w:cstheme="minorHAnsi"/>
        </w:rPr>
        <w:t xml:space="preserve">que las disposiciones de la </w:t>
      </w:r>
      <w:r w:rsidR="00A51224">
        <w:rPr>
          <w:rFonts w:ascii="Book Antiqua" w:hAnsi="Book Antiqua" w:cstheme="minorHAnsi"/>
        </w:rPr>
        <w:t>LT</w:t>
      </w:r>
      <w:r w:rsidRPr="00362E00">
        <w:rPr>
          <w:rFonts w:ascii="Book Antiqua" w:hAnsi="Book Antiqua" w:cstheme="minorHAnsi"/>
        </w:rPr>
        <w:t xml:space="preserve"> son de aplicación obligatoria para las Corporaciones Municipales, </w:t>
      </w:r>
      <w:r w:rsidR="00CC4514">
        <w:rPr>
          <w:rFonts w:ascii="Book Antiqua" w:hAnsi="Book Antiqua" w:cstheme="minorHAnsi"/>
          <w:b/>
          <w:bCs/>
        </w:rPr>
        <w:t>en tanto</w:t>
      </w:r>
      <w:r w:rsidRPr="00430FE4">
        <w:rPr>
          <w:rFonts w:ascii="Book Antiqua" w:hAnsi="Book Antiqua" w:cstheme="minorHAnsi"/>
          <w:b/>
          <w:bCs/>
        </w:rPr>
        <w:t xml:space="preserve"> </w:t>
      </w:r>
      <w:r w:rsidR="00A51224" w:rsidRPr="00A51224">
        <w:rPr>
          <w:rFonts w:ascii="Book Antiqua" w:hAnsi="Book Antiqua" w:cstheme="minorHAnsi"/>
          <w:b/>
          <w:bCs/>
        </w:rPr>
        <w:t>las funciones que desempeñ</w:t>
      </w:r>
      <w:r w:rsidR="00CC4514">
        <w:rPr>
          <w:rFonts w:ascii="Book Antiqua" w:hAnsi="Book Antiqua" w:cstheme="minorHAnsi"/>
          <w:b/>
          <w:bCs/>
        </w:rPr>
        <w:t>e</w:t>
      </w:r>
      <w:r w:rsidR="00A51224" w:rsidRPr="00A51224">
        <w:rPr>
          <w:rFonts w:ascii="Book Antiqua" w:hAnsi="Book Antiqua" w:cstheme="minorHAnsi"/>
          <w:b/>
          <w:bCs/>
        </w:rPr>
        <w:t xml:space="preserve">n o </w:t>
      </w:r>
      <w:r w:rsidR="00CC4514">
        <w:rPr>
          <w:rFonts w:ascii="Book Antiqua" w:hAnsi="Book Antiqua" w:cstheme="minorHAnsi"/>
          <w:b/>
          <w:bCs/>
        </w:rPr>
        <w:t>aquellas</w:t>
      </w:r>
      <w:r w:rsidR="00A51224" w:rsidRPr="00A51224">
        <w:rPr>
          <w:rFonts w:ascii="Book Antiqua" w:hAnsi="Book Antiqua" w:cstheme="minorHAnsi"/>
          <w:b/>
          <w:bCs/>
        </w:rPr>
        <w:t xml:space="preserve"> mediante las cuales satisfacen determinadas necesidades de la ciudadanía, sean de naturaleza administrativa (función pública administrativa)</w:t>
      </w:r>
      <w:r w:rsidR="00A51224">
        <w:rPr>
          <w:rFonts w:ascii="Book Antiqua" w:hAnsi="Book Antiqua" w:cstheme="minorHAnsi"/>
          <w:b/>
          <w:bCs/>
        </w:rPr>
        <w:t xml:space="preserve"> y q</w:t>
      </w:r>
      <w:r w:rsidR="00A51224" w:rsidRPr="00A51224">
        <w:rPr>
          <w:rFonts w:ascii="Book Antiqua" w:hAnsi="Book Antiqua" w:cstheme="minorHAnsi"/>
          <w:b/>
          <w:bCs/>
        </w:rPr>
        <w:t>ue, para cumplir con dicho propósito, perciban financiamiento de origen fiscal, aportes o subvenciones estatales</w:t>
      </w:r>
      <w:r w:rsidR="00A51224">
        <w:rPr>
          <w:rFonts w:ascii="Book Antiqua" w:hAnsi="Book Antiqua" w:cstheme="minorHAnsi"/>
          <w:b/>
          <w:bCs/>
        </w:rPr>
        <w:t>.</w:t>
      </w:r>
    </w:p>
    <w:p w14:paraId="2A853187" w14:textId="41990F9C" w:rsidR="00C95AE9" w:rsidRPr="00C95AE9" w:rsidRDefault="00C95AE9" w:rsidP="00C95AE9">
      <w:pPr>
        <w:pStyle w:val="Prrafodelista"/>
        <w:numPr>
          <w:ilvl w:val="0"/>
          <w:numId w:val="1"/>
        </w:numPr>
        <w:spacing w:before="120" w:after="120" w:line="240" w:lineRule="auto"/>
        <w:contextualSpacing w:val="0"/>
        <w:jc w:val="both"/>
        <w:rPr>
          <w:rFonts w:ascii="Book Antiqua" w:hAnsi="Book Antiqua" w:cstheme="minorHAnsi"/>
        </w:rPr>
      </w:pPr>
      <w:r w:rsidRPr="00C95AE9">
        <w:rPr>
          <w:rFonts w:ascii="Book Antiqua" w:eastAsia="Book Antiqua" w:hAnsi="Book Antiqua" w:cs="Book Antiqua"/>
          <w:color w:val="000000"/>
          <w:spacing w:val="4"/>
        </w:rPr>
        <w:lastRenderedPageBreak/>
        <w:t>Sobre el particular, cabe hacer presente que en la parte considerativa de la antes mencionada decisión, este Consejo señaló, en lo pertinente, que: “</w:t>
      </w:r>
      <w:r w:rsidRPr="00C95AE9">
        <w:rPr>
          <w:rFonts w:ascii="Book Antiqua" w:eastAsia="Book Antiqua" w:hAnsi="Book Antiqua" w:cs="Book Antiqua"/>
          <w:i/>
          <w:iCs/>
          <w:color w:val="000000"/>
          <w:spacing w:val="4"/>
          <w:lang w:val="es-419"/>
        </w:rPr>
        <w:t>existen una serie de entidades que formadas bajo el Derecho Privado han sido creadas por el Estado -por intermedio de sus autoridades-, pero que en la actualidad no están sujetas a ningún tipo de rendición de cuentas o control social a favor de la ciudadanía, ya sea por no haber sido creadas bajo el alero del artículo 12 del decreto con fuerza de ley N°1-3.063, de 1980, del entonces Ministerio del Interior ni en el marco del artículo 129 de la ley Nº18.695 conforme al criterio dispuesto por la Contraría General de la República en el referido dictamen, como por tratarse de entidades en las que no existió una concurrencia mayoritaria o exclusiva de órganos públicos en su creación o no tienen una integración de sus órganos de decisión, administración y control por autoridades o funcionarios públicos o personas nombradas por éstos, como es el caso de muchas corporaciones culturales o deportivas</w:t>
      </w:r>
      <w:r w:rsidRPr="00C95AE9">
        <w:rPr>
          <w:rFonts w:ascii="Book Antiqua" w:eastAsia="Book Antiqua" w:hAnsi="Book Antiqua" w:cs="Book Antiqua"/>
          <w:color w:val="000000"/>
          <w:spacing w:val="4"/>
        </w:rPr>
        <w:t xml:space="preserve"> (…)”.</w:t>
      </w:r>
    </w:p>
    <w:p w14:paraId="36EA364A" w14:textId="13A27187" w:rsidR="00110C83" w:rsidRDefault="00110C83" w:rsidP="00180AA8">
      <w:pPr>
        <w:pStyle w:val="Prrafodelista"/>
        <w:numPr>
          <w:ilvl w:val="0"/>
          <w:numId w:val="1"/>
        </w:numPr>
        <w:spacing w:before="120" w:after="120" w:line="240" w:lineRule="auto"/>
        <w:contextualSpacing w:val="0"/>
        <w:jc w:val="both"/>
        <w:rPr>
          <w:rFonts w:ascii="Book Antiqua" w:hAnsi="Book Antiqua" w:cstheme="minorHAnsi"/>
        </w:rPr>
      </w:pPr>
      <w:r w:rsidRPr="00110C83">
        <w:rPr>
          <w:rFonts w:ascii="Book Antiqua" w:hAnsi="Book Antiqua" w:cstheme="minorHAnsi"/>
        </w:rPr>
        <w:t>E</w:t>
      </w:r>
      <w:r>
        <w:rPr>
          <w:rFonts w:ascii="Book Antiqua" w:hAnsi="Book Antiqua" w:cstheme="minorHAnsi"/>
        </w:rPr>
        <w:t>st</w:t>
      </w:r>
      <w:r w:rsidR="003D3413">
        <w:rPr>
          <w:rFonts w:ascii="Book Antiqua" w:hAnsi="Book Antiqua" w:cstheme="minorHAnsi"/>
        </w:rPr>
        <w:t>os</w:t>
      </w:r>
      <w:r w:rsidRPr="00110C83">
        <w:rPr>
          <w:rFonts w:ascii="Book Antiqua" w:hAnsi="Book Antiqua" w:cstheme="minorHAnsi"/>
        </w:rPr>
        <w:t xml:space="preserve"> criterio</w:t>
      </w:r>
      <w:r w:rsidR="003D3413">
        <w:rPr>
          <w:rFonts w:ascii="Book Antiqua" w:hAnsi="Book Antiqua" w:cstheme="minorHAnsi"/>
        </w:rPr>
        <w:t>s</w:t>
      </w:r>
      <w:r w:rsidRPr="00110C83">
        <w:rPr>
          <w:rFonts w:ascii="Book Antiqua" w:hAnsi="Book Antiqua" w:cstheme="minorHAnsi"/>
        </w:rPr>
        <w:t xml:space="preserve"> se ha</w:t>
      </w:r>
      <w:r w:rsidR="003D3413">
        <w:rPr>
          <w:rFonts w:ascii="Book Antiqua" w:hAnsi="Book Antiqua" w:cstheme="minorHAnsi"/>
        </w:rPr>
        <w:t>n</w:t>
      </w:r>
      <w:r w:rsidRPr="00110C83">
        <w:rPr>
          <w:rFonts w:ascii="Book Antiqua" w:hAnsi="Book Antiqua" w:cstheme="minorHAnsi"/>
        </w:rPr>
        <w:t xml:space="preserve"> aplicado por el CPLT en el último tiempo, determinándose la aplicación de la Ley de Transparencia</w:t>
      </w:r>
      <w:r w:rsidR="00CC4514">
        <w:rPr>
          <w:rFonts w:ascii="Book Antiqua" w:hAnsi="Book Antiqua" w:cstheme="minorHAnsi"/>
        </w:rPr>
        <w:t xml:space="preserve"> (ya sea en virtud de sus decisiones de amparo como a través de pronunciamientos jurídicos)</w:t>
      </w:r>
      <w:r w:rsidRPr="00110C83">
        <w:rPr>
          <w:rFonts w:ascii="Book Antiqua" w:hAnsi="Book Antiqua" w:cstheme="minorHAnsi"/>
        </w:rPr>
        <w:t xml:space="preserve">, por ejemplo, respecto de las siguientes entidades: </w:t>
      </w:r>
    </w:p>
    <w:p w14:paraId="661E6DDB" w14:textId="77777777" w:rsidR="00CC4514" w:rsidRDefault="00CC4514" w:rsidP="00CC4514">
      <w:pPr>
        <w:pStyle w:val="Prrafodelista"/>
        <w:numPr>
          <w:ilvl w:val="1"/>
          <w:numId w:val="1"/>
        </w:numPr>
        <w:spacing w:before="120" w:after="120" w:line="240" w:lineRule="auto"/>
        <w:contextualSpacing w:val="0"/>
        <w:jc w:val="both"/>
        <w:rPr>
          <w:rFonts w:ascii="Book Antiqua" w:hAnsi="Book Antiqua" w:cstheme="minorHAnsi"/>
        </w:rPr>
      </w:pPr>
      <w:r w:rsidRPr="00110C83">
        <w:rPr>
          <w:rFonts w:ascii="Book Antiqua" w:hAnsi="Book Antiqua" w:cstheme="minorHAnsi"/>
        </w:rPr>
        <w:t xml:space="preserve">Corporación Cultural de Las Condes (decisión amparo Rol C1519-22). </w:t>
      </w:r>
    </w:p>
    <w:p w14:paraId="386948BF" w14:textId="77777777" w:rsidR="00CC4514" w:rsidRDefault="00CC4514" w:rsidP="00CC4514">
      <w:pPr>
        <w:pStyle w:val="Prrafodelista"/>
        <w:numPr>
          <w:ilvl w:val="1"/>
          <w:numId w:val="1"/>
        </w:numPr>
        <w:spacing w:before="120" w:after="120" w:line="240" w:lineRule="auto"/>
        <w:contextualSpacing w:val="0"/>
        <w:jc w:val="both"/>
        <w:rPr>
          <w:rFonts w:ascii="Book Antiqua" w:hAnsi="Book Antiqua" w:cstheme="minorHAnsi"/>
        </w:rPr>
      </w:pPr>
      <w:r w:rsidRPr="00110C83">
        <w:rPr>
          <w:rFonts w:ascii="Book Antiqua" w:hAnsi="Book Antiqua" w:cstheme="minorHAnsi"/>
        </w:rPr>
        <w:t xml:space="preserve">Fundación Club Providencia (Oficio N° E2272, de febrero de 2023). </w:t>
      </w:r>
    </w:p>
    <w:p w14:paraId="3A18873A" w14:textId="77777777" w:rsidR="00CC4514" w:rsidRDefault="00CC4514" w:rsidP="00CC4514">
      <w:pPr>
        <w:pStyle w:val="Prrafodelista"/>
        <w:numPr>
          <w:ilvl w:val="1"/>
          <w:numId w:val="1"/>
        </w:numPr>
        <w:spacing w:before="120" w:after="120" w:line="240" w:lineRule="auto"/>
        <w:contextualSpacing w:val="0"/>
        <w:jc w:val="both"/>
        <w:rPr>
          <w:rFonts w:ascii="Book Antiqua" w:hAnsi="Book Antiqua" w:cstheme="minorHAnsi"/>
        </w:rPr>
      </w:pPr>
      <w:r w:rsidRPr="00110C83">
        <w:rPr>
          <w:rFonts w:ascii="Book Antiqua" w:hAnsi="Book Antiqua" w:cstheme="minorHAnsi"/>
        </w:rPr>
        <w:t xml:space="preserve">La Corporación Municipal de Cultura, la Corporación Municipal de Deportes y la Corporación Municipal de Desarrollo Comunal y Productivo, todas de la Municipalidad de Talca (Oficio N° E16391, de agosto de 2022). </w:t>
      </w:r>
    </w:p>
    <w:p w14:paraId="5A088C9E" w14:textId="77777777" w:rsidR="00CC4514" w:rsidRDefault="00CC4514" w:rsidP="00CC4514">
      <w:pPr>
        <w:pStyle w:val="Prrafodelista"/>
        <w:numPr>
          <w:ilvl w:val="1"/>
          <w:numId w:val="1"/>
        </w:numPr>
        <w:spacing w:before="120" w:after="120" w:line="240" w:lineRule="auto"/>
        <w:contextualSpacing w:val="0"/>
        <w:jc w:val="both"/>
        <w:rPr>
          <w:rFonts w:ascii="Book Antiqua" w:hAnsi="Book Antiqua" w:cstheme="minorHAnsi"/>
        </w:rPr>
      </w:pPr>
      <w:r w:rsidRPr="00110C83">
        <w:rPr>
          <w:rFonts w:ascii="Book Antiqua" w:hAnsi="Book Antiqua" w:cstheme="minorHAnsi"/>
        </w:rPr>
        <w:t>La Corporación de Deportes y Recreación de la Municipalidad de Aysén (Oficio Nº E15027, de agosto de 2022).</w:t>
      </w:r>
    </w:p>
    <w:p w14:paraId="79390A2E" w14:textId="1C60B40A" w:rsidR="007274EC" w:rsidRPr="00CC4514" w:rsidRDefault="007274EC" w:rsidP="00CC4514">
      <w:pPr>
        <w:pStyle w:val="Prrafodelista"/>
        <w:numPr>
          <w:ilvl w:val="0"/>
          <w:numId w:val="1"/>
        </w:numPr>
        <w:spacing w:before="120" w:after="120" w:line="240" w:lineRule="auto"/>
        <w:contextualSpacing w:val="0"/>
        <w:jc w:val="both"/>
        <w:rPr>
          <w:rFonts w:ascii="Book Antiqua" w:hAnsi="Book Antiqua" w:cstheme="minorHAnsi"/>
        </w:rPr>
      </w:pPr>
      <w:r w:rsidRPr="00CC4514">
        <w:rPr>
          <w:rFonts w:ascii="Book Antiqua" w:hAnsi="Book Antiqua" w:cs="Arial"/>
          <w:bCs/>
        </w:rPr>
        <w:t>Sin embargo, una de las deficiencias m</w:t>
      </w:r>
      <w:r w:rsidR="00CC4514" w:rsidRPr="00CC4514">
        <w:rPr>
          <w:rFonts w:ascii="Book Antiqua" w:hAnsi="Book Antiqua" w:cs="Arial"/>
          <w:bCs/>
        </w:rPr>
        <w:t>á</w:t>
      </w:r>
      <w:r w:rsidRPr="00CC4514">
        <w:rPr>
          <w:rFonts w:ascii="Book Antiqua" w:hAnsi="Book Antiqua" w:cs="Arial"/>
          <w:bCs/>
        </w:rPr>
        <w:t xml:space="preserve">s importantes para poder alcanzar mejores </w:t>
      </w:r>
      <w:r w:rsidR="00CC4514" w:rsidRPr="00CC4514">
        <w:rPr>
          <w:rFonts w:ascii="Book Antiqua" w:hAnsi="Book Antiqua" w:cs="Arial"/>
          <w:bCs/>
        </w:rPr>
        <w:t xml:space="preserve">estándares </w:t>
      </w:r>
      <w:r w:rsidRPr="00CC4514">
        <w:rPr>
          <w:rFonts w:ascii="Book Antiqua" w:hAnsi="Book Antiqua" w:cs="Arial"/>
          <w:bCs/>
        </w:rPr>
        <w:t xml:space="preserve">de transparencia en estas entidades, </w:t>
      </w:r>
      <w:r w:rsidRPr="00CC4514">
        <w:rPr>
          <w:rFonts w:ascii="Book Antiqua" w:hAnsi="Book Antiqua" w:cs="Arial"/>
          <w:b/>
        </w:rPr>
        <w:t>pasa por dimensionar claramente el universo de corporaciones municipales a nivel nacional</w:t>
      </w:r>
      <w:r w:rsidRPr="00CC4514">
        <w:rPr>
          <w:rFonts w:ascii="Book Antiqua" w:hAnsi="Book Antiqua" w:cs="Arial"/>
          <w:bCs/>
        </w:rPr>
        <w:t xml:space="preserve">. </w:t>
      </w:r>
      <w:r w:rsidR="00AB07ED" w:rsidRPr="00CC4514">
        <w:rPr>
          <w:rFonts w:ascii="Book Antiqua" w:hAnsi="Book Antiqua" w:cs="Arial"/>
          <w:bCs/>
        </w:rPr>
        <w:t xml:space="preserve">Atendido el alto numero de corporaciones de carácter municipal </w:t>
      </w:r>
      <w:r w:rsidR="00AB07ED" w:rsidRPr="00CC4514">
        <w:rPr>
          <w:rFonts w:ascii="Book Antiqua" w:hAnsi="Book Antiqua" w:cs="Arial"/>
          <w:bCs/>
          <w:lang w:val="es-ES"/>
        </w:rPr>
        <w:t>destinadas a la promoción y difusión del arte, cultura y deporte o el fomento de obras de desarrollo comunal y productivo</w:t>
      </w:r>
      <w:r w:rsidR="00AB07ED" w:rsidRPr="00CC4514">
        <w:rPr>
          <w:rFonts w:ascii="Book Antiqua" w:hAnsi="Book Antiqua" w:cs="Arial"/>
          <w:bCs/>
        </w:rPr>
        <w:t>, resulta complejo poder establecer un numero determinado de estas. Es por esto, que el Consejo para la Transparencia ha ido estableciendo un catastro de estas entidades a partir de la información remitida por las mismas municipalidades a nivel nacional</w:t>
      </w:r>
      <w:r w:rsidR="00CC4514">
        <w:rPr>
          <w:rFonts w:ascii="Book Antiqua" w:hAnsi="Book Antiqua" w:cs="Arial"/>
          <w:bCs/>
        </w:rPr>
        <w:t>, a requerimiento de este órgano.</w:t>
      </w:r>
    </w:p>
    <w:p w14:paraId="2A1F1C1E" w14:textId="21DA1699" w:rsidR="00AB07ED" w:rsidRPr="00CC4514" w:rsidRDefault="00CC4514" w:rsidP="00180AA8">
      <w:pPr>
        <w:pStyle w:val="NormalWeb"/>
        <w:numPr>
          <w:ilvl w:val="0"/>
          <w:numId w:val="3"/>
        </w:numPr>
        <w:tabs>
          <w:tab w:val="left" w:pos="0"/>
        </w:tabs>
        <w:spacing w:before="120" w:beforeAutospacing="0" w:after="120" w:afterAutospacing="0"/>
        <w:jc w:val="both"/>
        <w:rPr>
          <w:rFonts w:ascii="Book Antiqua" w:hAnsi="Book Antiqua" w:cs="Arial"/>
          <w:bCs/>
          <w:sz w:val="22"/>
          <w:szCs w:val="22"/>
        </w:rPr>
      </w:pPr>
      <w:r w:rsidRPr="00CC4514">
        <w:rPr>
          <w:rFonts w:ascii="Book Antiqua" w:hAnsi="Book Antiqua" w:cs="Arial"/>
          <w:bCs/>
          <w:sz w:val="22"/>
          <w:szCs w:val="22"/>
        </w:rPr>
        <w:t>Se hace presente que</w:t>
      </w:r>
      <w:r w:rsidR="00AB07ED" w:rsidRPr="00CC4514">
        <w:rPr>
          <w:rFonts w:ascii="Book Antiqua" w:hAnsi="Book Antiqua" w:cs="Arial"/>
          <w:bCs/>
          <w:sz w:val="22"/>
          <w:szCs w:val="22"/>
        </w:rPr>
        <w:t xml:space="preserve"> existen otras figuras jurídicas de carácter privado que s</w:t>
      </w:r>
      <w:r w:rsidRPr="00CC4514">
        <w:rPr>
          <w:rFonts w:ascii="Book Antiqua" w:hAnsi="Book Antiqua" w:cs="Arial"/>
          <w:bCs/>
          <w:sz w:val="22"/>
          <w:szCs w:val="22"/>
        </w:rPr>
        <w:t>í</w:t>
      </w:r>
      <w:r w:rsidR="00AB07ED" w:rsidRPr="00CC4514">
        <w:rPr>
          <w:rFonts w:ascii="Book Antiqua" w:hAnsi="Book Antiqua" w:cs="Arial"/>
          <w:bCs/>
          <w:sz w:val="22"/>
          <w:szCs w:val="22"/>
        </w:rPr>
        <w:t xml:space="preserve"> reciben aportes de parte de las municipalidades, como son </w:t>
      </w:r>
      <w:r w:rsidR="00AB07ED" w:rsidRPr="00CC4514">
        <w:rPr>
          <w:rFonts w:ascii="Book Antiqua" w:hAnsi="Book Antiqua" w:cs="Arial"/>
          <w:b/>
          <w:sz w:val="22"/>
          <w:szCs w:val="22"/>
        </w:rPr>
        <w:t>las organizaciones comunitarias funcionales</w:t>
      </w:r>
      <w:r w:rsidR="00AB07ED" w:rsidRPr="00CC4514">
        <w:rPr>
          <w:rFonts w:ascii="Book Antiqua" w:hAnsi="Book Antiqua" w:cs="Arial"/>
          <w:bCs/>
          <w:sz w:val="22"/>
          <w:szCs w:val="22"/>
        </w:rPr>
        <w:t xml:space="preserve">, </w:t>
      </w:r>
      <w:r>
        <w:rPr>
          <w:rFonts w:ascii="Book Antiqua" w:hAnsi="Book Antiqua" w:cs="Arial"/>
          <w:bCs/>
          <w:sz w:val="22"/>
          <w:szCs w:val="22"/>
        </w:rPr>
        <w:t>respecto de las cuales debiera avanzarse también en materia de transparencia y probidad</w:t>
      </w:r>
      <w:r w:rsidR="00AB07ED" w:rsidRPr="00CC4514">
        <w:rPr>
          <w:rFonts w:ascii="Book Antiqua" w:hAnsi="Book Antiqua" w:cs="Arial"/>
          <w:bCs/>
          <w:sz w:val="22"/>
          <w:szCs w:val="22"/>
        </w:rPr>
        <w:t xml:space="preserve">. </w:t>
      </w:r>
    </w:p>
    <w:p w14:paraId="53707109" w14:textId="77777777" w:rsidR="00C2457C" w:rsidRDefault="00C2457C" w:rsidP="00180AA8">
      <w:pPr>
        <w:pStyle w:val="NormalWeb"/>
        <w:tabs>
          <w:tab w:val="left" w:pos="0"/>
        </w:tabs>
        <w:spacing w:before="120" w:beforeAutospacing="0" w:after="120" w:afterAutospacing="0"/>
        <w:ind w:left="720"/>
        <w:jc w:val="both"/>
        <w:rPr>
          <w:rFonts w:ascii="Book Antiqua" w:hAnsi="Book Antiqua" w:cs="Arial"/>
          <w:bCs/>
          <w:sz w:val="22"/>
          <w:szCs w:val="22"/>
          <w:highlight w:val="yellow"/>
        </w:rPr>
      </w:pPr>
    </w:p>
    <w:p w14:paraId="438A9B29" w14:textId="77777777" w:rsidR="00CC4514" w:rsidRDefault="00CC4514" w:rsidP="00180AA8">
      <w:pPr>
        <w:pStyle w:val="NormalWeb"/>
        <w:tabs>
          <w:tab w:val="left" w:pos="0"/>
        </w:tabs>
        <w:spacing w:before="120" w:beforeAutospacing="0" w:after="120" w:afterAutospacing="0"/>
        <w:ind w:left="720"/>
        <w:jc w:val="both"/>
        <w:rPr>
          <w:rFonts w:ascii="Book Antiqua" w:hAnsi="Book Antiqua" w:cs="Arial"/>
          <w:bCs/>
          <w:sz w:val="22"/>
          <w:szCs w:val="22"/>
          <w:highlight w:val="yellow"/>
        </w:rPr>
      </w:pPr>
    </w:p>
    <w:p w14:paraId="457E8607" w14:textId="77777777" w:rsidR="00CC4514" w:rsidRDefault="00CC4514" w:rsidP="00180AA8">
      <w:pPr>
        <w:pStyle w:val="NormalWeb"/>
        <w:tabs>
          <w:tab w:val="left" w:pos="0"/>
        </w:tabs>
        <w:spacing w:before="120" w:beforeAutospacing="0" w:after="120" w:afterAutospacing="0"/>
        <w:ind w:left="720"/>
        <w:jc w:val="both"/>
        <w:rPr>
          <w:rFonts w:ascii="Book Antiqua" w:hAnsi="Book Antiqua" w:cs="Arial"/>
          <w:bCs/>
          <w:sz w:val="22"/>
          <w:szCs w:val="22"/>
          <w:highlight w:val="yellow"/>
        </w:rPr>
      </w:pPr>
    </w:p>
    <w:p w14:paraId="7215AAD5" w14:textId="77777777" w:rsidR="00CC4514" w:rsidRDefault="00CC4514" w:rsidP="00180AA8">
      <w:pPr>
        <w:pStyle w:val="NormalWeb"/>
        <w:tabs>
          <w:tab w:val="left" w:pos="0"/>
        </w:tabs>
        <w:spacing w:before="120" w:beforeAutospacing="0" w:after="120" w:afterAutospacing="0"/>
        <w:ind w:left="720"/>
        <w:jc w:val="both"/>
        <w:rPr>
          <w:rFonts w:ascii="Book Antiqua" w:hAnsi="Book Antiqua" w:cs="Arial"/>
          <w:bCs/>
          <w:sz w:val="22"/>
          <w:szCs w:val="22"/>
          <w:highlight w:val="yellow"/>
        </w:rPr>
      </w:pPr>
    </w:p>
    <w:p w14:paraId="498E3F32" w14:textId="59785A9C" w:rsidR="00CD409A" w:rsidRPr="003D3413" w:rsidRDefault="00A51224" w:rsidP="00180AA8">
      <w:pPr>
        <w:pStyle w:val="NormalWeb"/>
        <w:numPr>
          <w:ilvl w:val="0"/>
          <w:numId w:val="2"/>
        </w:numPr>
        <w:tabs>
          <w:tab w:val="left" w:pos="0"/>
        </w:tabs>
        <w:spacing w:before="120" w:beforeAutospacing="0" w:after="120" w:afterAutospacing="0"/>
        <w:jc w:val="both"/>
        <w:rPr>
          <w:rFonts w:ascii="Book Antiqua" w:hAnsi="Book Antiqua" w:cs="Arial"/>
          <w:b/>
          <w:sz w:val="22"/>
          <w:szCs w:val="22"/>
          <w:u w:val="single"/>
        </w:rPr>
      </w:pPr>
      <w:r w:rsidRPr="003D3413">
        <w:rPr>
          <w:rFonts w:ascii="Book Antiqua" w:hAnsi="Book Antiqua" w:cs="Arial"/>
          <w:b/>
          <w:sz w:val="22"/>
          <w:szCs w:val="22"/>
          <w:u w:val="single"/>
        </w:rPr>
        <w:lastRenderedPageBreak/>
        <w:t>Posición del CPLT respecto de los proyectos de ley sobre probidad municipal</w:t>
      </w:r>
    </w:p>
    <w:p w14:paraId="150927C9" w14:textId="77777777" w:rsidR="00F873BC" w:rsidRDefault="00F873BC" w:rsidP="00180AA8">
      <w:pPr>
        <w:pStyle w:val="NormalWeb"/>
        <w:tabs>
          <w:tab w:val="left" w:pos="0"/>
        </w:tabs>
        <w:spacing w:before="120" w:beforeAutospacing="0" w:after="120" w:afterAutospacing="0"/>
        <w:jc w:val="both"/>
        <w:rPr>
          <w:rFonts w:ascii="Book Antiqua" w:hAnsi="Book Antiqua" w:cs="Arial"/>
          <w:bCs/>
          <w:sz w:val="22"/>
          <w:szCs w:val="22"/>
        </w:rPr>
      </w:pPr>
    </w:p>
    <w:p w14:paraId="15EE6DB6" w14:textId="382A8A28" w:rsidR="00C2457C" w:rsidRDefault="00C2457C" w:rsidP="00180AA8">
      <w:pPr>
        <w:pStyle w:val="NormalWeb"/>
        <w:numPr>
          <w:ilvl w:val="0"/>
          <w:numId w:val="5"/>
        </w:numPr>
        <w:tabs>
          <w:tab w:val="left" w:pos="0"/>
        </w:tabs>
        <w:spacing w:before="120" w:beforeAutospacing="0" w:after="120" w:afterAutospacing="0"/>
        <w:jc w:val="both"/>
        <w:rPr>
          <w:rFonts w:ascii="Book Antiqua" w:hAnsi="Book Antiqua" w:cs="Arial"/>
          <w:bCs/>
          <w:sz w:val="22"/>
          <w:szCs w:val="22"/>
        </w:rPr>
      </w:pPr>
      <w:r>
        <w:rPr>
          <w:rFonts w:ascii="Book Antiqua" w:hAnsi="Book Antiqua" w:cs="Arial"/>
          <w:bCs/>
          <w:sz w:val="22"/>
          <w:szCs w:val="22"/>
        </w:rPr>
        <w:t xml:space="preserve">Durante la tramitación legislativa de la actual </w:t>
      </w:r>
      <w:r w:rsidRPr="00C2457C">
        <w:rPr>
          <w:rFonts w:ascii="Book Antiqua" w:hAnsi="Book Antiqua" w:cs="Arial"/>
          <w:b/>
          <w:sz w:val="22"/>
          <w:szCs w:val="22"/>
        </w:rPr>
        <w:t>Ley Nº 21.534</w:t>
      </w:r>
      <w:r>
        <w:rPr>
          <w:rFonts w:ascii="Book Antiqua" w:hAnsi="Book Antiqua" w:cs="Arial"/>
          <w:bCs/>
          <w:sz w:val="22"/>
          <w:szCs w:val="22"/>
        </w:rPr>
        <w:t xml:space="preserve"> </w:t>
      </w:r>
      <w:r w:rsidRPr="00C2457C">
        <w:rPr>
          <w:rFonts w:ascii="Book Antiqua" w:hAnsi="Book Antiqua" w:cs="Arial"/>
          <w:bCs/>
          <w:sz w:val="22"/>
          <w:szCs w:val="22"/>
        </w:rPr>
        <w:t>sobre publicidad de las sesiones de los consejos regionales y concejos municipales, publicada el 31 de enero de 2023</w:t>
      </w:r>
      <w:r w:rsidR="00CC4514">
        <w:rPr>
          <w:rFonts w:ascii="Book Antiqua" w:hAnsi="Book Antiqua" w:cs="Arial"/>
          <w:bCs/>
          <w:sz w:val="22"/>
          <w:szCs w:val="22"/>
        </w:rPr>
        <w:t xml:space="preserve"> (en vigencia a contar del 31 de marzo)</w:t>
      </w:r>
      <w:r w:rsidRPr="00C2457C">
        <w:rPr>
          <w:rFonts w:ascii="Book Antiqua" w:hAnsi="Book Antiqua" w:cs="Arial"/>
          <w:bCs/>
          <w:sz w:val="22"/>
          <w:szCs w:val="22"/>
        </w:rPr>
        <w:t xml:space="preserve">, </w:t>
      </w:r>
      <w:r>
        <w:rPr>
          <w:rFonts w:ascii="Book Antiqua" w:hAnsi="Book Antiqua" w:cs="Arial"/>
          <w:bCs/>
          <w:sz w:val="22"/>
          <w:szCs w:val="22"/>
        </w:rPr>
        <w:t>el Consejo para la Transparencia realizó una serie de propuestas de perfeccionamiento normativo, dentro de las cuales se pueden destacar:</w:t>
      </w:r>
    </w:p>
    <w:p w14:paraId="337F82ED" w14:textId="3AB017F6" w:rsidR="00C2457C" w:rsidRDefault="00C2457C" w:rsidP="00180AA8">
      <w:pPr>
        <w:pStyle w:val="NormalWeb"/>
        <w:numPr>
          <w:ilvl w:val="1"/>
          <w:numId w:val="1"/>
        </w:numPr>
        <w:tabs>
          <w:tab w:val="left" w:pos="0"/>
        </w:tabs>
        <w:spacing w:before="120" w:beforeAutospacing="0" w:after="120" w:afterAutospacing="0"/>
        <w:ind w:left="993" w:hanging="284"/>
        <w:jc w:val="both"/>
        <w:rPr>
          <w:rFonts w:ascii="Book Antiqua" w:hAnsi="Book Antiqua" w:cs="Arial"/>
          <w:bCs/>
          <w:sz w:val="22"/>
          <w:szCs w:val="22"/>
        </w:rPr>
      </w:pPr>
      <w:r>
        <w:rPr>
          <w:rFonts w:ascii="Book Antiqua" w:hAnsi="Book Antiqua" w:cs="Arial"/>
          <w:bCs/>
          <w:sz w:val="22"/>
          <w:szCs w:val="22"/>
        </w:rPr>
        <w:t>E</w:t>
      </w:r>
      <w:r w:rsidRPr="00C2457C">
        <w:rPr>
          <w:rFonts w:ascii="Book Antiqua" w:hAnsi="Book Antiqua" w:cs="Arial"/>
          <w:bCs/>
          <w:sz w:val="22"/>
          <w:szCs w:val="22"/>
        </w:rPr>
        <w:t>stablecer la obligación, tanto para los consejos regionales como para los concejos municipales de todo el país,</w:t>
      </w:r>
    </w:p>
    <w:p w14:paraId="0AF94C20" w14:textId="313D3259" w:rsidR="00C2457C" w:rsidRDefault="00C2457C" w:rsidP="00180AA8">
      <w:pPr>
        <w:pStyle w:val="NormalWeb"/>
        <w:numPr>
          <w:ilvl w:val="1"/>
          <w:numId w:val="1"/>
        </w:numPr>
        <w:tabs>
          <w:tab w:val="left" w:pos="0"/>
        </w:tabs>
        <w:spacing w:before="120" w:beforeAutospacing="0" w:after="120" w:afterAutospacing="0"/>
        <w:ind w:left="993" w:hanging="284"/>
        <w:jc w:val="both"/>
        <w:rPr>
          <w:rFonts w:ascii="Book Antiqua" w:hAnsi="Book Antiqua" w:cs="Arial"/>
          <w:bCs/>
          <w:sz w:val="22"/>
          <w:szCs w:val="22"/>
        </w:rPr>
      </w:pPr>
      <w:r>
        <w:rPr>
          <w:rFonts w:ascii="Book Antiqua" w:hAnsi="Book Antiqua" w:cs="Arial"/>
          <w:bCs/>
          <w:sz w:val="22"/>
          <w:szCs w:val="22"/>
        </w:rPr>
        <w:t>S</w:t>
      </w:r>
      <w:r w:rsidRPr="00C2457C">
        <w:rPr>
          <w:rFonts w:ascii="Book Antiqua" w:hAnsi="Book Antiqua" w:cs="Arial"/>
          <w:bCs/>
          <w:sz w:val="22"/>
          <w:szCs w:val="22"/>
        </w:rPr>
        <w:t xml:space="preserve">ujetar los deberes de publicidad de sus sesiones incorporados en el texto del proyecto de ley, a las normas de transparencia activa contenidas en el artículo 7º de la Ley de Transparencia. </w:t>
      </w:r>
    </w:p>
    <w:p w14:paraId="6269EDDB" w14:textId="4C0065D5" w:rsidR="00C2457C" w:rsidRDefault="00C2457C" w:rsidP="00180AA8">
      <w:pPr>
        <w:pStyle w:val="NormalWeb"/>
        <w:numPr>
          <w:ilvl w:val="1"/>
          <w:numId w:val="1"/>
        </w:numPr>
        <w:tabs>
          <w:tab w:val="left" w:pos="0"/>
        </w:tabs>
        <w:spacing w:before="120" w:beforeAutospacing="0" w:after="120" w:afterAutospacing="0"/>
        <w:ind w:left="993" w:hanging="284"/>
        <w:jc w:val="both"/>
        <w:rPr>
          <w:rFonts w:ascii="Book Antiqua" w:hAnsi="Book Antiqua" w:cs="Arial"/>
          <w:bCs/>
          <w:sz w:val="22"/>
          <w:szCs w:val="22"/>
        </w:rPr>
      </w:pPr>
      <w:r w:rsidRPr="00C2457C">
        <w:rPr>
          <w:rFonts w:ascii="Book Antiqua" w:hAnsi="Book Antiqua" w:cs="Arial"/>
          <w:bCs/>
          <w:sz w:val="22"/>
          <w:szCs w:val="22"/>
        </w:rPr>
        <w:t>Asimismo, establecer expresamente que la publicación de las actas de las respectivas sesiones constituye una obligación de transparencia activa</w:t>
      </w:r>
      <w:r w:rsidR="00CC4514">
        <w:rPr>
          <w:rFonts w:ascii="Book Antiqua" w:hAnsi="Book Antiqua" w:cs="Arial"/>
          <w:bCs/>
          <w:sz w:val="22"/>
          <w:szCs w:val="22"/>
        </w:rPr>
        <w:t>, garantizando con ello la disponibilización permanente de dichos registros.</w:t>
      </w:r>
    </w:p>
    <w:p w14:paraId="7179F3E2" w14:textId="451453C5" w:rsidR="00CC4514" w:rsidRDefault="00CC4514" w:rsidP="00CC4514">
      <w:pPr>
        <w:pStyle w:val="NormalWeb"/>
        <w:tabs>
          <w:tab w:val="left" w:pos="0"/>
        </w:tabs>
        <w:spacing w:before="120" w:beforeAutospacing="0" w:after="120" w:afterAutospacing="0"/>
        <w:ind w:left="709"/>
        <w:jc w:val="both"/>
        <w:rPr>
          <w:rFonts w:ascii="Book Antiqua" w:hAnsi="Book Antiqua" w:cs="Arial"/>
          <w:bCs/>
          <w:sz w:val="22"/>
          <w:szCs w:val="22"/>
        </w:rPr>
      </w:pPr>
      <w:r>
        <w:rPr>
          <w:rFonts w:ascii="Book Antiqua" w:hAnsi="Book Antiqua" w:cs="Arial"/>
          <w:bCs/>
          <w:sz w:val="22"/>
          <w:szCs w:val="22"/>
        </w:rPr>
        <w:t xml:space="preserve">Se hace presente que </w:t>
      </w:r>
      <w:r w:rsidR="0093767D">
        <w:rPr>
          <w:rFonts w:ascii="Book Antiqua" w:hAnsi="Book Antiqua" w:cs="Arial"/>
          <w:bCs/>
          <w:sz w:val="22"/>
          <w:szCs w:val="22"/>
        </w:rPr>
        <w:t>la propuesta contenida en el literal a), quedó incorporada en el texto de la ley.</w:t>
      </w:r>
    </w:p>
    <w:p w14:paraId="5D8A9B0C" w14:textId="77777777" w:rsidR="00CC4514" w:rsidRDefault="00CC4514" w:rsidP="00CC4514">
      <w:pPr>
        <w:pStyle w:val="NormalWeb"/>
        <w:tabs>
          <w:tab w:val="left" w:pos="0"/>
        </w:tabs>
        <w:spacing w:before="120" w:beforeAutospacing="0" w:after="120" w:afterAutospacing="0"/>
        <w:ind w:left="709"/>
        <w:jc w:val="both"/>
        <w:rPr>
          <w:rFonts w:ascii="Book Antiqua" w:hAnsi="Book Antiqua" w:cs="Arial"/>
          <w:bCs/>
          <w:sz w:val="22"/>
          <w:szCs w:val="22"/>
        </w:rPr>
      </w:pPr>
    </w:p>
    <w:p w14:paraId="1229FFF2" w14:textId="07DF7261" w:rsidR="00E46EE6" w:rsidRDefault="00C2457C" w:rsidP="0093767D">
      <w:pPr>
        <w:pStyle w:val="NormalWeb"/>
        <w:numPr>
          <w:ilvl w:val="0"/>
          <w:numId w:val="5"/>
        </w:numPr>
        <w:tabs>
          <w:tab w:val="left" w:pos="0"/>
        </w:tabs>
        <w:spacing w:before="120" w:beforeAutospacing="0" w:after="120" w:afterAutospacing="0"/>
        <w:jc w:val="both"/>
        <w:rPr>
          <w:rFonts w:ascii="Book Antiqua" w:hAnsi="Book Antiqua" w:cs="Arial"/>
          <w:bCs/>
          <w:sz w:val="22"/>
          <w:szCs w:val="22"/>
        </w:rPr>
      </w:pPr>
      <w:r>
        <w:rPr>
          <w:rFonts w:ascii="Book Antiqua" w:hAnsi="Book Antiqua" w:cs="Arial"/>
          <w:bCs/>
          <w:sz w:val="22"/>
          <w:szCs w:val="22"/>
        </w:rPr>
        <w:t>Con posterioridad, este Consejo también</w:t>
      </w:r>
      <w:r w:rsidR="00110C83">
        <w:rPr>
          <w:rFonts w:ascii="Book Antiqua" w:hAnsi="Book Antiqua" w:cs="Arial"/>
          <w:bCs/>
          <w:sz w:val="22"/>
          <w:szCs w:val="22"/>
        </w:rPr>
        <w:t xml:space="preserve"> concurrió ante la </w:t>
      </w:r>
      <w:r w:rsidR="00110C83" w:rsidRPr="00C2457C">
        <w:rPr>
          <w:rFonts w:ascii="Book Antiqua" w:hAnsi="Book Antiqua" w:cs="Arial"/>
          <w:b/>
          <w:sz w:val="22"/>
          <w:szCs w:val="22"/>
        </w:rPr>
        <w:t xml:space="preserve">Comisión de Gobierno Interior, Nacionalidad, Ciudadanía y Regionalización </w:t>
      </w:r>
      <w:r w:rsidR="007274EC" w:rsidRPr="00C2457C">
        <w:rPr>
          <w:rFonts w:ascii="Book Antiqua" w:hAnsi="Book Antiqua" w:cs="Arial"/>
          <w:b/>
          <w:sz w:val="22"/>
          <w:szCs w:val="22"/>
        </w:rPr>
        <w:t xml:space="preserve">de la Cámara de </w:t>
      </w:r>
      <w:r w:rsidR="0093767D">
        <w:rPr>
          <w:rFonts w:ascii="Book Antiqua" w:hAnsi="Book Antiqua" w:cs="Arial"/>
          <w:b/>
          <w:sz w:val="22"/>
          <w:szCs w:val="22"/>
        </w:rPr>
        <w:t xml:space="preserve">Diputadas y </w:t>
      </w:r>
      <w:r w:rsidR="007274EC" w:rsidRPr="00C2457C">
        <w:rPr>
          <w:rFonts w:ascii="Book Antiqua" w:hAnsi="Book Antiqua" w:cs="Arial"/>
          <w:b/>
          <w:sz w:val="22"/>
          <w:szCs w:val="22"/>
        </w:rPr>
        <w:t>Diputados</w:t>
      </w:r>
      <w:r w:rsidR="007274EC">
        <w:rPr>
          <w:rFonts w:ascii="Book Antiqua" w:hAnsi="Book Antiqua" w:cs="Arial"/>
          <w:bCs/>
          <w:sz w:val="22"/>
          <w:szCs w:val="22"/>
        </w:rPr>
        <w:t xml:space="preserve"> </w:t>
      </w:r>
      <w:r w:rsidR="004366B3">
        <w:rPr>
          <w:rFonts w:ascii="Book Antiqua" w:hAnsi="Book Antiqua" w:cs="Arial"/>
          <w:bCs/>
          <w:sz w:val="22"/>
          <w:szCs w:val="22"/>
        </w:rPr>
        <w:t>para exponer su parecer respecto de los proyectos de ley que m</w:t>
      </w:r>
      <w:r w:rsidR="004366B3" w:rsidRPr="004366B3">
        <w:rPr>
          <w:rFonts w:ascii="Book Antiqua" w:hAnsi="Book Antiqua" w:cs="Arial"/>
          <w:bCs/>
          <w:sz w:val="22"/>
          <w:szCs w:val="22"/>
        </w:rPr>
        <w:t>odifica</w:t>
      </w:r>
      <w:r w:rsidR="00E46EE6">
        <w:rPr>
          <w:rFonts w:ascii="Book Antiqua" w:hAnsi="Book Antiqua" w:cs="Arial"/>
          <w:bCs/>
          <w:sz w:val="22"/>
          <w:szCs w:val="22"/>
        </w:rPr>
        <w:t>n</w:t>
      </w:r>
      <w:r w:rsidR="004366B3" w:rsidRPr="004366B3">
        <w:rPr>
          <w:rFonts w:ascii="Book Antiqua" w:hAnsi="Book Antiqua" w:cs="Arial"/>
          <w:bCs/>
          <w:sz w:val="22"/>
          <w:szCs w:val="22"/>
        </w:rPr>
        <w:t xml:space="preserve"> distintos cuerpos legales en materia de transparencia, fiscalización y probidad de las corporaciones municipales y organizaciones funcionales  </w:t>
      </w:r>
      <w:r w:rsidR="004366B3">
        <w:rPr>
          <w:rFonts w:ascii="Book Antiqua" w:hAnsi="Book Antiqua" w:cs="Arial"/>
          <w:bCs/>
          <w:sz w:val="22"/>
          <w:szCs w:val="22"/>
        </w:rPr>
        <w:t xml:space="preserve">y </w:t>
      </w:r>
      <w:r w:rsidR="00E46EE6">
        <w:rPr>
          <w:rFonts w:ascii="Book Antiqua" w:hAnsi="Book Antiqua" w:cs="Arial"/>
          <w:bCs/>
          <w:sz w:val="22"/>
          <w:szCs w:val="22"/>
        </w:rPr>
        <w:t xml:space="preserve">el </w:t>
      </w:r>
      <w:r w:rsidR="004366B3">
        <w:rPr>
          <w:rFonts w:ascii="Book Antiqua" w:hAnsi="Book Antiqua" w:cs="Arial"/>
          <w:bCs/>
          <w:sz w:val="22"/>
          <w:szCs w:val="22"/>
        </w:rPr>
        <w:t>que m</w:t>
      </w:r>
      <w:r w:rsidR="004366B3" w:rsidRPr="004366B3">
        <w:rPr>
          <w:rFonts w:ascii="Book Antiqua" w:hAnsi="Book Antiqua" w:cs="Arial"/>
          <w:bCs/>
          <w:sz w:val="22"/>
          <w:szCs w:val="22"/>
        </w:rPr>
        <w:t>odifica cuerpos legales que indica en materia de transparencia y probidad municipa</w:t>
      </w:r>
      <w:r w:rsidR="004366B3">
        <w:rPr>
          <w:rFonts w:ascii="Book Antiqua" w:hAnsi="Book Antiqua" w:cs="Arial"/>
          <w:bCs/>
          <w:sz w:val="22"/>
          <w:szCs w:val="22"/>
        </w:rPr>
        <w:t>l (</w:t>
      </w:r>
      <w:r w:rsidR="00E46EE6" w:rsidRPr="007274EC">
        <w:rPr>
          <w:rFonts w:ascii="Book Antiqua" w:hAnsi="Book Antiqua" w:cs="Arial"/>
          <w:b/>
          <w:sz w:val="22"/>
          <w:szCs w:val="22"/>
        </w:rPr>
        <w:t>Boletín Nº 15.523-06</w:t>
      </w:r>
      <w:r w:rsidR="0093767D">
        <w:rPr>
          <w:rFonts w:ascii="Book Antiqua" w:hAnsi="Book Antiqua" w:cs="Arial"/>
          <w:b/>
          <w:sz w:val="22"/>
          <w:szCs w:val="22"/>
        </w:rPr>
        <w:t>,</w:t>
      </w:r>
      <w:r w:rsidR="00E46EE6" w:rsidRPr="007274EC">
        <w:rPr>
          <w:rFonts w:ascii="Book Antiqua" w:hAnsi="Book Antiqua" w:cs="Arial"/>
          <w:b/>
          <w:sz w:val="22"/>
          <w:szCs w:val="22"/>
        </w:rPr>
        <w:t xml:space="preserve"> </w:t>
      </w:r>
      <w:r w:rsidR="0093767D">
        <w:rPr>
          <w:rFonts w:ascii="Book Antiqua" w:hAnsi="Book Antiqua" w:cs="Arial"/>
          <w:b/>
          <w:sz w:val="22"/>
          <w:szCs w:val="22"/>
        </w:rPr>
        <w:t>r</w:t>
      </w:r>
      <w:r w:rsidR="00E46EE6" w:rsidRPr="007274EC">
        <w:rPr>
          <w:rFonts w:ascii="Book Antiqua" w:hAnsi="Book Antiqua" w:cs="Arial"/>
          <w:b/>
          <w:sz w:val="22"/>
          <w:szCs w:val="22"/>
        </w:rPr>
        <w:t>efundido con Nº 14.594-06</w:t>
      </w:r>
      <w:r w:rsidR="004366B3" w:rsidRPr="004366B3">
        <w:rPr>
          <w:rFonts w:ascii="Book Antiqua" w:hAnsi="Book Antiqua" w:cs="Arial"/>
          <w:bCs/>
          <w:sz w:val="22"/>
          <w:szCs w:val="22"/>
        </w:rPr>
        <w:t>)</w:t>
      </w:r>
      <w:r w:rsidR="00E46EE6">
        <w:rPr>
          <w:rFonts w:ascii="Book Antiqua" w:hAnsi="Book Antiqua" w:cs="Arial"/>
          <w:bCs/>
          <w:sz w:val="22"/>
          <w:szCs w:val="22"/>
        </w:rPr>
        <w:t xml:space="preserve">. </w:t>
      </w:r>
    </w:p>
    <w:p w14:paraId="32A9D042" w14:textId="2DF0B88D" w:rsidR="00F873BC" w:rsidRDefault="00F873BC" w:rsidP="0093767D">
      <w:pPr>
        <w:pStyle w:val="NormalWeb"/>
        <w:numPr>
          <w:ilvl w:val="0"/>
          <w:numId w:val="5"/>
        </w:numPr>
        <w:tabs>
          <w:tab w:val="left" w:pos="0"/>
        </w:tabs>
        <w:spacing w:before="120" w:beforeAutospacing="0" w:after="120" w:afterAutospacing="0"/>
        <w:jc w:val="both"/>
        <w:rPr>
          <w:rFonts w:ascii="Book Antiqua" w:hAnsi="Book Antiqua" w:cs="Arial"/>
          <w:bCs/>
          <w:sz w:val="22"/>
          <w:szCs w:val="22"/>
        </w:rPr>
      </w:pPr>
      <w:r>
        <w:rPr>
          <w:rFonts w:ascii="Book Antiqua" w:hAnsi="Book Antiqua" w:cs="Arial"/>
          <w:bCs/>
          <w:sz w:val="22"/>
          <w:szCs w:val="22"/>
        </w:rPr>
        <w:t xml:space="preserve">Respecto </w:t>
      </w:r>
      <w:r w:rsidR="0093767D">
        <w:rPr>
          <w:rFonts w:ascii="Book Antiqua" w:hAnsi="Book Antiqua" w:cs="Arial"/>
          <w:bCs/>
          <w:sz w:val="22"/>
          <w:szCs w:val="22"/>
        </w:rPr>
        <w:t>de</w:t>
      </w:r>
      <w:r>
        <w:rPr>
          <w:rFonts w:ascii="Book Antiqua" w:hAnsi="Book Antiqua" w:cs="Arial"/>
          <w:bCs/>
          <w:sz w:val="22"/>
          <w:szCs w:val="22"/>
        </w:rPr>
        <w:t xml:space="preserve"> estos proyectos de ley refundidos, </w:t>
      </w:r>
      <w:r w:rsidR="00AB07ED">
        <w:rPr>
          <w:rFonts w:ascii="Book Antiqua" w:hAnsi="Book Antiqua" w:cs="Arial"/>
          <w:bCs/>
          <w:sz w:val="22"/>
          <w:szCs w:val="22"/>
        </w:rPr>
        <w:t xml:space="preserve">actualmente en su primer trámite constitucional, </w:t>
      </w:r>
      <w:r>
        <w:rPr>
          <w:rFonts w:ascii="Book Antiqua" w:hAnsi="Book Antiqua" w:cs="Arial"/>
          <w:bCs/>
          <w:sz w:val="22"/>
          <w:szCs w:val="22"/>
        </w:rPr>
        <w:t xml:space="preserve">el Consejo valoró una serie de disposiciones que van en la línea de </w:t>
      </w:r>
      <w:r w:rsidR="00AB07ED">
        <w:rPr>
          <w:rFonts w:ascii="Book Antiqua" w:hAnsi="Book Antiqua" w:cs="Arial"/>
          <w:bCs/>
          <w:sz w:val="22"/>
          <w:szCs w:val="22"/>
        </w:rPr>
        <w:t xml:space="preserve">elevar los estándares de probidad, </w:t>
      </w:r>
      <w:r>
        <w:rPr>
          <w:rFonts w:ascii="Book Antiqua" w:hAnsi="Book Antiqua" w:cs="Arial"/>
          <w:bCs/>
          <w:sz w:val="22"/>
          <w:szCs w:val="22"/>
        </w:rPr>
        <w:t>publicidad y transparencia a estas entidades, tales como:</w:t>
      </w:r>
    </w:p>
    <w:p w14:paraId="7C16C205" w14:textId="77777777" w:rsidR="00F873BC" w:rsidRDefault="00F873BC" w:rsidP="00180AA8">
      <w:pPr>
        <w:pStyle w:val="NormalWeb"/>
        <w:numPr>
          <w:ilvl w:val="0"/>
          <w:numId w:val="7"/>
        </w:numPr>
        <w:tabs>
          <w:tab w:val="left" w:pos="0"/>
        </w:tabs>
        <w:spacing w:before="120" w:beforeAutospacing="0" w:after="120" w:afterAutospacing="0"/>
        <w:ind w:hanging="371"/>
        <w:jc w:val="both"/>
        <w:rPr>
          <w:rFonts w:ascii="Book Antiqua" w:hAnsi="Book Antiqua" w:cs="Arial"/>
          <w:bCs/>
          <w:sz w:val="22"/>
          <w:szCs w:val="22"/>
        </w:rPr>
      </w:pPr>
      <w:r w:rsidRPr="00F873BC">
        <w:rPr>
          <w:rFonts w:ascii="Book Antiqua" w:hAnsi="Book Antiqua" w:cs="Arial"/>
          <w:bCs/>
          <w:sz w:val="22"/>
          <w:szCs w:val="22"/>
        </w:rPr>
        <w:t xml:space="preserve">Se incluyen a las </w:t>
      </w:r>
      <w:r w:rsidRPr="00F873BC">
        <w:rPr>
          <w:rFonts w:ascii="Book Antiqua" w:hAnsi="Book Antiqua" w:cs="Arial"/>
          <w:b/>
          <w:sz w:val="22"/>
          <w:szCs w:val="22"/>
        </w:rPr>
        <w:t>organizaciones comunitarias</w:t>
      </w:r>
      <w:r w:rsidRPr="00F873BC">
        <w:rPr>
          <w:rFonts w:ascii="Book Antiqua" w:hAnsi="Book Antiqua" w:cs="Arial"/>
          <w:bCs/>
          <w:sz w:val="22"/>
          <w:szCs w:val="22"/>
        </w:rPr>
        <w:t xml:space="preserve"> como sujeto obligado a rendir cuenta sobre destino, uso y gestión de aportes y subvenciones ante la Unidad de Control Interno municipal; </w:t>
      </w:r>
    </w:p>
    <w:p w14:paraId="3698DF65" w14:textId="1B31AACB" w:rsidR="00F873BC" w:rsidRDefault="00F873BC" w:rsidP="00180AA8">
      <w:pPr>
        <w:pStyle w:val="NormalWeb"/>
        <w:numPr>
          <w:ilvl w:val="0"/>
          <w:numId w:val="7"/>
        </w:numPr>
        <w:tabs>
          <w:tab w:val="left" w:pos="0"/>
        </w:tabs>
        <w:spacing w:before="120" w:beforeAutospacing="0" w:after="120" w:afterAutospacing="0"/>
        <w:ind w:hanging="371"/>
        <w:jc w:val="both"/>
        <w:rPr>
          <w:rFonts w:ascii="Book Antiqua" w:hAnsi="Book Antiqua" w:cs="Arial"/>
          <w:bCs/>
          <w:sz w:val="22"/>
          <w:szCs w:val="22"/>
        </w:rPr>
      </w:pPr>
      <w:r w:rsidRPr="00F873BC">
        <w:rPr>
          <w:rFonts w:ascii="Book Antiqua" w:hAnsi="Book Antiqua" w:cs="Arial"/>
          <w:bCs/>
          <w:sz w:val="22"/>
          <w:szCs w:val="22"/>
        </w:rPr>
        <w:t xml:space="preserve">Se establece la fiscalización por la Contraloría a </w:t>
      </w:r>
      <w:r w:rsidR="00AB07ED">
        <w:rPr>
          <w:rFonts w:ascii="Book Antiqua" w:hAnsi="Book Antiqua" w:cs="Arial"/>
          <w:bCs/>
          <w:sz w:val="22"/>
          <w:szCs w:val="22"/>
        </w:rPr>
        <w:t xml:space="preserve">los </w:t>
      </w:r>
      <w:r w:rsidRPr="00F873BC">
        <w:rPr>
          <w:rFonts w:ascii="Book Antiqua" w:hAnsi="Book Antiqua" w:cs="Arial"/>
          <w:bCs/>
          <w:sz w:val="22"/>
          <w:szCs w:val="22"/>
        </w:rPr>
        <w:t xml:space="preserve">aportes y rendiciones de cuenta; </w:t>
      </w:r>
    </w:p>
    <w:p w14:paraId="04105679" w14:textId="73F292FA" w:rsidR="00F873BC" w:rsidRDefault="00F873BC" w:rsidP="00180AA8">
      <w:pPr>
        <w:pStyle w:val="NormalWeb"/>
        <w:numPr>
          <w:ilvl w:val="0"/>
          <w:numId w:val="7"/>
        </w:numPr>
        <w:tabs>
          <w:tab w:val="left" w:pos="0"/>
        </w:tabs>
        <w:spacing w:before="120" w:beforeAutospacing="0" w:after="120" w:afterAutospacing="0"/>
        <w:ind w:hanging="371"/>
        <w:jc w:val="both"/>
        <w:rPr>
          <w:rFonts w:ascii="Book Antiqua" w:hAnsi="Book Antiqua" w:cs="Arial"/>
          <w:bCs/>
          <w:sz w:val="22"/>
          <w:szCs w:val="22"/>
        </w:rPr>
      </w:pPr>
      <w:r w:rsidRPr="00F873BC">
        <w:rPr>
          <w:rFonts w:ascii="Book Antiqua" w:hAnsi="Book Antiqua" w:cs="Arial"/>
          <w:bCs/>
          <w:sz w:val="22"/>
          <w:szCs w:val="22"/>
        </w:rPr>
        <w:t xml:space="preserve">Se fortalece </w:t>
      </w:r>
      <w:r w:rsidRPr="00DB53D9">
        <w:rPr>
          <w:rFonts w:ascii="Book Antiqua" w:hAnsi="Book Antiqua" w:cs="Arial"/>
          <w:b/>
          <w:sz w:val="22"/>
          <w:szCs w:val="22"/>
        </w:rPr>
        <w:t>el rol fiscalizador del concejo municipal</w:t>
      </w:r>
      <w:r w:rsidRPr="00F873BC">
        <w:rPr>
          <w:rFonts w:ascii="Book Antiqua" w:hAnsi="Book Antiqua" w:cs="Arial"/>
          <w:bCs/>
          <w:sz w:val="22"/>
          <w:szCs w:val="22"/>
        </w:rPr>
        <w:t xml:space="preserve">; </w:t>
      </w:r>
    </w:p>
    <w:p w14:paraId="2F2A0C76" w14:textId="4E6E767E" w:rsidR="00F873BC" w:rsidRDefault="00F873BC" w:rsidP="00180AA8">
      <w:pPr>
        <w:pStyle w:val="NormalWeb"/>
        <w:numPr>
          <w:ilvl w:val="0"/>
          <w:numId w:val="7"/>
        </w:numPr>
        <w:tabs>
          <w:tab w:val="left" w:pos="0"/>
        </w:tabs>
        <w:spacing w:before="120" w:beforeAutospacing="0" w:after="120" w:afterAutospacing="0"/>
        <w:ind w:hanging="371"/>
        <w:jc w:val="both"/>
        <w:rPr>
          <w:rFonts w:ascii="Book Antiqua" w:hAnsi="Book Antiqua" w:cs="Arial"/>
          <w:bCs/>
          <w:sz w:val="22"/>
          <w:szCs w:val="22"/>
        </w:rPr>
      </w:pPr>
      <w:r w:rsidRPr="00F873BC">
        <w:rPr>
          <w:rFonts w:ascii="Book Antiqua" w:hAnsi="Book Antiqua" w:cs="Arial"/>
          <w:bCs/>
          <w:sz w:val="22"/>
          <w:szCs w:val="22"/>
        </w:rPr>
        <w:t>Se genera una obligación general de rendición de cuentas para todas las personas jurídicas privadas sin fines de lucro que reciban fondos públicos.</w:t>
      </w:r>
    </w:p>
    <w:p w14:paraId="51814FEB" w14:textId="77777777" w:rsidR="00F873BC" w:rsidRDefault="00F873BC" w:rsidP="00180AA8">
      <w:pPr>
        <w:pStyle w:val="NormalWeb"/>
        <w:numPr>
          <w:ilvl w:val="0"/>
          <w:numId w:val="7"/>
        </w:numPr>
        <w:tabs>
          <w:tab w:val="left" w:pos="0"/>
        </w:tabs>
        <w:spacing w:before="120" w:beforeAutospacing="0" w:after="120" w:afterAutospacing="0"/>
        <w:jc w:val="both"/>
        <w:rPr>
          <w:rFonts w:ascii="Book Antiqua" w:hAnsi="Book Antiqua" w:cs="Arial"/>
          <w:bCs/>
          <w:sz w:val="22"/>
          <w:szCs w:val="22"/>
        </w:rPr>
      </w:pPr>
      <w:r w:rsidRPr="00F873BC">
        <w:rPr>
          <w:rFonts w:ascii="Book Antiqua" w:hAnsi="Book Antiqua" w:cs="Arial"/>
          <w:bCs/>
          <w:sz w:val="22"/>
          <w:szCs w:val="22"/>
        </w:rPr>
        <w:t>Se crea el plan municipal de prevención de delitos de corrupción</w:t>
      </w:r>
    </w:p>
    <w:p w14:paraId="67367AD4" w14:textId="77777777" w:rsidR="00F873BC" w:rsidRDefault="00F873BC" w:rsidP="00180AA8">
      <w:pPr>
        <w:pStyle w:val="NormalWeb"/>
        <w:numPr>
          <w:ilvl w:val="0"/>
          <w:numId w:val="7"/>
        </w:numPr>
        <w:tabs>
          <w:tab w:val="left" w:pos="0"/>
        </w:tabs>
        <w:spacing w:before="120" w:beforeAutospacing="0" w:after="120" w:afterAutospacing="0"/>
        <w:jc w:val="both"/>
        <w:rPr>
          <w:rFonts w:ascii="Book Antiqua" w:hAnsi="Book Antiqua" w:cs="Arial"/>
          <w:bCs/>
          <w:sz w:val="22"/>
          <w:szCs w:val="22"/>
        </w:rPr>
      </w:pPr>
      <w:r w:rsidRPr="00F873BC">
        <w:rPr>
          <w:rFonts w:ascii="Book Antiqua" w:hAnsi="Book Antiqua" w:cs="Arial"/>
          <w:bCs/>
          <w:sz w:val="22"/>
          <w:szCs w:val="22"/>
        </w:rPr>
        <w:t xml:space="preserve">Se extienden las inhabilidades a corporaciones y fundaciones municipales; </w:t>
      </w:r>
    </w:p>
    <w:p w14:paraId="22B7F2D1" w14:textId="77777777" w:rsidR="00F873BC" w:rsidRPr="00DB53D9" w:rsidRDefault="00F873BC" w:rsidP="00180AA8">
      <w:pPr>
        <w:pStyle w:val="NormalWeb"/>
        <w:numPr>
          <w:ilvl w:val="0"/>
          <w:numId w:val="7"/>
        </w:numPr>
        <w:tabs>
          <w:tab w:val="left" w:pos="0"/>
        </w:tabs>
        <w:spacing w:before="120" w:beforeAutospacing="0" w:after="120" w:afterAutospacing="0"/>
        <w:jc w:val="both"/>
        <w:rPr>
          <w:rFonts w:ascii="Book Antiqua" w:hAnsi="Book Antiqua" w:cs="Arial"/>
          <w:b/>
          <w:sz w:val="22"/>
          <w:szCs w:val="22"/>
        </w:rPr>
      </w:pPr>
      <w:r w:rsidRPr="00DB53D9">
        <w:rPr>
          <w:rFonts w:ascii="Book Antiqua" w:hAnsi="Book Antiqua" w:cs="Arial"/>
          <w:b/>
          <w:sz w:val="22"/>
          <w:szCs w:val="22"/>
        </w:rPr>
        <w:lastRenderedPageBreak/>
        <w:t xml:space="preserve">Se incorpora el principio de probidad administrativa a las corporaciones municipales; </w:t>
      </w:r>
    </w:p>
    <w:p w14:paraId="17A83E51" w14:textId="77777777" w:rsidR="0093767D" w:rsidRDefault="00F873BC" w:rsidP="00180AA8">
      <w:pPr>
        <w:pStyle w:val="NormalWeb"/>
        <w:numPr>
          <w:ilvl w:val="0"/>
          <w:numId w:val="7"/>
        </w:numPr>
        <w:tabs>
          <w:tab w:val="left" w:pos="0"/>
        </w:tabs>
        <w:spacing w:before="120" w:beforeAutospacing="0" w:after="120" w:afterAutospacing="0"/>
        <w:jc w:val="both"/>
        <w:rPr>
          <w:rFonts w:ascii="Book Antiqua" w:hAnsi="Book Antiqua" w:cs="Arial"/>
          <w:bCs/>
          <w:sz w:val="22"/>
          <w:szCs w:val="22"/>
        </w:rPr>
      </w:pPr>
      <w:r w:rsidRPr="00F873BC">
        <w:rPr>
          <w:rFonts w:ascii="Book Antiqua" w:hAnsi="Book Antiqua" w:cs="Arial"/>
          <w:bCs/>
          <w:sz w:val="22"/>
          <w:szCs w:val="22"/>
        </w:rPr>
        <w:t xml:space="preserve">Se establecen medidas de transparencia de las sesiones del concejo municipal, como la reducción de las hipótesis en que se puede establecer el secreto de las sesiones; </w:t>
      </w:r>
    </w:p>
    <w:p w14:paraId="6920159B" w14:textId="77777777" w:rsidR="00F873BC" w:rsidRDefault="00F873BC" w:rsidP="00180AA8">
      <w:pPr>
        <w:pStyle w:val="NormalWeb"/>
        <w:numPr>
          <w:ilvl w:val="0"/>
          <w:numId w:val="7"/>
        </w:numPr>
        <w:tabs>
          <w:tab w:val="left" w:pos="0"/>
        </w:tabs>
        <w:spacing w:before="120" w:beforeAutospacing="0" w:after="120" w:afterAutospacing="0"/>
        <w:jc w:val="both"/>
        <w:rPr>
          <w:rFonts w:ascii="Book Antiqua" w:hAnsi="Book Antiqua" w:cs="Arial"/>
          <w:bCs/>
          <w:sz w:val="22"/>
          <w:szCs w:val="22"/>
        </w:rPr>
      </w:pPr>
      <w:r w:rsidRPr="00F873BC">
        <w:rPr>
          <w:rFonts w:ascii="Book Antiqua" w:hAnsi="Book Antiqua" w:cs="Arial"/>
          <w:bCs/>
          <w:sz w:val="22"/>
          <w:szCs w:val="22"/>
        </w:rPr>
        <w:t>Se restringe la contratación de personas en el periodo electoral;</w:t>
      </w:r>
    </w:p>
    <w:p w14:paraId="5956D5E9" w14:textId="740118C4" w:rsidR="00F873BC" w:rsidRDefault="00F873BC" w:rsidP="00180AA8">
      <w:pPr>
        <w:pStyle w:val="NormalWeb"/>
        <w:numPr>
          <w:ilvl w:val="0"/>
          <w:numId w:val="7"/>
        </w:numPr>
        <w:tabs>
          <w:tab w:val="left" w:pos="0"/>
        </w:tabs>
        <w:spacing w:before="120" w:beforeAutospacing="0" w:after="120" w:afterAutospacing="0"/>
        <w:jc w:val="both"/>
        <w:rPr>
          <w:rFonts w:ascii="Book Antiqua" w:hAnsi="Book Antiqua" w:cs="Arial"/>
          <w:bCs/>
          <w:sz w:val="22"/>
          <w:szCs w:val="22"/>
        </w:rPr>
      </w:pPr>
      <w:r w:rsidRPr="00F873BC">
        <w:rPr>
          <w:rFonts w:ascii="Book Antiqua" w:hAnsi="Book Antiqua" w:cs="Arial"/>
          <w:bCs/>
          <w:sz w:val="22"/>
          <w:szCs w:val="22"/>
        </w:rPr>
        <w:t>Se establecen mecanismos de participación ciudadana.</w:t>
      </w:r>
    </w:p>
    <w:p w14:paraId="4B965818" w14:textId="77777777" w:rsidR="0093767D" w:rsidRDefault="0093767D" w:rsidP="0093767D">
      <w:pPr>
        <w:pStyle w:val="Prrafodelista"/>
        <w:rPr>
          <w:rFonts w:ascii="Book Antiqua" w:eastAsia="Times New Roman" w:hAnsi="Book Antiqua" w:cs="Arial"/>
          <w:b/>
          <w:u w:val="single"/>
          <w:lang w:eastAsia="es-CL"/>
        </w:rPr>
      </w:pPr>
    </w:p>
    <w:p w14:paraId="628350AD" w14:textId="77777777" w:rsidR="0093767D" w:rsidRDefault="0093767D" w:rsidP="0093767D">
      <w:pPr>
        <w:pStyle w:val="Prrafodelista"/>
        <w:rPr>
          <w:rFonts w:ascii="Book Antiqua" w:eastAsia="Times New Roman" w:hAnsi="Book Antiqua" w:cs="Arial"/>
          <w:b/>
          <w:u w:val="single"/>
          <w:lang w:eastAsia="es-CL"/>
        </w:rPr>
      </w:pPr>
    </w:p>
    <w:p w14:paraId="10D2AFF7" w14:textId="245E8562" w:rsidR="00D47FAC" w:rsidRPr="00D47FAC" w:rsidRDefault="00D47FAC" w:rsidP="00D47FAC">
      <w:pPr>
        <w:pStyle w:val="Prrafodelista"/>
        <w:numPr>
          <w:ilvl w:val="0"/>
          <w:numId w:val="2"/>
        </w:numPr>
        <w:rPr>
          <w:rFonts w:ascii="Book Antiqua" w:eastAsia="Times New Roman" w:hAnsi="Book Antiqua" w:cs="Arial"/>
          <w:b/>
          <w:u w:val="single"/>
          <w:lang w:eastAsia="es-CL"/>
        </w:rPr>
      </w:pPr>
      <w:r w:rsidRPr="00D47FAC">
        <w:rPr>
          <w:rFonts w:ascii="Book Antiqua" w:eastAsia="Times New Roman" w:hAnsi="Book Antiqua" w:cs="Arial"/>
          <w:b/>
          <w:u w:val="single"/>
          <w:lang w:eastAsia="es-CL"/>
        </w:rPr>
        <w:t>Propuestas de mejora del régimen de transparencia de este tipo de entidades.</w:t>
      </w:r>
    </w:p>
    <w:p w14:paraId="6D776EB0" w14:textId="5895E823" w:rsidR="00463113" w:rsidRPr="00D47FAC" w:rsidRDefault="0093767D" w:rsidP="0093767D">
      <w:pPr>
        <w:pStyle w:val="NormalWeb"/>
        <w:numPr>
          <w:ilvl w:val="0"/>
          <w:numId w:val="9"/>
        </w:numPr>
        <w:tabs>
          <w:tab w:val="left" w:pos="0"/>
        </w:tabs>
        <w:spacing w:before="120" w:beforeAutospacing="0" w:after="120" w:afterAutospacing="0"/>
        <w:jc w:val="both"/>
        <w:rPr>
          <w:rFonts w:ascii="Book Antiqua" w:hAnsi="Book Antiqua" w:cs="Arial"/>
          <w:bCs/>
          <w:sz w:val="22"/>
          <w:szCs w:val="22"/>
        </w:rPr>
      </w:pPr>
      <w:r>
        <w:rPr>
          <w:rFonts w:ascii="Book Antiqua" w:hAnsi="Book Antiqua" w:cs="Arial"/>
          <w:bCs/>
          <w:sz w:val="22"/>
          <w:szCs w:val="22"/>
        </w:rPr>
        <w:t>En el marco</w:t>
      </w:r>
      <w:r w:rsidR="00D47FAC" w:rsidRPr="00D47FAC">
        <w:rPr>
          <w:rFonts w:ascii="Book Antiqua" w:hAnsi="Book Antiqua" w:cs="Arial"/>
          <w:bCs/>
          <w:sz w:val="22"/>
          <w:szCs w:val="22"/>
        </w:rPr>
        <w:t xml:space="preserve"> del análisis hecho al proyecto de ley sobre probidad municipal (</w:t>
      </w:r>
      <w:r w:rsidR="00D47FAC" w:rsidRPr="00D47FAC">
        <w:rPr>
          <w:rFonts w:ascii="Book Antiqua" w:hAnsi="Book Antiqua" w:cs="Arial"/>
          <w:b/>
          <w:sz w:val="22"/>
          <w:szCs w:val="22"/>
        </w:rPr>
        <w:t>Boletín Nº 15.523-06</w:t>
      </w:r>
      <w:r>
        <w:rPr>
          <w:rFonts w:ascii="Book Antiqua" w:hAnsi="Book Antiqua" w:cs="Arial"/>
          <w:b/>
          <w:sz w:val="22"/>
          <w:szCs w:val="22"/>
        </w:rPr>
        <w:t>,</w:t>
      </w:r>
      <w:r w:rsidR="00D47FAC" w:rsidRPr="00D47FAC">
        <w:rPr>
          <w:rFonts w:ascii="Book Antiqua" w:hAnsi="Book Antiqua" w:cs="Arial"/>
          <w:b/>
          <w:sz w:val="22"/>
          <w:szCs w:val="22"/>
        </w:rPr>
        <w:t xml:space="preserve"> </w:t>
      </w:r>
      <w:r>
        <w:rPr>
          <w:rFonts w:ascii="Book Antiqua" w:hAnsi="Book Antiqua" w:cs="Arial"/>
          <w:b/>
          <w:sz w:val="22"/>
          <w:szCs w:val="22"/>
        </w:rPr>
        <w:t>r</w:t>
      </w:r>
      <w:r w:rsidR="00D47FAC" w:rsidRPr="00D47FAC">
        <w:rPr>
          <w:rFonts w:ascii="Book Antiqua" w:hAnsi="Book Antiqua" w:cs="Arial"/>
          <w:b/>
          <w:sz w:val="22"/>
          <w:szCs w:val="22"/>
        </w:rPr>
        <w:t>efundido con Nº 14.594-06</w:t>
      </w:r>
      <w:r w:rsidR="00D47FAC" w:rsidRPr="00D47FAC">
        <w:rPr>
          <w:rFonts w:ascii="Book Antiqua" w:hAnsi="Book Antiqua" w:cs="Arial"/>
          <w:bCs/>
          <w:sz w:val="22"/>
          <w:szCs w:val="22"/>
        </w:rPr>
        <w:t>), s</w:t>
      </w:r>
      <w:r w:rsidR="00E46EE6" w:rsidRPr="00D47FAC">
        <w:rPr>
          <w:rFonts w:ascii="Book Antiqua" w:hAnsi="Book Antiqua" w:cs="Arial"/>
          <w:bCs/>
          <w:sz w:val="22"/>
          <w:szCs w:val="22"/>
        </w:rPr>
        <w:t xml:space="preserve">i bien </w:t>
      </w:r>
      <w:r w:rsidR="00DB53D9" w:rsidRPr="00D47FAC">
        <w:rPr>
          <w:rFonts w:ascii="Book Antiqua" w:hAnsi="Book Antiqua" w:cs="Arial"/>
          <w:bCs/>
          <w:sz w:val="22"/>
          <w:szCs w:val="22"/>
        </w:rPr>
        <w:t>el Consejo valoró</w:t>
      </w:r>
      <w:r w:rsidR="00E46EE6" w:rsidRPr="00D47FAC">
        <w:rPr>
          <w:rFonts w:ascii="Book Antiqua" w:hAnsi="Book Antiqua" w:cs="Arial"/>
          <w:bCs/>
          <w:sz w:val="22"/>
          <w:szCs w:val="22"/>
        </w:rPr>
        <w:t xml:space="preserve"> los importantes avances en materia de probidad y publicidad de estas entidades</w:t>
      </w:r>
      <w:r w:rsidR="00DB53D9" w:rsidRPr="00D47FAC">
        <w:rPr>
          <w:rFonts w:ascii="Book Antiqua" w:hAnsi="Book Antiqua" w:cs="Arial"/>
          <w:bCs/>
          <w:sz w:val="22"/>
          <w:szCs w:val="22"/>
        </w:rPr>
        <w:t xml:space="preserve"> dentro del proyecto de ley</w:t>
      </w:r>
      <w:r w:rsidR="00E46EE6" w:rsidRPr="00D47FAC">
        <w:rPr>
          <w:rFonts w:ascii="Book Antiqua" w:hAnsi="Book Antiqua" w:cs="Arial"/>
          <w:bCs/>
          <w:sz w:val="22"/>
          <w:szCs w:val="22"/>
        </w:rPr>
        <w:t xml:space="preserve">, </w:t>
      </w:r>
      <w:r w:rsidR="00D47FAC" w:rsidRPr="00D47FAC">
        <w:rPr>
          <w:rFonts w:ascii="Book Antiqua" w:hAnsi="Book Antiqua" w:cs="Arial"/>
          <w:b/>
          <w:sz w:val="22"/>
          <w:szCs w:val="22"/>
        </w:rPr>
        <w:t>realizó una serie</w:t>
      </w:r>
      <w:r w:rsidR="00E46EE6" w:rsidRPr="00D47FAC">
        <w:rPr>
          <w:rFonts w:ascii="Book Antiqua" w:hAnsi="Book Antiqua" w:cs="Arial"/>
          <w:b/>
          <w:sz w:val="22"/>
          <w:szCs w:val="22"/>
        </w:rPr>
        <w:t xml:space="preserve"> </w:t>
      </w:r>
      <w:r w:rsidR="00D47FAC" w:rsidRPr="00D47FAC">
        <w:rPr>
          <w:rFonts w:ascii="Book Antiqua" w:hAnsi="Book Antiqua" w:cs="Arial"/>
          <w:b/>
          <w:sz w:val="22"/>
          <w:szCs w:val="22"/>
          <w:u w:val="single"/>
        </w:rPr>
        <w:t xml:space="preserve">de propuestas de </w:t>
      </w:r>
      <w:r w:rsidR="00E46EE6" w:rsidRPr="00D47FAC">
        <w:rPr>
          <w:rFonts w:ascii="Book Antiqua" w:hAnsi="Book Antiqua" w:cs="Arial"/>
          <w:b/>
          <w:sz w:val="22"/>
          <w:szCs w:val="22"/>
          <w:u w:val="single"/>
        </w:rPr>
        <w:t>perfeccionamientos normativos</w:t>
      </w:r>
      <w:r w:rsidR="00D47FAC" w:rsidRPr="00D47FAC">
        <w:rPr>
          <w:rFonts w:ascii="Book Antiqua" w:hAnsi="Book Antiqua" w:cs="Arial"/>
          <w:b/>
          <w:sz w:val="22"/>
          <w:szCs w:val="22"/>
          <w:u w:val="single"/>
        </w:rPr>
        <w:t>, las cuales se detallan a continuación</w:t>
      </w:r>
      <w:r w:rsidR="00E46EE6" w:rsidRPr="00D47FAC">
        <w:rPr>
          <w:rFonts w:ascii="Book Antiqua" w:hAnsi="Book Antiqua" w:cs="Arial"/>
          <w:bCs/>
          <w:sz w:val="22"/>
          <w:szCs w:val="22"/>
        </w:rPr>
        <w:t>:</w:t>
      </w:r>
    </w:p>
    <w:p w14:paraId="04313F2F" w14:textId="77F1C45F" w:rsidR="00AE22C7" w:rsidRDefault="00D47FAC" w:rsidP="00180AA8">
      <w:pPr>
        <w:pStyle w:val="NormalWeb"/>
        <w:numPr>
          <w:ilvl w:val="0"/>
          <w:numId w:val="6"/>
        </w:numPr>
        <w:tabs>
          <w:tab w:val="left" w:pos="0"/>
        </w:tabs>
        <w:spacing w:before="120" w:beforeAutospacing="0" w:after="120" w:afterAutospacing="0"/>
        <w:ind w:left="993" w:hanging="284"/>
        <w:jc w:val="both"/>
        <w:rPr>
          <w:rFonts w:ascii="Book Antiqua" w:hAnsi="Book Antiqua" w:cs="Arial"/>
          <w:bCs/>
          <w:sz w:val="22"/>
          <w:szCs w:val="22"/>
        </w:rPr>
      </w:pPr>
      <w:r>
        <w:rPr>
          <w:rFonts w:ascii="Book Antiqua" w:hAnsi="Book Antiqua" w:cs="Arial"/>
          <w:bCs/>
          <w:sz w:val="22"/>
          <w:szCs w:val="22"/>
        </w:rPr>
        <w:t>Se sugiere</w:t>
      </w:r>
      <w:r w:rsidR="00AE22C7" w:rsidRPr="00AE22C7">
        <w:rPr>
          <w:rFonts w:ascii="Book Antiqua" w:hAnsi="Book Antiqua" w:cs="Arial"/>
          <w:bCs/>
          <w:sz w:val="22"/>
          <w:szCs w:val="22"/>
        </w:rPr>
        <w:t xml:space="preserve"> establecer un procedimiento transparente que regule, de forma previa, </w:t>
      </w:r>
      <w:r w:rsidR="00AE22C7" w:rsidRPr="00DB53D9">
        <w:rPr>
          <w:rFonts w:ascii="Book Antiqua" w:hAnsi="Book Antiqua" w:cs="Arial"/>
          <w:b/>
          <w:sz w:val="22"/>
          <w:szCs w:val="22"/>
        </w:rPr>
        <w:t>la entrega de aportes y subvenciones a las organizaciones comunitarias</w:t>
      </w:r>
      <w:r w:rsidR="00AE22C7" w:rsidRPr="00AE22C7">
        <w:rPr>
          <w:rFonts w:ascii="Book Antiqua" w:hAnsi="Book Antiqua" w:cs="Arial"/>
          <w:bCs/>
          <w:sz w:val="22"/>
          <w:szCs w:val="22"/>
        </w:rPr>
        <w:t xml:space="preserve"> </w:t>
      </w:r>
      <w:r w:rsidR="00AE22C7" w:rsidRPr="00DB53D9">
        <w:rPr>
          <w:rFonts w:ascii="Book Antiqua" w:hAnsi="Book Antiqua" w:cs="Arial"/>
          <w:b/>
          <w:sz w:val="22"/>
          <w:szCs w:val="22"/>
        </w:rPr>
        <w:t>funcionales</w:t>
      </w:r>
      <w:r w:rsidR="00AE22C7" w:rsidRPr="00AE22C7">
        <w:rPr>
          <w:rFonts w:ascii="Book Antiqua" w:hAnsi="Book Antiqua" w:cs="Arial"/>
          <w:bCs/>
          <w:sz w:val="22"/>
          <w:szCs w:val="22"/>
        </w:rPr>
        <w:t xml:space="preserve">, poniendo la carga también en la municipalidad que decide entregar los fondos. </w:t>
      </w:r>
    </w:p>
    <w:p w14:paraId="0AEA1F9D" w14:textId="77777777" w:rsidR="00AE22C7" w:rsidRDefault="00AE22C7" w:rsidP="00180AA8">
      <w:pPr>
        <w:pStyle w:val="NormalWeb"/>
        <w:numPr>
          <w:ilvl w:val="0"/>
          <w:numId w:val="6"/>
        </w:numPr>
        <w:tabs>
          <w:tab w:val="left" w:pos="0"/>
        </w:tabs>
        <w:spacing w:before="120" w:beforeAutospacing="0" w:after="120" w:afterAutospacing="0"/>
        <w:ind w:left="993" w:hanging="284"/>
        <w:jc w:val="both"/>
        <w:rPr>
          <w:rFonts w:ascii="Book Antiqua" w:hAnsi="Book Antiqua" w:cs="Arial"/>
          <w:bCs/>
          <w:sz w:val="22"/>
          <w:szCs w:val="22"/>
        </w:rPr>
      </w:pPr>
      <w:r w:rsidRPr="00AE22C7">
        <w:rPr>
          <w:rFonts w:ascii="Book Antiqua" w:hAnsi="Book Antiqua" w:cs="Arial"/>
          <w:bCs/>
          <w:sz w:val="22"/>
          <w:szCs w:val="22"/>
        </w:rPr>
        <w:t xml:space="preserve">No se advierten avances sustantivos en materia de transparencia respecto de los nuevos aspectos que se regulan. En este sentido, </w:t>
      </w:r>
      <w:r w:rsidRPr="00D47FAC">
        <w:rPr>
          <w:rFonts w:ascii="Book Antiqua" w:hAnsi="Book Antiqua" w:cs="Arial"/>
          <w:b/>
          <w:sz w:val="22"/>
          <w:szCs w:val="22"/>
        </w:rPr>
        <w:t>se sugiere establecer la obligación de publicar los informes de rendición de cuenta que sean extendidos por las organizaciones comunitarias funcionales</w:t>
      </w:r>
      <w:r w:rsidRPr="00AE22C7">
        <w:rPr>
          <w:rFonts w:ascii="Book Antiqua" w:hAnsi="Book Antiqua" w:cs="Arial"/>
          <w:bCs/>
          <w:sz w:val="22"/>
          <w:szCs w:val="22"/>
        </w:rPr>
        <w:t xml:space="preserve">, así como de los informes que sean extendidos para responder a una solicitud del concejo municipal. </w:t>
      </w:r>
    </w:p>
    <w:p w14:paraId="380FC008" w14:textId="48E27448" w:rsidR="00AE22C7" w:rsidRDefault="00AE22C7" w:rsidP="00180AA8">
      <w:pPr>
        <w:pStyle w:val="NormalWeb"/>
        <w:numPr>
          <w:ilvl w:val="0"/>
          <w:numId w:val="6"/>
        </w:numPr>
        <w:tabs>
          <w:tab w:val="left" w:pos="0"/>
        </w:tabs>
        <w:spacing w:before="120" w:beforeAutospacing="0" w:after="120" w:afterAutospacing="0"/>
        <w:ind w:left="993" w:hanging="284"/>
        <w:jc w:val="both"/>
        <w:rPr>
          <w:rFonts w:ascii="Book Antiqua" w:hAnsi="Book Antiqua" w:cs="Arial"/>
          <w:bCs/>
          <w:sz w:val="22"/>
          <w:szCs w:val="22"/>
        </w:rPr>
      </w:pPr>
      <w:r w:rsidRPr="00AE22C7">
        <w:rPr>
          <w:rFonts w:ascii="Book Antiqua" w:hAnsi="Book Antiqua" w:cs="Arial"/>
          <w:bCs/>
          <w:sz w:val="22"/>
          <w:szCs w:val="22"/>
        </w:rPr>
        <w:t xml:space="preserve">Se </w:t>
      </w:r>
      <w:r w:rsidR="00D47FAC">
        <w:rPr>
          <w:rFonts w:ascii="Book Antiqua" w:hAnsi="Book Antiqua" w:cs="Arial"/>
          <w:bCs/>
          <w:sz w:val="22"/>
          <w:szCs w:val="22"/>
        </w:rPr>
        <w:t>propone</w:t>
      </w:r>
      <w:r w:rsidRPr="00AE22C7">
        <w:rPr>
          <w:rFonts w:ascii="Book Antiqua" w:hAnsi="Book Antiqua" w:cs="Arial"/>
          <w:bCs/>
          <w:sz w:val="22"/>
          <w:szCs w:val="22"/>
        </w:rPr>
        <w:t xml:space="preserve"> establecer sanciones particulares para el incumplimiento de las nuevas obligaciones, por ejemplo, para las organizaciones comunitarias. </w:t>
      </w:r>
    </w:p>
    <w:p w14:paraId="59E00828" w14:textId="5B5F8E65" w:rsidR="00AE22C7" w:rsidRDefault="00AE22C7" w:rsidP="00180AA8">
      <w:pPr>
        <w:pStyle w:val="NormalWeb"/>
        <w:numPr>
          <w:ilvl w:val="0"/>
          <w:numId w:val="6"/>
        </w:numPr>
        <w:tabs>
          <w:tab w:val="left" w:pos="0"/>
        </w:tabs>
        <w:spacing w:before="120" w:beforeAutospacing="0" w:after="120" w:afterAutospacing="0"/>
        <w:ind w:left="993" w:hanging="284"/>
        <w:jc w:val="both"/>
        <w:rPr>
          <w:rFonts w:ascii="Book Antiqua" w:hAnsi="Book Antiqua" w:cs="Arial"/>
          <w:bCs/>
          <w:sz w:val="22"/>
          <w:szCs w:val="22"/>
        </w:rPr>
      </w:pPr>
      <w:r w:rsidRPr="00AE22C7">
        <w:rPr>
          <w:rFonts w:ascii="Book Antiqua" w:hAnsi="Book Antiqua" w:cs="Arial"/>
          <w:bCs/>
          <w:sz w:val="22"/>
          <w:szCs w:val="22"/>
        </w:rPr>
        <w:t>Se sugiere reforzar las nuevas obligaciones estableciendo plazos claros en los cuales se debería efectuar la rendición de cuentas</w:t>
      </w:r>
    </w:p>
    <w:p w14:paraId="7E702887" w14:textId="4AB69788" w:rsidR="00AE22C7" w:rsidRPr="00D47FAC" w:rsidRDefault="00AE22C7" w:rsidP="00180AA8">
      <w:pPr>
        <w:pStyle w:val="NormalWeb"/>
        <w:numPr>
          <w:ilvl w:val="0"/>
          <w:numId w:val="6"/>
        </w:numPr>
        <w:tabs>
          <w:tab w:val="left" w:pos="0"/>
        </w:tabs>
        <w:spacing w:before="120" w:beforeAutospacing="0" w:after="120" w:afterAutospacing="0"/>
        <w:ind w:left="993" w:hanging="284"/>
        <w:jc w:val="both"/>
        <w:rPr>
          <w:rFonts w:ascii="Book Antiqua" w:hAnsi="Book Antiqua" w:cs="Arial"/>
          <w:b/>
          <w:sz w:val="22"/>
          <w:szCs w:val="22"/>
        </w:rPr>
      </w:pPr>
      <w:r w:rsidRPr="00D47FAC">
        <w:rPr>
          <w:rFonts w:ascii="Book Antiqua" w:hAnsi="Book Antiqua" w:cs="Arial"/>
          <w:b/>
          <w:sz w:val="22"/>
          <w:szCs w:val="22"/>
        </w:rPr>
        <w:t xml:space="preserve">Se sugiere incorporar como obligación de TA, la publicación del plan municipal de prevención de la corrupción. </w:t>
      </w:r>
    </w:p>
    <w:p w14:paraId="526DA398" w14:textId="60FE7354" w:rsidR="00AE22C7" w:rsidRDefault="00AE22C7" w:rsidP="00180AA8">
      <w:pPr>
        <w:pStyle w:val="NormalWeb"/>
        <w:numPr>
          <w:ilvl w:val="0"/>
          <w:numId w:val="6"/>
        </w:numPr>
        <w:tabs>
          <w:tab w:val="left" w:pos="0"/>
        </w:tabs>
        <w:spacing w:before="120" w:beforeAutospacing="0" w:after="120" w:afterAutospacing="0"/>
        <w:ind w:left="993" w:hanging="284"/>
        <w:jc w:val="both"/>
        <w:rPr>
          <w:rFonts w:ascii="Book Antiqua" w:hAnsi="Book Antiqua" w:cs="Arial"/>
          <w:bCs/>
          <w:sz w:val="22"/>
          <w:szCs w:val="22"/>
        </w:rPr>
      </w:pPr>
      <w:r w:rsidRPr="00AE22C7">
        <w:rPr>
          <w:rFonts w:ascii="Book Antiqua" w:hAnsi="Book Antiqua" w:cs="Arial"/>
          <w:bCs/>
          <w:sz w:val="22"/>
          <w:szCs w:val="22"/>
        </w:rPr>
        <w:t xml:space="preserve">Establecer la publicidad, transmisión en línea y registro por determinado plazo de las audiencias públicas que sean celebradas, en virtud de la ordenanza municipal de participación. </w:t>
      </w:r>
    </w:p>
    <w:p w14:paraId="4CB39145" w14:textId="77777777" w:rsidR="00AE22C7" w:rsidRDefault="00AE22C7" w:rsidP="00180AA8">
      <w:pPr>
        <w:pStyle w:val="NormalWeb"/>
        <w:numPr>
          <w:ilvl w:val="0"/>
          <w:numId w:val="6"/>
        </w:numPr>
        <w:tabs>
          <w:tab w:val="left" w:pos="0"/>
        </w:tabs>
        <w:spacing w:before="120" w:beforeAutospacing="0" w:after="120" w:afterAutospacing="0"/>
        <w:ind w:left="993" w:hanging="284"/>
        <w:jc w:val="both"/>
        <w:rPr>
          <w:rFonts w:ascii="Book Antiqua" w:hAnsi="Book Antiqua" w:cs="Arial"/>
          <w:bCs/>
          <w:sz w:val="22"/>
          <w:szCs w:val="22"/>
        </w:rPr>
      </w:pPr>
      <w:r w:rsidRPr="00AE22C7">
        <w:rPr>
          <w:rFonts w:ascii="Book Antiqua" w:hAnsi="Book Antiqua" w:cs="Arial"/>
          <w:bCs/>
          <w:sz w:val="22"/>
          <w:szCs w:val="22"/>
        </w:rPr>
        <w:t xml:space="preserve">Tratándose de sesiones declaradas secretas por razones de afectación de los derechos de las personas, seguridad de la Nación, interés nacional o incidencia en juicios pendientes, se sugiere fundar la causal de reserva que proceda, y dejar constancia de ello en el acta correspondiente. </w:t>
      </w:r>
    </w:p>
    <w:p w14:paraId="7FBEAD16" w14:textId="5ECCD64B" w:rsidR="004366B3" w:rsidRDefault="00AE22C7" w:rsidP="00180AA8">
      <w:pPr>
        <w:pStyle w:val="NormalWeb"/>
        <w:numPr>
          <w:ilvl w:val="0"/>
          <w:numId w:val="6"/>
        </w:numPr>
        <w:tabs>
          <w:tab w:val="left" w:pos="0"/>
        </w:tabs>
        <w:spacing w:before="120" w:beforeAutospacing="0" w:after="120" w:afterAutospacing="0"/>
        <w:ind w:left="993" w:hanging="284"/>
        <w:jc w:val="both"/>
        <w:rPr>
          <w:rFonts w:ascii="Book Antiqua" w:hAnsi="Book Antiqua" w:cs="Arial"/>
          <w:bCs/>
          <w:sz w:val="22"/>
          <w:szCs w:val="22"/>
        </w:rPr>
      </w:pPr>
      <w:r w:rsidRPr="00AE22C7">
        <w:rPr>
          <w:rFonts w:ascii="Book Antiqua" w:hAnsi="Book Antiqua" w:cs="Arial"/>
          <w:bCs/>
          <w:sz w:val="22"/>
          <w:szCs w:val="22"/>
        </w:rPr>
        <w:t>Establecer que a las corporaciones y fundaciones municipales</w:t>
      </w:r>
      <w:r w:rsidR="00F873BC">
        <w:rPr>
          <w:rFonts w:ascii="Book Antiqua" w:hAnsi="Book Antiqua" w:cs="Arial"/>
          <w:bCs/>
          <w:sz w:val="22"/>
          <w:szCs w:val="22"/>
        </w:rPr>
        <w:t xml:space="preserve">, </w:t>
      </w:r>
      <w:r w:rsidR="00F873BC" w:rsidRPr="0093767D">
        <w:rPr>
          <w:rFonts w:ascii="Book Antiqua" w:hAnsi="Book Antiqua" w:cs="Arial"/>
          <w:bCs/>
          <w:sz w:val="22"/>
          <w:szCs w:val="22"/>
        </w:rPr>
        <w:t>así como las organizaciones comunitarias que reciben aportes municipales</w:t>
      </w:r>
      <w:r w:rsidRPr="00AE22C7">
        <w:rPr>
          <w:rFonts w:ascii="Book Antiqua" w:hAnsi="Book Antiqua" w:cs="Arial"/>
          <w:bCs/>
          <w:sz w:val="22"/>
          <w:szCs w:val="22"/>
        </w:rPr>
        <w:t xml:space="preserve"> les es aplicable el </w:t>
      </w:r>
      <w:r w:rsidRPr="00AE22C7">
        <w:rPr>
          <w:rFonts w:ascii="Book Antiqua" w:hAnsi="Book Antiqua" w:cs="Arial"/>
          <w:bCs/>
          <w:sz w:val="22"/>
          <w:szCs w:val="22"/>
        </w:rPr>
        <w:lastRenderedPageBreak/>
        <w:t>principio de publicidad de la función pública, consagrado en el inciso segundo del artículo 8º de la CPR, y las normas de la Ley de Transparencia.</w:t>
      </w:r>
    </w:p>
    <w:p w14:paraId="53D480FD" w14:textId="77777777" w:rsidR="00C95AE9" w:rsidRDefault="00C95AE9" w:rsidP="00760457">
      <w:pPr>
        <w:spacing w:before="120" w:after="120" w:line="240" w:lineRule="auto"/>
        <w:jc w:val="both"/>
        <w:rPr>
          <w:rFonts w:ascii="Book Antiqua" w:hAnsi="Book Antiqua" w:cs="Arial"/>
          <w:shd w:val="clear" w:color="auto" w:fill="FFFFFF"/>
        </w:rPr>
      </w:pPr>
    </w:p>
    <w:p w14:paraId="39107546" w14:textId="0D0126EE" w:rsidR="0093767D" w:rsidRDefault="0093767D" w:rsidP="0093767D">
      <w:pPr>
        <w:pStyle w:val="Prrafodelista"/>
        <w:numPr>
          <w:ilvl w:val="0"/>
          <w:numId w:val="2"/>
        </w:numPr>
        <w:rPr>
          <w:rFonts w:ascii="Book Antiqua" w:eastAsia="Times New Roman" w:hAnsi="Book Antiqua" w:cs="Arial"/>
          <w:b/>
          <w:u w:val="single"/>
          <w:lang w:eastAsia="es-CL"/>
        </w:rPr>
      </w:pPr>
      <w:r>
        <w:rPr>
          <w:rFonts w:ascii="Book Antiqua" w:eastAsia="Times New Roman" w:hAnsi="Book Antiqua" w:cs="Arial"/>
          <w:b/>
          <w:u w:val="single"/>
          <w:lang w:eastAsia="es-CL"/>
        </w:rPr>
        <w:t>S</w:t>
      </w:r>
      <w:r w:rsidRPr="0093767D">
        <w:rPr>
          <w:rFonts w:ascii="Book Antiqua" w:eastAsia="Times New Roman" w:hAnsi="Book Antiqua" w:cs="Arial"/>
          <w:b/>
          <w:u w:val="single"/>
          <w:lang w:eastAsia="es-CL"/>
        </w:rPr>
        <w:t xml:space="preserve">ituación de cumplimiento de transparencia pasiva y activa de la </w:t>
      </w:r>
      <w:r>
        <w:rPr>
          <w:rFonts w:ascii="Book Antiqua" w:eastAsia="Times New Roman" w:hAnsi="Book Antiqua" w:cs="Arial"/>
          <w:b/>
          <w:u w:val="single"/>
          <w:lang w:eastAsia="es-CL"/>
        </w:rPr>
        <w:t>M</w:t>
      </w:r>
      <w:r w:rsidRPr="0093767D">
        <w:rPr>
          <w:rFonts w:ascii="Book Antiqua" w:eastAsia="Times New Roman" w:hAnsi="Book Antiqua" w:cs="Arial"/>
          <w:b/>
          <w:u w:val="single"/>
          <w:lang w:eastAsia="es-CL"/>
        </w:rPr>
        <w:t>unicipalidad de Vitacura y entidades asociadas</w:t>
      </w:r>
      <w:r>
        <w:rPr>
          <w:rFonts w:ascii="Book Antiqua" w:eastAsia="Times New Roman" w:hAnsi="Book Antiqua" w:cs="Arial"/>
          <w:b/>
          <w:u w:val="single"/>
          <w:lang w:eastAsia="es-CL"/>
        </w:rPr>
        <w:t>.</w:t>
      </w:r>
    </w:p>
    <w:p w14:paraId="561C3656" w14:textId="77777777" w:rsidR="0093767D" w:rsidRPr="0093767D" w:rsidRDefault="0093767D" w:rsidP="0093767D">
      <w:pPr>
        <w:rPr>
          <w:rFonts w:ascii="Book Antiqua" w:eastAsia="Times New Roman" w:hAnsi="Book Antiqua" w:cs="Arial"/>
          <w:b/>
          <w:u w:val="single"/>
          <w:lang w:eastAsia="es-CL"/>
        </w:rPr>
      </w:pPr>
    </w:p>
    <w:p w14:paraId="454B3B0D" w14:textId="77777777" w:rsidR="0093767D" w:rsidRPr="0093767D" w:rsidRDefault="0093767D" w:rsidP="0093767D">
      <w:pPr>
        <w:pStyle w:val="Prrafodelista"/>
        <w:numPr>
          <w:ilvl w:val="0"/>
          <w:numId w:val="10"/>
        </w:numPr>
        <w:spacing w:after="0" w:line="240" w:lineRule="auto"/>
        <w:contextualSpacing w:val="0"/>
        <w:jc w:val="both"/>
        <w:rPr>
          <w:rFonts w:ascii="Book Antiqua" w:eastAsiaTheme="minorHAnsi" w:hAnsi="Book Antiqua"/>
          <w:b/>
          <w:bCs/>
        </w:rPr>
      </w:pPr>
      <w:r w:rsidRPr="0093767D">
        <w:rPr>
          <w:rFonts w:ascii="Book Antiqua" w:hAnsi="Book Antiqua"/>
          <w:b/>
          <w:bCs/>
        </w:rPr>
        <w:t>Cumplimiento de exigencias en Transparencia Activa (resultados de fiscalización TA):</w:t>
      </w:r>
    </w:p>
    <w:tbl>
      <w:tblPr>
        <w:tblpPr w:leftFromText="141" w:rightFromText="141" w:vertAnchor="text" w:horzAnchor="margin" w:tblpXSpec="center" w:tblpY="359"/>
        <w:tblW w:w="0" w:type="auto"/>
        <w:tblCellMar>
          <w:left w:w="0" w:type="dxa"/>
          <w:right w:w="0" w:type="dxa"/>
        </w:tblCellMar>
        <w:tblLook w:val="04A0" w:firstRow="1" w:lastRow="0" w:firstColumn="1" w:lastColumn="0" w:noHBand="0" w:noVBand="1"/>
      </w:tblPr>
      <w:tblGrid>
        <w:gridCol w:w="1548"/>
        <w:gridCol w:w="1988"/>
        <w:gridCol w:w="2693"/>
      </w:tblGrid>
      <w:tr w:rsidR="0093767D" w:rsidRPr="0093767D" w14:paraId="72A00521" w14:textId="77777777" w:rsidTr="0093767D">
        <w:trPr>
          <w:trHeight w:val="290"/>
        </w:trPr>
        <w:tc>
          <w:tcPr>
            <w:tcW w:w="1548" w:type="dxa"/>
            <w:tcBorders>
              <w:top w:val="single" w:sz="8" w:space="0" w:color="auto"/>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hideMark/>
          </w:tcPr>
          <w:p w14:paraId="7917093E" w14:textId="77777777" w:rsidR="0093767D" w:rsidRPr="0093767D" w:rsidRDefault="0093767D" w:rsidP="0093767D">
            <w:pPr>
              <w:jc w:val="center"/>
              <w:rPr>
                <w:rFonts w:ascii="Book Antiqua" w:hAnsi="Book Antiqua"/>
                <w:b/>
                <w:bCs/>
                <w:color w:val="FFFFFF"/>
              </w:rPr>
            </w:pPr>
            <w:r w:rsidRPr="0093767D">
              <w:rPr>
                <w:rFonts w:ascii="Book Antiqua" w:hAnsi="Book Antiqua"/>
                <w:b/>
                <w:bCs/>
                <w:color w:val="FFFFFF"/>
              </w:rPr>
              <w:t>Año Proceso</w:t>
            </w:r>
          </w:p>
        </w:tc>
        <w:tc>
          <w:tcPr>
            <w:tcW w:w="1988"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hideMark/>
          </w:tcPr>
          <w:p w14:paraId="03CA99C5" w14:textId="77777777" w:rsidR="0093767D" w:rsidRPr="0093767D" w:rsidRDefault="0093767D" w:rsidP="0093767D">
            <w:pPr>
              <w:jc w:val="center"/>
              <w:rPr>
                <w:rFonts w:ascii="Book Antiqua" w:hAnsi="Book Antiqua"/>
                <w:b/>
                <w:bCs/>
                <w:color w:val="FFFFFF"/>
              </w:rPr>
            </w:pPr>
            <w:r w:rsidRPr="0093767D">
              <w:rPr>
                <w:rFonts w:ascii="Book Antiqua" w:hAnsi="Book Antiqua"/>
                <w:b/>
                <w:bCs/>
                <w:color w:val="FFFFFF"/>
              </w:rPr>
              <w:t>Puntaje Vitacura</w:t>
            </w:r>
          </w:p>
        </w:tc>
        <w:tc>
          <w:tcPr>
            <w:tcW w:w="2693"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hideMark/>
          </w:tcPr>
          <w:p w14:paraId="0E79D2FE" w14:textId="77777777" w:rsidR="0093767D" w:rsidRPr="0093767D" w:rsidRDefault="0093767D" w:rsidP="0093767D">
            <w:pPr>
              <w:jc w:val="center"/>
              <w:rPr>
                <w:rFonts w:ascii="Book Antiqua" w:hAnsi="Book Antiqua"/>
                <w:b/>
                <w:bCs/>
                <w:color w:val="FFFFFF"/>
              </w:rPr>
            </w:pPr>
            <w:r w:rsidRPr="0093767D">
              <w:rPr>
                <w:rFonts w:ascii="Book Antiqua" w:hAnsi="Book Antiqua"/>
                <w:b/>
                <w:bCs/>
                <w:color w:val="FFFFFF"/>
              </w:rPr>
              <w:t>Promedio 345 Municipios</w:t>
            </w:r>
          </w:p>
        </w:tc>
      </w:tr>
      <w:tr w:rsidR="0093767D" w:rsidRPr="0093767D" w14:paraId="269052DA" w14:textId="77777777" w:rsidTr="0093767D">
        <w:trPr>
          <w:trHeight w:val="290"/>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1BF4A" w14:textId="77777777" w:rsidR="0093767D" w:rsidRPr="0093767D" w:rsidRDefault="0093767D" w:rsidP="0093767D">
            <w:pPr>
              <w:jc w:val="center"/>
              <w:rPr>
                <w:rFonts w:ascii="Book Antiqua" w:hAnsi="Book Antiqua"/>
              </w:rPr>
            </w:pPr>
            <w:r w:rsidRPr="0093767D">
              <w:rPr>
                <w:rFonts w:ascii="Book Antiqua" w:hAnsi="Book Antiqua"/>
              </w:rPr>
              <w:t>2012</w:t>
            </w:r>
          </w:p>
        </w:tc>
        <w:tc>
          <w:tcPr>
            <w:tcW w:w="1988" w:type="dxa"/>
            <w:tcBorders>
              <w:top w:val="nil"/>
              <w:left w:val="nil"/>
              <w:bottom w:val="single" w:sz="8" w:space="0" w:color="auto"/>
              <w:right w:val="single" w:sz="8" w:space="0" w:color="auto"/>
            </w:tcBorders>
            <w:noWrap/>
            <w:tcMar>
              <w:top w:w="0" w:type="dxa"/>
              <w:left w:w="108" w:type="dxa"/>
              <w:bottom w:w="0" w:type="dxa"/>
              <w:right w:w="108" w:type="dxa"/>
            </w:tcMar>
            <w:hideMark/>
          </w:tcPr>
          <w:p w14:paraId="78448745" w14:textId="77777777" w:rsidR="0093767D" w:rsidRPr="0093767D" w:rsidRDefault="0093767D" w:rsidP="0093767D">
            <w:pPr>
              <w:jc w:val="center"/>
              <w:rPr>
                <w:rFonts w:ascii="Book Antiqua" w:hAnsi="Book Antiqua"/>
              </w:rPr>
            </w:pPr>
            <w:r w:rsidRPr="0093767D">
              <w:rPr>
                <w:rFonts w:ascii="Book Antiqua" w:hAnsi="Book Antiqua"/>
              </w:rPr>
              <w:t>72,93%</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780658F9" w14:textId="77777777" w:rsidR="0093767D" w:rsidRPr="0093767D" w:rsidRDefault="0093767D" w:rsidP="0093767D">
            <w:pPr>
              <w:jc w:val="center"/>
              <w:rPr>
                <w:rFonts w:ascii="Book Antiqua" w:hAnsi="Book Antiqua"/>
              </w:rPr>
            </w:pPr>
            <w:r w:rsidRPr="0093767D">
              <w:rPr>
                <w:rFonts w:ascii="Book Antiqua" w:hAnsi="Book Antiqua"/>
              </w:rPr>
              <w:t>30,26%</w:t>
            </w:r>
          </w:p>
        </w:tc>
      </w:tr>
      <w:tr w:rsidR="0093767D" w:rsidRPr="0093767D" w14:paraId="73BA5A0E" w14:textId="77777777" w:rsidTr="0093767D">
        <w:trPr>
          <w:trHeight w:val="290"/>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73B8E" w14:textId="77777777" w:rsidR="0093767D" w:rsidRPr="0093767D" w:rsidRDefault="0093767D" w:rsidP="0093767D">
            <w:pPr>
              <w:jc w:val="center"/>
              <w:rPr>
                <w:rFonts w:ascii="Book Antiqua" w:hAnsi="Book Antiqua"/>
              </w:rPr>
            </w:pPr>
            <w:r w:rsidRPr="0093767D">
              <w:rPr>
                <w:rFonts w:ascii="Book Antiqua" w:hAnsi="Book Antiqua"/>
              </w:rPr>
              <w:t>2013</w:t>
            </w:r>
          </w:p>
        </w:tc>
        <w:tc>
          <w:tcPr>
            <w:tcW w:w="1988" w:type="dxa"/>
            <w:tcBorders>
              <w:top w:val="nil"/>
              <w:left w:val="nil"/>
              <w:bottom w:val="single" w:sz="8" w:space="0" w:color="auto"/>
              <w:right w:val="single" w:sz="8" w:space="0" w:color="auto"/>
            </w:tcBorders>
            <w:noWrap/>
            <w:tcMar>
              <w:top w:w="0" w:type="dxa"/>
              <w:left w:w="108" w:type="dxa"/>
              <w:bottom w:w="0" w:type="dxa"/>
              <w:right w:w="108" w:type="dxa"/>
            </w:tcMar>
            <w:hideMark/>
          </w:tcPr>
          <w:p w14:paraId="3B447F91" w14:textId="77777777" w:rsidR="0093767D" w:rsidRPr="0093767D" w:rsidRDefault="0093767D" w:rsidP="0093767D">
            <w:pPr>
              <w:jc w:val="center"/>
              <w:rPr>
                <w:rFonts w:ascii="Book Antiqua" w:hAnsi="Book Antiqua"/>
              </w:rPr>
            </w:pPr>
            <w:r w:rsidRPr="0093767D">
              <w:rPr>
                <w:rFonts w:ascii="Book Antiqua" w:hAnsi="Book Antiqua"/>
              </w:rPr>
              <w:t>88,35%</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4DDEB45E" w14:textId="77777777" w:rsidR="0093767D" w:rsidRPr="0093767D" w:rsidRDefault="0093767D" w:rsidP="0093767D">
            <w:pPr>
              <w:jc w:val="center"/>
              <w:rPr>
                <w:rFonts w:ascii="Book Antiqua" w:hAnsi="Book Antiqua"/>
              </w:rPr>
            </w:pPr>
            <w:r w:rsidRPr="0093767D">
              <w:rPr>
                <w:rFonts w:ascii="Book Antiqua" w:hAnsi="Book Antiqua"/>
              </w:rPr>
              <w:t>47,43%</w:t>
            </w:r>
          </w:p>
        </w:tc>
      </w:tr>
      <w:tr w:rsidR="0093767D" w:rsidRPr="0093767D" w14:paraId="50883A07" w14:textId="77777777" w:rsidTr="0093767D">
        <w:trPr>
          <w:trHeight w:val="290"/>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DB81B" w14:textId="77777777" w:rsidR="0093767D" w:rsidRPr="0093767D" w:rsidRDefault="0093767D" w:rsidP="0093767D">
            <w:pPr>
              <w:jc w:val="center"/>
              <w:rPr>
                <w:rFonts w:ascii="Book Antiqua" w:hAnsi="Book Antiqua"/>
              </w:rPr>
            </w:pPr>
            <w:r w:rsidRPr="0093767D">
              <w:rPr>
                <w:rFonts w:ascii="Book Antiqua" w:hAnsi="Book Antiqua"/>
              </w:rPr>
              <w:t>2014</w:t>
            </w:r>
          </w:p>
        </w:tc>
        <w:tc>
          <w:tcPr>
            <w:tcW w:w="1988" w:type="dxa"/>
            <w:tcBorders>
              <w:top w:val="nil"/>
              <w:left w:val="nil"/>
              <w:bottom w:val="single" w:sz="8" w:space="0" w:color="auto"/>
              <w:right w:val="single" w:sz="8" w:space="0" w:color="auto"/>
            </w:tcBorders>
            <w:noWrap/>
            <w:tcMar>
              <w:top w:w="0" w:type="dxa"/>
              <w:left w:w="108" w:type="dxa"/>
              <w:bottom w:w="0" w:type="dxa"/>
              <w:right w:w="108" w:type="dxa"/>
            </w:tcMar>
            <w:hideMark/>
          </w:tcPr>
          <w:p w14:paraId="422CC8BD" w14:textId="77777777" w:rsidR="0093767D" w:rsidRPr="0093767D" w:rsidRDefault="0093767D" w:rsidP="0093767D">
            <w:pPr>
              <w:jc w:val="center"/>
              <w:rPr>
                <w:rFonts w:ascii="Book Antiqua" w:hAnsi="Book Antiqua"/>
              </w:rPr>
            </w:pPr>
            <w:r w:rsidRPr="0093767D">
              <w:rPr>
                <w:rFonts w:ascii="Book Antiqua" w:hAnsi="Book Antiqua"/>
              </w:rPr>
              <w:t>97,62%</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4B1DC7D6" w14:textId="77777777" w:rsidR="0093767D" w:rsidRPr="0093767D" w:rsidRDefault="0093767D" w:rsidP="0093767D">
            <w:pPr>
              <w:jc w:val="center"/>
              <w:rPr>
                <w:rFonts w:ascii="Book Antiqua" w:hAnsi="Book Antiqua"/>
              </w:rPr>
            </w:pPr>
            <w:r w:rsidRPr="0093767D">
              <w:rPr>
                <w:rFonts w:ascii="Book Antiqua" w:hAnsi="Book Antiqua"/>
              </w:rPr>
              <w:t>56,09%</w:t>
            </w:r>
          </w:p>
        </w:tc>
      </w:tr>
      <w:tr w:rsidR="0093767D" w:rsidRPr="0093767D" w14:paraId="73858450" w14:textId="77777777" w:rsidTr="0093767D">
        <w:trPr>
          <w:trHeight w:val="290"/>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6FDDB" w14:textId="77777777" w:rsidR="0093767D" w:rsidRPr="0093767D" w:rsidRDefault="0093767D" w:rsidP="0093767D">
            <w:pPr>
              <w:jc w:val="center"/>
              <w:rPr>
                <w:rFonts w:ascii="Book Antiqua" w:hAnsi="Book Antiqua"/>
              </w:rPr>
            </w:pPr>
            <w:r w:rsidRPr="0093767D">
              <w:rPr>
                <w:rFonts w:ascii="Book Antiqua" w:hAnsi="Book Antiqua"/>
              </w:rPr>
              <w:t>2015</w:t>
            </w:r>
          </w:p>
        </w:tc>
        <w:tc>
          <w:tcPr>
            <w:tcW w:w="1988" w:type="dxa"/>
            <w:tcBorders>
              <w:top w:val="nil"/>
              <w:left w:val="nil"/>
              <w:bottom w:val="single" w:sz="8" w:space="0" w:color="auto"/>
              <w:right w:val="single" w:sz="8" w:space="0" w:color="auto"/>
            </w:tcBorders>
            <w:noWrap/>
            <w:tcMar>
              <w:top w:w="0" w:type="dxa"/>
              <w:left w:w="108" w:type="dxa"/>
              <w:bottom w:w="0" w:type="dxa"/>
              <w:right w:w="108" w:type="dxa"/>
            </w:tcMar>
            <w:hideMark/>
          </w:tcPr>
          <w:p w14:paraId="13E56FD6" w14:textId="77777777" w:rsidR="0093767D" w:rsidRPr="0093767D" w:rsidRDefault="0093767D" w:rsidP="0093767D">
            <w:pPr>
              <w:jc w:val="center"/>
              <w:rPr>
                <w:rFonts w:ascii="Book Antiqua" w:hAnsi="Book Antiqua"/>
              </w:rPr>
            </w:pPr>
            <w:r w:rsidRPr="0093767D">
              <w:rPr>
                <w:rFonts w:ascii="Book Antiqua" w:hAnsi="Book Antiqua"/>
              </w:rPr>
              <w:t>95,13%</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64001DD6" w14:textId="77777777" w:rsidR="0093767D" w:rsidRPr="0093767D" w:rsidRDefault="0093767D" w:rsidP="0093767D">
            <w:pPr>
              <w:jc w:val="center"/>
              <w:rPr>
                <w:rFonts w:ascii="Book Antiqua" w:hAnsi="Book Antiqua"/>
              </w:rPr>
            </w:pPr>
            <w:r w:rsidRPr="0093767D">
              <w:rPr>
                <w:rFonts w:ascii="Book Antiqua" w:hAnsi="Book Antiqua"/>
              </w:rPr>
              <w:t>64,74%</w:t>
            </w:r>
          </w:p>
        </w:tc>
      </w:tr>
      <w:tr w:rsidR="0093767D" w:rsidRPr="0093767D" w14:paraId="67411AD4" w14:textId="77777777" w:rsidTr="0093767D">
        <w:trPr>
          <w:trHeight w:val="290"/>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1EEA4" w14:textId="77777777" w:rsidR="0093767D" w:rsidRPr="0093767D" w:rsidRDefault="0093767D" w:rsidP="0093767D">
            <w:pPr>
              <w:jc w:val="center"/>
              <w:rPr>
                <w:rFonts w:ascii="Book Antiqua" w:hAnsi="Book Antiqua"/>
              </w:rPr>
            </w:pPr>
            <w:r w:rsidRPr="0093767D">
              <w:rPr>
                <w:rFonts w:ascii="Book Antiqua" w:hAnsi="Book Antiqua"/>
              </w:rPr>
              <w:t>2016</w:t>
            </w:r>
          </w:p>
        </w:tc>
        <w:tc>
          <w:tcPr>
            <w:tcW w:w="1988" w:type="dxa"/>
            <w:tcBorders>
              <w:top w:val="nil"/>
              <w:left w:val="nil"/>
              <w:bottom w:val="single" w:sz="8" w:space="0" w:color="auto"/>
              <w:right w:val="single" w:sz="8" w:space="0" w:color="auto"/>
            </w:tcBorders>
            <w:noWrap/>
            <w:tcMar>
              <w:top w:w="0" w:type="dxa"/>
              <w:left w:w="108" w:type="dxa"/>
              <w:bottom w:w="0" w:type="dxa"/>
              <w:right w:w="108" w:type="dxa"/>
            </w:tcMar>
            <w:hideMark/>
          </w:tcPr>
          <w:p w14:paraId="6A9CF3E6" w14:textId="77777777" w:rsidR="0093767D" w:rsidRPr="0093767D" w:rsidRDefault="0093767D" w:rsidP="0093767D">
            <w:pPr>
              <w:jc w:val="center"/>
              <w:rPr>
                <w:rFonts w:ascii="Book Antiqua" w:hAnsi="Book Antiqua"/>
              </w:rPr>
            </w:pPr>
            <w:r w:rsidRPr="0093767D">
              <w:rPr>
                <w:rFonts w:ascii="Book Antiqua" w:hAnsi="Book Antiqua"/>
              </w:rPr>
              <w:t>89,44%</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2245B518" w14:textId="77777777" w:rsidR="0093767D" w:rsidRPr="0093767D" w:rsidRDefault="0093767D" w:rsidP="0093767D">
            <w:pPr>
              <w:jc w:val="center"/>
              <w:rPr>
                <w:rFonts w:ascii="Book Antiqua" w:hAnsi="Book Antiqua"/>
              </w:rPr>
            </w:pPr>
            <w:r w:rsidRPr="0093767D">
              <w:rPr>
                <w:rFonts w:ascii="Book Antiqua" w:hAnsi="Book Antiqua"/>
              </w:rPr>
              <w:t>76,98%</w:t>
            </w:r>
          </w:p>
        </w:tc>
      </w:tr>
      <w:tr w:rsidR="0093767D" w:rsidRPr="0093767D" w14:paraId="3E584FAD" w14:textId="77777777" w:rsidTr="0093767D">
        <w:trPr>
          <w:trHeight w:val="290"/>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F314C" w14:textId="77777777" w:rsidR="0093767D" w:rsidRPr="0093767D" w:rsidRDefault="0093767D" w:rsidP="0093767D">
            <w:pPr>
              <w:jc w:val="center"/>
              <w:rPr>
                <w:rFonts w:ascii="Book Antiqua" w:hAnsi="Book Antiqua"/>
              </w:rPr>
            </w:pPr>
            <w:r w:rsidRPr="0093767D">
              <w:rPr>
                <w:rFonts w:ascii="Book Antiqua" w:hAnsi="Book Antiqua"/>
              </w:rPr>
              <w:t>2017</w:t>
            </w:r>
          </w:p>
        </w:tc>
        <w:tc>
          <w:tcPr>
            <w:tcW w:w="1988" w:type="dxa"/>
            <w:tcBorders>
              <w:top w:val="nil"/>
              <w:left w:val="nil"/>
              <w:bottom w:val="single" w:sz="8" w:space="0" w:color="auto"/>
              <w:right w:val="single" w:sz="8" w:space="0" w:color="auto"/>
            </w:tcBorders>
            <w:noWrap/>
            <w:tcMar>
              <w:top w:w="0" w:type="dxa"/>
              <w:left w:w="108" w:type="dxa"/>
              <w:bottom w:w="0" w:type="dxa"/>
              <w:right w:w="108" w:type="dxa"/>
            </w:tcMar>
            <w:hideMark/>
          </w:tcPr>
          <w:p w14:paraId="27031B3C" w14:textId="77777777" w:rsidR="0093767D" w:rsidRPr="0093767D" w:rsidRDefault="0093767D" w:rsidP="0093767D">
            <w:pPr>
              <w:jc w:val="center"/>
              <w:rPr>
                <w:rFonts w:ascii="Book Antiqua" w:hAnsi="Book Antiqua"/>
              </w:rPr>
            </w:pPr>
            <w:r w:rsidRPr="0093767D">
              <w:rPr>
                <w:rFonts w:ascii="Book Antiqua" w:hAnsi="Book Antiqua"/>
              </w:rPr>
              <w:t>89,54%</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3D38927B" w14:textId="77777777" w:rsidR="0093767D" w:rsidRPr="0093767D" w:rsidRDefault="0093767D" w:rsidP="0093767D">
            <w:pPr>
              <w:jc w:val="center"/>
              <w:rPr>
                <w:rFonts w:ascii="Book Antiqua" w:hAnsi="Book Antiqua"/>
              </w:rPr>
            </w:pPr>
            <w:r w:rsidRPr="0093767D">
              <w:rPr>
                <w:rFonts w:ascii="Book Antiqua" w:hAnsi="Book Antiqua"/>
              </w:rPr>
              <w:t>74,21%</w:t>
            </w:r>
          </w:p>
        </w:tc>
      </w:tr>
      <w:tr w:rsidR="0093767D" w:rsidRPr="0093767D" w14:paraId="3783A013" w14:textId="77777777" w:rsidTr="0093767D">
        <w:trPr>
          <w:trHeight w:val="290"/>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57544" w14:textId="77777777" w:rsidR="0093767D" w:rsidRPr="0093767D" w:rsidRDefault="0093767D" w:rsidP="0093767D">
            <w:pPr>
              <w:jc w:val="center"/>
              <w:rPr>
                <w:rFonts w:ascii="Book Antiqua" w:hAnsi="Book Antiqua"/>
              </w:rPr>
            </w:pPr>
            <w:r w:rsidRPr="0093767D">
              <w:rPr>
                <w:rFonts w:ascii="Book Antiqua" w:hAnsi="Book Antiqua"/>
              </w:rPr>
              <w:t>2018</w:t>
            </w:r>
          </w:p>
        </w:tc>
        <w:tc>
          <w:tcPr>
            <w:tcW w:w="1988" w:type="dxa"/>
            <w:tcBorders>
              <w:top w:val="nil"/>
              <w:left w:val="nil"/>
              <w:bottom w:val="single" w:sz="8" w:space="0" w:color="auto"/>
              <w:right w:val="single" w:sz="8" w:space="0" w:color="auto"/>
            </w:tcBorders>
            <w:noWrap/>
            <w:tcMar>
              <w:top w:w="0" w:type="dxa"/>
              <w:left w:w="108" w:type="dxa"/>
              <w:bottom w:w="0" w:type="dxa"/>
              <w:right w:w="108" w:type="dxa"/>
            </w:tcMar>
            <w:hideMark/>
          </w:tcPr>
          <w:p w14:paraId="4FA08E3D" w14:textId="77777777" w:rsidR="0093767D" w:rsidRPr="0093767D" w:rsidRDefault="0093767D" w:rsidP="0093767D">
            <w:pPr>
              <w:jc w:val="center"/>
              <w:rPr>
                <w:rFonts w:ascii="Book Antiqua" w:hAnsi="Book Antiqua"/>
              </w:rPr>
            </w:pPr>
            <w:r w:rsidRPr="0093767D">
              <w:rPr>
                <w:rFonts w:ascii="Book Antiqua" w:hAnsi="Book Antiqua"/>
              </w:rPr>
              <w:t>91,56%</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5D7DA083" w14:textId="77777777" w:rsidR="0093767D" w:rsidRPr="0093767D" w:rsidRDefault="0093767D" w:rsidP="0093767D">
            <w:pPr>
              <w:jc w:val="center"/>
              <w:rPr>
                <w:rFonts w:ascii="Book Antiqua" w:hAnsi="Book Antiqua"/>
              </w:rPr>
            </w:pPr>
            <w:r w:rsidRPr="0093767D">
              <w:rPr>
                <w:rFonts w:ascii="Book Antiqua" w:hAnsi="Book Antiqua"/>
              </w:rPr>
              <w:t>70,50%</w:t>
            </w:r>
          </w:p>
        </w:tc>
      </w:tr>
      <w:tr w:rsidR="0093767D" w:rsidRPr="0093767D" w14:paraId="76039E61" w14:textId="77777777" w:rsidTr="0093767D">
        <w:trPr>
          <w:trHeight w:val="290"/>
        </w:trPr>
        <w:tc>
          <w:tcPr>
            <w:tcW w:w="15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A0D49D" w14:textId="77777777" w:rsidR="0093767D" w:rsidRPr="0093767D" w:rsidRDefault="0093767D" w:rsidP="0093767D">
            <w:pPr>
              <w:jc w:val="center"/>
              <w:rPr>
                <w:rFonts w:ascii="Book Antiqua" w:hAnsi="Book Antiqua"/>
              </w:rPr>
            </w:pPr>
            <w:r w:rsidRPr="0093767D">
              <w:rPr>
                <w:rFonts w:ascii="Book Antiqua" w:hAnsi="Book Antiqua"/>
              </w:rPr>
              <w:t>2020</w:t>
            </w:r>
          </w:p>
        </w:tc>
        <w:tc>
          <w:tcPr>
            <w:tcW w:w="1988" w:type="dxa"/>
            <w:tcBorders>
              <w:top w:val="nil"/>
              <w:left w:val="nil"/>
              <w:bottom w:val="single" w:sz="8" w:space="0" w:color="auto"/>
              <w:right w:val="single" w:sz="8" w:space="0" w:color="auto"/>
            </w:tcBorders>
            <w:noWrap/>
            <w:tcMar>
              <w:top w:w="0" w:type="dxa"/>
              <w:left w:w="108" w:type="dxa"/>
              <w:bottom w:w="0" w:type="dxa"/>
              <w:right w:w="108" w:type="dxa"/>
            </w:tcMar>
            <w:hideMark/>
          </w:tcPr>
          <w:p w14:paraId="68097176" w14:textId="77777777" w:rsidR="0093767D" w:rsidRPr="0093767D" w:rsidRDefault="0093767D" w:rsidP="0093767D">
            <w:pPr>
              <w:jc w:val="center"/>
              <w:rPr>
                <w:rFonts w:ascii="Book Antiqua" w:hAnsi="Book Antiqua"/>
              </w:rPr>
            </w:pPr>
            <w:r w:rsidRPr="0093767D">
              <w:rPr>
                <w:rFonts w:ascii="Book Antiqua" w:hAnsi="Book Antiqua"/>
              </w:rPr>
              <w:t>90,66%</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4D52A152" w14:textId="77777777" w:rsidR="0093767D" w:rsidRPr="0093767D" w:rsidRDefault="0093767D" w:rsidP="0093767D">
            <w:pPr>
              <w:jc w:val="center"/>
              <w:rPr>
                <w:rFonts w:ascii="Book Antiqua" w:hAnsi="Book Antiqua"/>
              </w:rPr>
            </w:pPr>
            <w:r w:rsidRPr="0093767D">
              <w:rPr>
                <w:rFonts w:ascii="Book Antiqua" w:hAnsi="Book Antiqua"/>
              </w:rPr>
              <w:t>76,41%</w:t>
            </w:r>
          </w:p>
        </w:tc>
      </w:tr>
      <w:tr w:rsidR="0093767D" w:rsidRPr="0093767D" w14:paraId="24B1FC12" w14:textId="77777777" w:rsidTr="0093767D">
        <w:trPr>
          <w:trHeight w:val="290"/>
        </w:trPr>
        <w:tc>
          <w:tcPr>
            <w:tcW w:w="15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DFD60B" w14:textId="77777777" w:rsidR="0093767D" w:rsidRPr="0093767D" w:rsidRDefault="0093767D" w:rsidP="0093767D">
            <w:pPr>
              <w:jc w:val="center"/>
              <w:rPr>
                <w:rFonts w:ascii="Book Antiqua" w:hAnsi="Book Antiqua"/>
              </w:rPr>
            </w:pPr>
            <w:r w:rsidRPr="0093767D">
              <w:rPr>
                <w:rFonts w:ascii="Book Antiqua" w:hAnsi="Book Antiqua"/>
              </w:rPr>
              <w:t>2021</w:t>
            </w:r>
          </w:p>
        </w:tc>
        <w:tc>
          <w:tcPr>
            <w:tcW w:w="1988" w:type="dxa"/>
            <w:tcBorders>
              <w:top w:val="nil"/>
              <w:left w:val="nil"/>
              <w:bottom w:val="single" w:sz="8" w:space="0" w:color="auto"/>
              <w:right w:val="single" w:sz="8" w:space="0" w:color="auto"/>
            </w:tcBorders>
            <w:noWrap/>
            <w:tcMar>
              <w:top w:w="0" w:type="dxa"/>
              <w:left w:w="108" w:type="dxa"/>
              <w:bottom w:w="0" w:type="dxa"/>
              <w:right w:w="108" w:type="dxa"/>
            </w:tcMar>
            <w:hideMark/>
          </w:tcPr>
          <w:p w14:paraId="3D231F91" w14:textId="77777777" w:rsidR="0093767D" w:rsidRPr="0093767D" w:rsidRDefault="0093767D" w:rsidP="0093767D">
            <w:pPr>
              <w:jc w:val="center"/>
              <w:rPr>
                <w:rFonts w:ascii="Book Antiqua" w:hAnsi="Book Antiqua"/>
              </w:rPr>
            </w:pPr>
            <w:r w:rsidRPr="0093767D">
              <w:rPr>
                <w:rFonts w:ascii="Book Antiqua" w:hAnsi="Book Antiqua"/>
              </w:rPr>
              <w:t>93,18%</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077EC0AA" w14:textId="77777777" w:rsidR="0093767D" w:rsidRPr="0093767D" w:rsidRDefault="0093767D" w:rsidP="0093767D">
            <w:pPr>
              <w:jc w:val="center"/>
              <w:rPr>
                <w:rFonts w:ascii="Book Antiqua" w:hAnsi="Book Antiqua"/>
              </w:rPr>
            </w:pPr>
            <w:r w:rsidRPr="0093767D">
              <w:rPr>
                <w:rFonts w:ascii="Book Antiqua" w:hAnsi="Book Antiqua"/>
              </w:rPr>
              <w:t>71,93%</w:t>
            </w:r>
          </w:p>
        </w:tc>
      </w:tr>
      <w:tr w:rsidR="0093767D" w:rsidRPr="0093767D" w14:paraId="31F0B3E5" w14:textId="77777777" w:rsidTr="0093767D">
        <w:trPr>
          <w:trHeight w:val="290"/>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00EDC" w14:textId="77777777" w:rsidR="0093767D" w:rsidRPr="0093767D" w:rsidRDefault="0093767D" w:rsidP="0093767D">
            <w:pPr>
              <w:jc w:val="center"/>
              <w:rPr>
                <w:rFonts w:ascii="Book Antiqua" w:hAnsi="Book Antiqua"/>
              </w:rPr>
            </w:pPr>
            <w:r w:rsidRPr="0093767D">
              <w:rPr>
                <w:rFonts w:ascii="Book Antiqua" w:hAnsi="Book Antiqua"/>
              </w:rPr>
              <w:t>2022</w:t>
            </w:r>
          </w:p>
        </w:tc>
        <w:tc>
          <w:tcPr>
            <w:tcW w:w="1988" w:type="dxa"/>
            <w:tcBorders>
              <w:top w:val="nil"/>
              <w:left w:val="nil"/>
              <w:bottom w:val="single" w:sz="8" w:space="0" w:color="auto"/>
              <w:right w:val="single" w:sz="8" w:space="0" w:color="auto"/>
            </w:tcBorders>
            <w:noWrap/>
            <w:tcMar>
              <w:top w:w="0" w:type="dxa"/>
              <w:left w:w="108" w:type="dxa"/>
              <w:bottom w:w="0" w:type="dxa"/>
              <w:right w:w="108" w:type="dxa"/>
            </w:tcMar>
            <w:hideMark/>
          </w:tcPr>
          <w:p w14:paraId="77E70355" w14:textId="77777777" w:rsidR="0093767D" w:rsidRPr="0093767D" w:rsidRDefault="0093767D" w:rsidP="0093767D">
            <w:pPr>
              <w:jc w:val="center"/>
              <w:rPr>
                <w:rFonts w:ascii="Book Antiqua" w:hAnsi="Book Antiqua"/>
              </w:rPr>
            </w:pPr>
            <w:r w:rsidRPr="0093767D">
              <w:rPr>
                <w:rFonts w:ascii="Book Antiqua" w:hAnsi="Book Antiqua"/>
              </w:rPr>
              <w:t>96,22%</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7477C5EB" w14:textId="77777777" w:rsidR="0093767D" w:rsidRPr="0093767D" w:rsidRDefault="0093767D" w:rsidP="0093767D">
            <w:pPr>
              <w:jc w:val="center"/>
              <w:rPr>
                <w:rFonts w:ascii="Book Antiqua" w:hAnsi="Book Antiqua"/>
              </w:rPr>
            </w:pPr>
            <w:r w:rsidRPr="0093767D">
              <w:rPr>
                <w:rFonts w:ascii="Book Antiqua" w:hAnsi="Book Antiqua"/>
              </w:rPr>
              <w:t>79,30%</w:t>
            </w:r>
          </w:p>
        </w:tc>
      </w:tr>
    </w:tbl>
    <w:p w14:paraId="72254959" w14:textId="77777777" w:rsidR="0093767D" w:rsidRPr="0093767D" w:rsidRDefault="0093767D" w:rsidP="0093767D">
      <w:pPr>
        <w:rPr>
          <w:rFonts w:ascii="Book Antiqua" w:hAnsi="Book Antiqua"/>
        </w:rPr>
      </w:pPr>
    </w:p>
    <w:p w14:paraId="264C62CD" w14:textId="77777777" w:rsidR="0093767D" w:rsidRPr="0093767D" w:rsidRDefault="0093767D" w:rsidP="0093767D">
      <w:pPr>
        <w:jc w:val="center"/>
        <w:rPr>
          <w:rFonts w:ascii="Book Antiqua" w:eastAsiaTheme="minorHAnsi" w:hAnsi="Book Antiqua" w:cs="Calibri"/>
          <w:b/>
          <w:bCs/>
        </w:rPr>
      </w:pPr>
    </w:p>
    <w:p w14:paraId="70BC4556" w14:textId="77777777" w:rsidR="0093767D" w:rsidRDefault="0093767D" w:rsidP="0093767D">
      <w:pPr>
        <w:rPr>
          <w:rFonts w:ascii="Book Antiqua" w:hAnsi="Book Antiqua"/>
        </w:rPr>
      </w:pPr>
    </w:p>
    <w:p w14:paraId="486511E3" w14:textId="77777777" w:rsidR="0093767D" w:rsidRDefault="0093767D" w:rsidP="0093767D">
      <w:pPr>
        <w:rPr>
          <w:rFonts w:ascii="Book Antiqua" w:hAnsi="Book Antiqua"/>
        </w:rPr>
      </w:pPr>
    </w:p>
    <w:p w14:paraId="1293482E" w14:textId="77777777" w:rsidR="0093767D" w:rsidRDefault="0093767D" w:rsidP="0093767D">
      <w:pPr>
        <w:rPr>
          <w:rFonts w:ascii="Book Antiqua" w:hAnsi="Book Antiqua"/>
        </w:rPr>
      </w:pPr>
    </w:p>
    <w:p w14:paraId="64963736" w14:textId="77777777" w:rsidR="0093767D" w:rsidRDefault="0093767D" w:rsidP="0093767D">
      <w:pPr>
        <w:rPr>
          <w:rFonts w:ascii="Book Antiqua" w:hAnsi="Book Antiqua"/>
        </w:rPr>
      </w:pPr>
    </w:p>
    <w:p w14:paraId="77A74F30" w14:textId="77777777" w:rsidR="0093767D" w:rsidRDefault="0093767D" w:rsidP="0093767D">
      <w:pPr>
        <w:rPr>
          <w:rFonts w:ascii="Book Antiqua" w:hAnsi="Book Antiqua"/>
        </w:rPr>
      </w:pPr>
    </w:p>
    <w:p w14:paraId="5A852CE9" w14:textId="77777777" w:rsidR="0093767D" w:rsidRDefault="0093767D" w:rsidP="0093767D">
      <w:pPr>
        <w:rPr>
          <w:rFonts w:ascii="Book Antiqua" w:hAnsi="Book Antiqua"/>
        </w:rPr>
      </w:pPr>
    </w:p>
    <w:p w14:paraId="49CB5029" w14:textId="77777777" w:rsidR="0093767D" w:rsidRDefault="0093767D" w:rsidP="0093767D">
      <w:pPr>
        <w:rPr>
          <w:rFonts w:ascii="Book Antiqua" w:hAnsi="Book Antiqua"/>
        </w:rPr>
      </w:pPr>
    </w:p>
    <w:p w14:paraId="7C7AFF37" w14:textId="77777777" w:rsidR="0093767D" w:rsidRDefault="0093767D" w:rsidP="0093767D">
      <w:pPr>
        <w:rPr>
          <w:rFonts w:ascii="Book Antiqua" w:hAnsi="Book Antiqua"/>
        </w:rPr>
      </w:pPr>
    </w:p>
    <w:p w14:paraId="66C023C7" w14:textId="77777777" w:rsidR="0093767D" w:rsidRDefault="0093767D" w:rsidP="0093767D">
      <w:pPr>
        <w:rPr>
          <w:rFonts w:ascii="Book Antiqua" w:hAnsi="Book Antiqua"/>
        </w:rPr>
      </w:pPr>
    </w:p>
    <w:p w14:paraId="7872BFF8" w14:textId="77777777" w:rsidR="0093767D" w:rsidRDefault="0093767D" w:rsidP="0093767D">
      <w:pPr>
        <w:rPr>
          <w:rFonts w:ascii="Book Antiqua" w:hAnsi="Book Antiqua"/>
        </w:rPr>
      </w:pPr>
    </w:p>
    <w:p w14:paraId="38693134" w14:textId="77777777" w:rsidR="0093767D" w:rsidRDefault="0093767D" w:rsidP="0093767D">
      <w:pPr>
        <w:rPr>
          <w:rFonts w:ascii="Book Antiqua" w:hAnsi="Book Antiqua"/>
        </w:rPr>
      </w:pPr>
    </w:p>
    <w:p w14:paraId="0215E385" w14:textId="77777777" w:rsidR="0093767D" w:rsidRDefault="0093767D" w:rsidP="0093767D">
      <w:pPr>
        <w:rPr>
          <w:rFonts w:ascii="Book Antiqua" w:hAnsi="Book Antiqua"/>
        </w:rPr>
      </w:pPr>
    </w:p>
    <w:p w14:paraId="5B772052" w14:textId="36915FD3" w:rsidR="0093767D" w:rsidRPr="0093767D" w:rsidRDefault="0093767D" w:rsidP="0093767D">
      <w:pPr>
        <w:ind w:left="708"/>
        <w:jc w:val="both"/>
        <w:rPr>
          <w:rFonts w:ascii="Book Antiqua" w:hAnsi="Book Antiqua"/>
        </w:rPr>
      </w:pPr>
      <w:r w:rsidRPr="0093767D">
        <w:rPr>
          <w:rFonts w:ascii="Book Antiqua" w:hAnsi="Book Antiqua"/>
        </w:rPr>
        <w:t>Desde una vista a los últimos procesos, no se advirtieron infracciones o incumplimientos en relación a la información sobre transferencias de fondos públicos.</w:t>
      </w:r>
    </w:p>
    <w:p w14:paraId="16C51DD6" w14:textId="77777777" w:rsidR="0093767D" w:rsidRDefault="0093767D" w:rsidP="0093767D">
      <w:pPr>
        <w:ind w:left="708"/>
        <w:jc w:val="both"/>
        <w:rPr>
          <w:rFonts w:ascii="Book Antiqua" w:hAnsi="Book Antiqua"/>
        </w:rPr>
      </w:pPr>
      <w:r w:rsidRPr="0093767D">
        <w:rPr>
          <w:rFonts w:ascii="Book Antiqua" w:hAnsi="Book Antiqua"/>
        </w:rPr>
        <w:t xml:space="preserve">El acceso a los informes está disponible desde aquí: </w:t>
      </w:r>
    </w:p>
    <w:p w14:paraId="041FDF6E" w14:textId="582ECEEC" w:rsidR="0093767D" w:rsidRPr="0093767D" w:rsidRDefault="00C30944" w:rsidP="0093767D">
      <w:pPr>
        <w:ind w:left="708"/>
        <w:jc w:val="both"/>
        <w:rPr>
          <w:rFonts w:ascii="Book Antiqua" w:hAnsi="Book Antiqua"/>
        </w:rPr>
      </w:pPr>
      <w:hyperlink r:id="rId8" w:history="1">
        <w:r w:rsidR="0093767D" w:rsidRPr="0093767D">
          <w:rPr>
            <w:rFonts w:ascii="Book Antiqua" w:hAnsi="Book Antiqua"/>
            <w:noProof/>
            <w:color w:val="0000FF"/>
            <w:shd w:val="clear" w:color="auto" w:fill="F3F2F1"/>
            <w:lang w:eastAsia="es-CL"/>
          </w:rPr>
          <w:drawing>
            <wp:inline distT="0" distB="0" distL="0" distR="0" wp14:anchorId="79156832" wp14:editId="7DDE1EA4">
              <wp:extent cx="152400" cy="152400"/>
              <wp:effectExtent l="0" t="0" r="0" b="0"/>
              <wp:docPr id="3" name="Imagen 3" descr="​icono de Carp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cono de Carpeta"/>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3767D" w:rsidRPr="0093767D">
          <w:rPr>
            <w:rStyle w:val="SmartLink"/>
            <w:rFonts w:ascii="Book Antiqua" w:hAnsi="Book Antiqua"/>
          </w:rPr>
          <w:t> Antecedentes Vitacura</w:t>
        </w:r>
      </w:hyperlink>
    </w:p>
    <w:p w14:paraId="55CB392E" w14:textId="77777777" w:rsidR="0093767D" w:rsidRPr="0093767D" w:rsidRDefault="0093767D" w:rsidP="0093767D">
      <w:pPr>
        <w:rPr>
          <w:rFonts w:ascii="Book Antiqua" w:hAnsi="Book Antiqua"/>
        </w:rPr>
      </w:pPr>
    </w:p>
    <w:p w14:paraId="705D78B8" w14:textId="77777777" w:rsidR="0093767D" w:rsidRPr="0093767D" w:rsidRDefault="0093767D" w:rsidP="0093767D">
      <w:pPr>
        <w:pStyle w:val="Prrafodelista"/>
        <w:numPr>
          <w:ilvl w:val="0"/>
          <w:numId w:val="10"/>
        </w:numPr>
        <w:spacing w:after="0" w:line="240" w:lineRule="auto"/>
        <w:contextualSpacing w:val="0"/>
        <w:rPr>
          <w:rFonts w:ascii="Book Antiqua" w:hAnsi="Book Antiqua"/>
          <w:b/>
          <w:bCs/>
        </w:rPr>
      </w:pPr>
      <w:r w:rsidRPr="0093767D">
        <w:rPr>
          <w:rFonts w:ascii="Book Antiqua" w:hAnsi="Book Antiqua"/>
          <w:b/>
          <w:bCs/>
        </w:rPr>
        <w:lastRenderedPageBreak/>
        <w:t>Cumplimiento de exigencias procedimiento administrativo de Acceso a la Información (resultados de fiscalización DAI):</w:t>
      </w:r>
    </w:p>
    <w:p w14:paraId="4CED10F8" w14:textId="77777777" w:rsidR="0093767D" w:rsidRPr="0093767D" w:rsidRDefault="0093767D" w:rsidP="0093767D">
      <w:pPr>
        <w:jc w:val="center"/>
        <w:rPr>
          <w:rFonts w:ascii="Book Antiqua" w:hAnsi="Book Antiqua"/>
          <w:b/>
          <w:bCs/>
        </w:rPr>
      </w:pPr>
    </w:p>
    <w:tbl>
      <w:tblPr>
        <w:tblW w:w="7558" w:type="dxa"/>
        <w:tblInd w:w="1267" w:type="dxa"/>
        <w:tblCellMar>
          <w:left w:w="0" w:type="dxa"/>
          <w:right w:w="0" w:type="dxa"/>
        </w:tblCellMar>
        <w:tblLook w:val="04A0" w:firstRow="1" w:lastRow="0" w:firstColumn="1" w:lastColumn="0" w:noHBand="0" w:noVBand="1"/>
      </w:tblPr>
      <w:tblGrid>
        <w:gridCol w:w="1594"/>
        <w:gridCol w:w="1942"/>
        <w:gridCol w:w="2693"/>
        <w:gridCol w:w="1329"/>
      </w:tblGrid>
      <w:tr w:rsidR="0093767D" w:rsidRPr="0093767D" w14:paraId="2A4F830B" w14:textId="77777777" w:rsidTr="0093767D">
        <w:trPr>
          <w:trHeight w:val="70"/>
        </w:trPr>
        <w:tc>
          <w:tcPr>
            <w:tcW w:w="1594" w:type="dxa"/>
            <w:tcBorders>
              <w:top w:val="single" w:sz="8" w:space="0" w:color="auto"/>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hideMark/>
          </w:tcPr>
          <w:p w14:paraId="3DB0EA1D" w14:textId="77777777" w:rsidR="0093767D" w:rsidRPr="0093767D" w:rsidRDefault="0093767D">
            <w:pPr>
              <w:jc w:val="center"/>
              <w:rPr>
                <w:rFonts w:ascii="Book Antiqua" w:hAnsi="Book Antiqua"/>
                <w:b/>
                <w:bCs/>
                <w:color w:val="FFFFFF"/>
              </w:rPr>
            </w:pPr>
            <w:r w:rsidRPr="0093767D">
              <w:rPr>
                <w:rFonts w:ascii="Book Antiqua" w:hAnsi="Book Antiqua"/>
                <w:b/>
                <w:bCs/>
                <w:color w:val="FFFFFF"/>
              </w:rPr>
              <w:t>Año  Proceso</w:t>
            </w:r>
          </w:p>
        </w:tc>
        <w:tc>
          <w:tcPr>
            <w:tcW w:w="1942"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hideMark/>
          </w:tcPr>
          <w:p w14:paraId="47122337" w14:textId="77777777" w:rsidR="0093767D" w:rsidRPr="0093767D" w:rsidRDefault="0093767D">
            <w:pPr>
              <w:jc w:val="center"/>
              <w:rPr>
                <w:rFonts w:ascii="Book Antiqua" w:hAnsi="Book Antiqua"/>
                <w:b/>
                <w:bCs/>
                <w:color w:val="FFFFFF"/>
              </w:rPr>
            </w:pPr>
            <w:r w:rsidRPr="0093767D">
              <w:rPr>
                <w:rFonts w:ascii="Book Antiqua" w:hAnsi="Book Antiqua"/>
                <w:b/>
                <w:bCs/>
                <w:color w:val="FFFFFF"/>
              </w:rPr>
              <w:t>Puntaje Vitacura</w:t>
            </w:r>
          </w:p>
        </w:tc>
        <w:tc>
          <w:tcPr>
            <w:tcW w:w="2693"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hideMark/>
          </w:tcPr>
          <w:p w14:paraId="1DDDD62A" w14:textId="77777777" w:rsidR="0093767D" w:rsidRPr="0093767D" w:rsidRDefault="0093767D">
            <w:pPr>
              <w:jc w:val="center"/>
              <w:rPr>
                <w:rFonts w:ascii="Book Antiqua" w:hAnsi="Book Antiqua"/>
                <w:b/>
                <w:bCs/>
                <w:color w:val="FFFFFF"/>
              </w:rPr>
            </w:pPr>
            <w:r w:rsidRPr="0093767D">
              <w:rPr>
                <w:rFonts w:ascii="Book Antiqua" w:hAnsi="Book Antiqua"/>
                <w:b/>
                <w:bCs/>
                <w:color w:val="FFFFFF"/>
              </w:rPr>
              <w:t>Promedio 345 Municipios</w:t>
            </w:r>
          </w:p>
        </w:tc>
        <w:tc>
          <w:tcPr>
            <w:tcW w:w="1329"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626DD349" w14:textId="77777777" w:rsidR="0093767D" w:rsidRPr="0093767D" w:rsidRDefault="0093767D">
            <w:pPr>
              <w:jc w:val="center"/>
              <w:rPr>
                <w:rFonts w:ascii="Book Antiqua" w:hAnsi="Book Antiqua"/>
                <w:b/>
                <w:bCs/>
                <w:color w:val="FFFFFF"/>
              </w:rPr>
            </w:pPr>
            <w:r w:rsidRPr="0093767D">
              <w:rPr>
                <w:rFonts w:ascii="Book Antiqua" w:hAnsi="Book Antiqua"/>
                <w:b/>
                <w:bCs/>
                <w:color w:val="FFFFFF"/>
              </w:rPr>
              <w:t>Modalidad</w:t>
            </w:r>
          </w:p>
        </w:tc>
      </w:tr>
      <w:tr w:rsidR="0093767D" w:rsidRPr="0093767D" w14:paraId="06F5251A" w14:textId="77777777" w:rsidTr="0093767D">
        <w:trPr>
          <w:trHeight w:val="248"/>
        </w:trPr>
        <w:tc>
          <w:tcPr>
            <w:tcW w:w="1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30993" w14:textId="77777777" w:rsidR="0093767D" w:rsidRPr="0093767D" w:rsidRDefault="0093767D">
            <w:pPr>
              <w:jc w:val="center"/>
              <w:rPr>
                <w:rFonts w:ascii="Book Antiqua" w:hAnsi="Book Antiqua"/>
              </w:rPr>
            </w:pPr>
            <w:r w:rsidRPr="0093767D">
              <w:rPr>
                <w:rFonts w:ascii="Book Antiqua" w:hAnsi="Book Antiqua"/>
              </w:rPr>
              <w:t>2014</w:t>
            </w:r>
          </w:p>
        </w:tc>
        <w:tc>
          <w:tcPr>
            <w:tcW w:w="1942" w:type="dxa"/>
            <w:tcBorders>
              <w:top w:val="nil"/>
              <w:left w:val="nil"/>
              <w:bottom w:val="single" w:sz="8" w:space="0" w:color="auto"/>
              <w:right w:val="single" w:sz="8" w:space="0" w:color="auto"/>
            </w:tcBorders>
            <w:tcMar>
              <w:top w:w="0" w:type="dxa"/>
              <w:left w:w="108" w:type="dxa"/>
              <w:bottom w:w="0" w:type="dxa"/>
              <w:right w:w="108" w:type="dxa"/>
            </w:tcMar>
            <w:hideMark/>
          </w:tcPr>
          <w:p w14:paraId="3D73184E" w14:textId="77777777" w:rsidR="0093767D" w:rsidRPr="0093767D" w:rsidRDefault="0093767D">
            <w:pPr>
              <w:jc w:val="center"/>
              <w:rPr>
                <w:rFonts w:ascii="Book Antiqua" w:hAnsi="Book Antiqua"/>
              </w:rPr>
            </w:pPr>
            <w:r w:rsidRPr="0093767D">
              <w:rPr>
                <w:rFonts w:ascii="Book Antiqua" w:hAnsi="Book Antiqua"/>
              </w:rPr>
              <w:t>100,00%</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03784241" w14:textId="77777777" w:rsidR="0093767D" w:rsidRPr="0093767D" w:rsidRDefault="0093767D">
            <w:pPr>
              <w:jc w:val="center"/>
              <w:rPr>
                <w:rFonts w:ascii="Book Antiqua" w:hAnsi="Book Antiqua"/>
              </w:rPr>
            </w:pPr>
            <w:r w:rsidRPr="0093767D">
              <w:rPr>
                <w:rFonts w:ascii="Book Antiqua" w:hAnsi="Book Antiqua"/>
              </w:rPr>
              <w:t>54,37%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79269E4" w14:textId="77777777" w:rsidR="0093767D" w:rsidRPr="0093767D" w:rsidRDefault="0093767D">
            <w:pPr>
              <w:jc w:val="center"/>
              <w:rPr>
                <w:rFonts w:ascii="Book Antiqua" w:hAnsi="Book Antiqua"/>
              </w:rPr>
            </w:pPr>
            <w:r w:rsidRPr="0093767D">
              <w:rPr>
                <w:rFonts w:ascii="Book Antiqua" w:hAnsi="Book Antiqua"/>
              </w:rPr>
              <w:t>Online</w:t>
            </w:r>
          </w:p>
        </w:tc>
      </w:tr>
      <w:tr w:rsidR="0093767D" w:rsidRPr="0093767D" w14:paraId="55CC0AE4" w14:textId="77777777" w:rsidTr="0093767D">
        <w:trPr>
          <w:trHeight w:val="248"/>
        </w:trPr>
        <w:tc>
          <w:tcPr>
            <w:tcW w:w="1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CFEB0" w14:textId="77777777" w:rsidR="0093767D" w:rsidRPr="0093767D" w:rsidRDefault="0093767D">
            <w:pPr>
              <w:jc w:val="center"/>
              <w:rPr>
                <w:rFonts w:ascii="Book Antiqua" w:hAnsi="Book Antiqua"/>
              </w:rPr>
            </w:pPr>
            <w:r w:rsidRPr="0093767D">
              <w:rPr>
                <w:rFonts w:ascii="Book Antiqua" w:hAnsi="Book Antiqua"/>
              </w:rPr>
              <w:t>2016</w:t>
            </w:r>
          </w:p>
        </w:tc>
        <w:tc>
          <w:tcPr>
            <w:tcW w:w="1942" w:type="dxa"/>
            <w:tcBorders>
              <w:top w:val="nil"/>
              <w:left w:val="nil"/>
              <w:bottom w:val="single" w:sz="8" w:space="0" w:color="auto"/>
              <w:right w:val="single" w:sz="8" w:space="0" w:color="auto"/>
            </w:tcBorders>
            <w:tcMar>
              <w:top w:w="0" w:type="dxa"/>
              <w:left w:w="108" w:type="dxa"/>
              <w:bottom w:w="0" w:type="dxa"/>
              <w:right w:w="108" w:type="dxa"/>
            </w:tcMar>
            <w:hideMark/>
          </w:tcPr>
          <w:p w14:paraId="72E347CD" w14:textId="77777777" w:rsidR="0093767D" w:rsidRPr="0093767D" w:rsidRDefault="0093767D">
            <w:pPr>
              <w:jc w:val="center"/>
              <w:rPr>
                <w:rFonts w:ascii="Book Antiqua" w:hAnsi="Book Antiqua"/>
              </w:rPr>
            </w:pPr>
            <w:r w:rsidRPr="0093767D">
              <w:rPr>
                <w:rFonts w:ascii="Book Antiqua" w:hAnsi="Book Antiqua"/>
              </w:rPr>
              <w:t>96,44%</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14468793" w14:textId="77777777" w:rsidR="0093767D" w:rsidRPr="0093767D" w:rsidRDefault="0093767D">
            <w:pPr>
              <w:jc w:val="center"/>
              <w:rPr>
                <w:rFonts w:ascii="Book Antiqua" w:hAnsi="Book Antiqua"/>
              </w:rPr>
            </w:pPr>
            <w:r w:rsidRPr="0093767D">
              <w:rPr>
                <w:rFonts w:ascii="Book Antiqua" w:hAnsi="Book Antiqua"/>
              </w:rPr>
              <w:t>88,45%</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70CBCEDE" w14:textId="77777777" w:rsidR="0093767D" w:rsidRPr="0093767D" w:rsidRDefault="0093767D">
            <w:pPr>
              <w:jc w:val="center"/>
              <w:rPr>
                <w:rFonts w:ascii="Book Antiqua" w:hAnsi="Book Antiqua"/>
              </w:rPr>
            </w:pPr>
            <w:r w:rsidRPr="0093767D">
              <w:rPr>
                <w:rFonts w:ascii="Book Antiqua" w:hAnsi="Book Antiqua"/>
              </w:rPr>
              <w:t>Online</w:t>
            </w:r>
          </w:p>
        </w:tc>
      </w:tr>
      <w:tr w:rsidR="0093767D" w:rsidRPr="0093767D" w14:paraId="1963CC70" w14:textId="77777777" w:rsidTr="0093767D">
        <w:trPr>
          <w:trHeight w:val="248"/>
        </w:trPr>
        <w:tc>
          <w:tcPr>
            <w:tcW w:w="1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AAA91" w14:textId="77777777" w:rsidR="0093767D" w:rsidRPr="0093767D" w:rsidRDefault="0093767D">
            <w:pPr>
              <w:jc w:val="center"/>
              <w:rPr>
                <w:rFonts w:ascii="Book Antiqua" w:hAnsi="Book Antiqua"/>
              </w:rPr>
            </w:pPr>
            <w:r w:rsidRPr="0093767D">
              <w:rPr>
                <w:rFonts w:ascii="Book Antiqua" w:hAnsi="Book Antiqua"/>
              </w:rPr>
              <w:t>2016</w:t>
            </w:r>
          </w:p>
        </w:tc>
        <w:tc>
          <w:tcPr>
            <w:tcW w:w="1942" w:type="dxa"/>
            <w:tcBorders>
              <w:top w:val="nil"/>
              <w:left w:val="nil"/>
              <w:bottom w:val="single" w:sz="8" w:space="0" w:color="auto"/>
              <w:right w:val="single" w:sz="8" w:space="0" w:color="auto"/>
            </w:tcBorders>
            <w:tcMar>
              <w:top w:w="0" w:type="dxa"/>
              <w:left w:w="108" w:type="dxa"/>
              <w:bottom w:w="0" w:type="dxa"/>
              <w:right w:w="108" w:type="dxa"/>
            </w:tcMar>
            <w:hideMark/>
          </w:tcPr>
          <w:p w14:paraId="6CFE3911" w14:textId="77777777" w:rsidR="0093767D" w:rsidRPr="0093767D" w:rsidRDefault="0093767D">
            <w:pPr>
              <w:jc w:val="center"/>
              <w:rPr>
                <w:rFonts w:ascii="Book Antiqua" w:hAnsi="Book Antiqua"/>
              </w:rPr>
            </w:pPr>
            <w:r w:rsidRPr="0093767D">
              <w:rPr>
                <w:rFonts w:ascii="Book Antiqua" w:hAnsi="Book Antiqua"/>
              </w:rPr>
              <w:t>47,75%</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6FE02A73" w14:textId="77777777" w:rsidR="0093767D" w:rsidRPr="0093767D" w:rsidRDefault="0093767D">
            <w:pPr>
              <w:jc w:val="center"/>
              <w:rPr>
                <w:rFonts w:ascii="Book Antiqua" w:hAnsi="Book Antiqua"/>
              </w:rPr>
            </w:pPr>
            <w:r w:rsidRPr="0093767D">
              <w:rPr>
                <w:rFonts w:ascii="Book Antiqua" w:hAnsi="Book Antiqua"/>
              </w:rPr>
              <w:t>82,24%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5C95F90" w14:textId="77777777" w:rsidR="0093767D" w:rsidRPr="0093767D" w:rsidRDefault="0093767D">
            <w:pPr>
              <w:jc w:val="center"/>
              <w:rPr>
                <w:rFonts w:ascii="Book Antiqua" w:hAnsi="Book Antiqua"/>
              </w:rPr>
            </w:pPr>
            <w:r w:rsidRPr="0093767D">
              <w:rPr>
                <w:rFonts w:ascii="Book Antiqua" w:hAnsi="Book Antiqua"/>
              </w:rPr>
              <w:t>Presencial</w:t>
            </w:r>
          </w:p>
        </w:tc>
      </w:tr>
      <w:tr w:rsidR="0093767D" w:rsidRPr="0093767D" w14:paraId="7FC0C9F3" w14:textId="77777777" w:rsidTr="0093767D">
        <w:trPr>
          <w:trHeight w:val="248"/>
        </w:trPr>
        <w:tc>
          <w:tcPr>
            <w:tcW w:w="1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6B636" w14:textId="77777777" w:rsidR="0093767D" w:rsidRPr="0093767D" w:rsidRDefault="0093767D">
            <w:pPr>
              <w:jc w:val="center"/>
              <w:rPr>
                <w:rFonts w:ascii="Book Antiqua" w:hAnsi="Book Antiqua"/>
              </w:rPr>
            </w:pPr>
            <w:r w:rsidRPr="0093767D">
              <w:rPr>
                <w:rFonts w:ascii="Book Antiqua" w:hAnsi="Book Antiqua"/>
              </w:rPr>
              <w:t>2017</w:t>
            </w:r>
          </w:p>
        </w:tc>
        <w:tc>
          <w:tcPr>
            <w:tcW w:w="1942" w:type="dxa"/>
            <w:tcBorders>
              <w:top w:val="nil"/>
              <w:left w:val="nil"/>
              <w:bottom w:val="single" w:sz="8" w:space="0" w:color="auto"/>
              <w:right w:val="single" w:sz="8" w:space="0" w:color="auto"/>
            </w:tcBorders>
            <w:tcMar>
              <w:top w:w="0" w:type="dxa"/>
              <w:left w:w="108" w:type="dxa"/>
              <w:bottom w:w="0" w:type="dxa"/>
              <w:right w:w="108" w:type="dxa"/>
            </w:tcMar>
            <w:hideMark/>
          </w:tcPr>
          <w:p w14:paraId="2AA90112" w14:textId="77777777" w:rsidR="0093767D" w:rsidRPr="0093767D" w:rsidRDefault="0093767D">
            <w:pPr>
              <w:jc w:val="center"/>
              <w:rPr>
                <w:rFonts w:ascii="Book Antiqua" w:hAnsi="Book Antiqua"/>
              </w:rPr>
            </w:pPr>
            <w:r w:rsidRPr="0093767D">
              <w:rPr>
                <w:rFonts w:ascii="Book Antiqua" w:hAnsi="Book Antiqua"/>
              </w:rPr>
              <w:t>94,41%</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309AE602" w14:textId="77777777" w:rsidR="0093767D" w:rsidRPr="0093767D" w:rsidRDefault="0093767D">
            <w:pPr>
              <w:jc w:val="center"/>
              <w:rPr>
                <w:rFonts w:ascii="Book Antiqua" w:hAnsi="Book Antiqua"/>
              </w:rPr>
            </w:pPr>
            <w:r w:rsidRPr="0093767D">
              <w:rPr>
                <w:rFonts w:ascii="Book Antiqua" w:hAnsi="Book Antiqua"/>
              </w:rPr>
              <w:t>80,51%</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176A5BB" w14:textId="77777777" w:rsidR="0093767D" w:rsidRPr="0093767D" w:rsidRDefault="0093767D">
            <w:pPr>
              <w:jc w:val="center"/>
              <w:rPr>
                <w:rFonts w:ascii="Book Antiqua" w:hAnsi="Book Antiqua"/>
              </w:rPr>
            </w:pPr>
            <w:r w:rsidRPr="0093767D">
              <w:rPr>
                <w:rFonts w:ascii="Book Antiqua" w:hAnsi="Book Antiqua"/>
              </w:rPr>
              <w:t>Online</w:t>
            </w:r>
          </w:p>
        </w:tc>
      </w:tr>
      <w:tr w:rsidR="0093767D" w:rsidRPr="0093767D" w14:paraId="2FBAEBC5" w14:textId="77777777" w:rsidTr="0093767D">
        <w:trPr>
          <w:trHeight w:val="248"/>
        </w:trPr>
        <w:tc>
          <w:tcPr>
            <w:tcW w:w="1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0795F" w14:textId="77777777" w:rsidR="0093767D" w:rsidRPr="0093767D" w:rsidRDefault="0093767D">
            <w:pPr>
              <w:jc w:val="center"/>
              <w:rPr>
                <w:rFonts w:ascii="Book Antiqua" w:hAnsi="Book Antiqua"/>
              </w:rPr>
            </w:pPr>
            <w:r w:rsidRPr="0093767D">
              <w:rPr>
                <w:rFonts w:ascii="Book Antiqua" w:hAnsi="Book Antiqua"/>
              </w:rPr>
              <w:t>2017</w:t>
            </w:r>
          </w:p>
        </w:tc>
        <w:tc>
          <w:tcPr>
            <w:tcW w:w="1942" w:type="dxa"/>
            <w:tcBorders>
              <w:top w:val="nil"/>
              <w:left w:val="nil"/>
              <w:bottom w:val="single" w:sz="8" w:space="0" w:color="auto"/>
              <w:right w:val="single" w:sz="8" w:space="0" w:color="auto"/>
            </w:tcBorders>
            <w:tcMar>
              <w:top w:w="0" w:type="dxa"/>
              <w:left w:w="108" w:type="dxa"/>
              <w:bottom w:w="0" w:type="dxa"/>
              <w:right w:w="108" w:type="dxa"/>
            </w:tcMar>
            <w:hideMark/>
          </w:tcPr>
          <w:p w14:paraId="6D0D025B" w14:textId="77777777" w:rsidR="0093767D" w:rsidRPr="0093767D" w:rsidRDefault="0093767D">
            <w:pPr>
              <w:jc w:val="center"/>
              <w:rPr>
                <w:rFonts w:ascii="Book Antiqua" w:hAnsi="Book Antiqua"/>
              </w:rPr>
            </w:pPr>
            <w:r w:rsidRPr="0093767D">
              <w:rPr>
                <w:rFonts w:ascii="Book Antiqua" w:hAnsi="Book Antiqua"/>
              </w:rPr>
              <w:t>100,00%</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27205CE3" w14:textId="77777777" w:rsidR="0093767D" w:rsidRPr="0093767D" w:rsidRDefault="0093767D">
            <w:pPr>
              <w:jc w:val="center"/>
              <w:rPr>
                <w:rFonts w:ascii="Book Antiqua" w:hAnsi="Book Antiqua"/>
              </w:rPr>
            </w:pPr>
            <w:r w:rsidRPr="0093767D">
              <w:rPr>
                <w:rFonts w:ascii="Book Antiqua" w:hAnsi="Book Antiqua"/>
              </w:rPr>
              <w:t>89,42%</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F9845CF" w14:textId="77777777" w:rsidR="0093767D" w:rsidRPr="0093767D" w:rsidRDefault="0093767D">
            <w:pPr>
              <w:jc w:val="center"/>
              <w:rPr>
                <w:rFonts w:ascii="Book Antiqua" w:hAnsi="Book Antiqua"/>
              </w:rPr>
            </w:pPr>
            <w:r w:rsidRPr="0093767D">
              <w:rPr>
                <w:rFonts w:ascii="Book Antiqua" w:hAnsi="Book Antiqua"/>
              </w:rPr>
              <w:t>Presencial</w:t>
            </w:r>
          </w:p>
        </w:tc>
      </w:tr>
      <w:tr w:rsidR="0093767D" w:rsidRPr="0093767D" w14:paraId="67BAA098" w14:textId="77777777" w:rsidTr="0093767D">
        <w:trPr>
          <w:trHeight w:val="248"/>
        </w:trPr>
        <w:tc>
          <w:tcPr>
            <w:tcW w:w="1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3A8AD" w14:textId="77777777" w:rsidR="0093767D" w:rsidRPr="0093767D" w:rsidRDefault="0093767D">
            <w:pPr>
              <w:jc w:val="center"/>
              <w:rPr>
                <w:rFonts w:ascii="Book Antiqua" w:hAnsi="Book Antiqua"/>
              </w:rPr>
            </w:pPr>
            <w:r w:rsidRPr="0093767D">
              <w:rPr>
                <w:rFonts w:ascii="Book Antiqua" w:hAnsi="Book Antiqua"/>
              </w:rPr>
              <w:t>2018</w:t>
            </w:r>
          </w:p>
        </w:tc>
        <w:tc>
          <w:tcPr>
            <w:tcW w:w="1942" w:type="dxa"/>
            <w:tcBorders>
              <w:top w:val="nil"/>
              <w:left w:val="nil"/>
              <w:bottom w:val="single" w:sz="8" w:space="0" w:color="auto"/>
              <w:right w:val="single" w:sz="8" w:space="0" w:color="auto"/>
            </w:tcBorders>
            <w:tcMar>
              <w:top w:w="0" w:type="dxa"/>
              <w:left w:w="108" w:type="dxa"/>
              <w:bottom w:w="0" w:type="dxa"/>
              <w:right w:w="108" w:type="dxa"/>
            </w:tcMar>
            <w:hideMark/>
          </w:tcPr>
          <w:p w14:paraId="0E9AD2F6" w14:textId="77777777" w:rsidR="0093767D" w:rsidRPr="0093767D" w:rsidRDefault="0093767D">
            <w:pPr>
              <w:jc w:val="center"/>
              <w:rPr>
                <w:rFonts w:ascii="Book Antiqua" w:hAnsi="Book Antiqua"/>
              </w:rPr>
            </w:pPr>
            <w:r w:rsidRPr="0093767D">
              <w:rPr>
                <w:rFonts w:ascii="Book Antiqua" w:hAnsi="Book Antiqua"/>
              </w:rPr>
              <w:t>100,00%</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649BE03C" w14:textId="77777777" w:rsidR="0093767D" w:rsidRPr="0093767D" w:rsidRDefault="0093767D">
            <w:pPr>
              <w:jc w:val="center"/>
              <w:rPr>
                <w:rFonts w:ascii="Book Antiqua" w:hAnsi="Book Antiqua"/>
              </w:rPr>
            </w:pPr>
            <w:r w:rsidRPr="0093767D">
              <w:rPr>
                <w:rFonts w:ascii="Book Antiqua" w:hAnsi="Book Antiqua"/>
              </w:rPr>
              <w:t>76,19%</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AF658D4" w14:textId="77777777" w:rsidR="0093767D" w:rsidRPr="0093767D" w:rsidRDefault="0093767D">
            <w:pPr>
              <w:jc w:val="center"/>
              <w:rPr>
                <w:rFonts w:ascii="Book Antiqua" w:hAnsi="Book Antiqua"/>
              </w:rPr>
            </w:pPr>
            <w:r w:rsidRPr="0093767D">
              <w:rPr>
                <w:rFonts w:ascii="Book Antiqua" w:hAnsi="Book Antiqua"/>
              </w:rPr>
              <w:t>Online</w:t>
            </w:r>
          </w:p>
        </w:tc>
      </w:tr>
      <w:tr w:rsidR="0093767D" w:rsidRPr="0093767D" w14:paraId="41F0D57B" w14:textId="77777777" w:rsidTr="0093767D">
        <w:trPr>
          <w:trHeight w:val="248"/>
        </w:trPr>
        <w:tc>
          <w:tcPr>
            <w:tcW w:w="1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D06A" w14:textId="77777777" w:rsidR="0093767D" w:rsidRPr="0093767D" w:rsidRDefault="0093767D">
            <w:pPr>
              <w:jc w:val="center"/>
              <w:rPr>
                <w:rFonts w:ascii="Book Antiqua" w:hAnsi="Book Antiqua"/>
              </w:rPr>
            </w:pPr>
            <w:r w:rsidRPr="0093767D">
              <w:rPr>
                <w:rFonts w:ascii="Book Antiqua" w:hAnsi="Book Antiqua"/>
              </w:rPr>
              <w:t>2020</w:t>
            </w:r>
          </w:p>
        </w:tc>
        <w:tc>
          <w:tcPr>
            <w:tcW w:w="1942" w:type="dxa"/>
            <w:tcBorders>
              <w:top w:val="nil"/>
              <w:left w:val="nil"/>
              <w:bottom w:val="single" w:sz="8" w:space="0" w:color="auto"/>
              <w:right w:val="single" w:sz="8" w:space="0" w:color="auto"/>
            </w:tcBorders>
            <w:tcMar>
              <w:top w:w="0" w:type="dxa"/>
              <w:left w:w="108" w:type="dxa"/>
              <w:bottom w:w="0" w:type="dxa"/>
              <w:right w:w="108" w:type="dxa"/>
            </w:tcMar>
            <w:hideMark/>
          </w:tcPr>
          <w:p w14:paraId="5CDB739C" w14:textId="77777777" w:rsidR="0093767D" w:rsidRPr="0093767D" w:rsidRDefault="0093767D">
            <w:pPr>
              <w:jc w:val="center"/>
              <w:rPr>
                <w:rFonts w:ascii="Book Antiqua" w:hAnsi="Book Antiqua"/>
              </w:rPr>
            </w:pPr>
            <w:r w:rsidRPr="0093767D">
              <w:rPr>
                <w:rFonts w:ascii="Book Antiqua" w:hAnsi="Book Antiqua"/>
              </w:rPr>
              <w:t>100,00%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9EF004F" w14:textId="77777777" w:rsidR="0093767D" w:rsidRPr="0093767D" w:rsidRDefault="0093767D">
            <w:pPr>
              <w:jc w:val="center"/>
              <w:rPr>
                <w:rFonts w:ascii="Book Antiqua" w:hAnsi="Book Antiqua"/>
              </w:rPr>
            </w:pPr>
            <w:r w:rsidRPr="0093767D">
              <w:rPr>
                <w:rFonts w:ascii="Book Antiqua" w:hAnsi="Book Antiqua"/>
              </w:rPr>
              <w:t>80,96%</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0EBD256" w14:textId="77777777" w:rsidR="0093767D" w:rsidRPr="0093767D" w:rsidRDefault="0093767D">
            <w:pPr>
              <w:jc w:val="center"/>
              <w:rPr>
                <w:rFonts w:ascii="Book Antiqua" w:hAnsi="Book Antiqua"/>
              </w:rPr>
            </w:pPr>
            <w:r w:rsidRPr="0093767D">
              <w:rPr>
                <w:rFonts w:ascii="Book Antiqua" w:hAnsi="Book Antiqua"/>
              </w:rPr>
              <w:t>Online</w:t>
            </w:r>
          </w:p>
        </w:tc>
      </w:tr>
      <w:tr w:rsidR="0093767D" w:rsidRPr="0093767D" w14:paraId="5787EB62" w14:textId="77777777" w:rsidTr="0093767D">
        <w:trPr>
          <w:trHeight w:val="248"/>
        </w:trPr>
        <w:tc>
          <w:tcPr>
            <w:tcW w:w="1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A97EA" w14:textId="77777777" w:rsidR="0093767D" w:rsidRPr="0093767D" w:rsidRDefault="0093767D">
            <w:pPr>
              <w:jc w:val="center"/>
              <w:rPr>
                <w:rFonts w:ascii="Book Antiqua" w:hAnsi="Book Antiqua"/>
              </w:rPr>
            </w:pPr>
            <w:r w:rsidRPr="0093767D">
              <w:rPr>
                <w:rFonts w:ascii="Book Antiqua" w:hAnsi="Book Antiqua"/>
              </w:rPr>
              <w:t>2021</w:t>
            </w:r>
          </w:p>
        </w:tc>
        <w:tc>
          <w:tcPr>
            <w:tcW w:w="1942" w:type="dxa"/>
            <w:tcBorders>
              <w:top w:val="nil"/>
              <w:left w:val="nil"/>
              <w:bottom w:val="single" w:sz="8" w:space="0" w:color="auto"/>
              <w:right w:val="single" w:sz="8" w:space="0" w:color="auto"/>
            </w:tcBorders>
            <w:tcMar>
              <w:top w:w="0" w:type="dxa"/>
              <w:left w:w="108" w:type="dxa"/>
              <w:bottom w:w="0" w:type="dxa"/>
              <w:right w:w="108" w:type="dxa"/>
            </w:tcMar>
            <w:hideMark/>
          </w:tcPr>
          <w:p w14:paraId="15E2C9BF" w14:textId="77777777" w:rsidR="0093767D" w:rsidRPr="0093767D" w:rsidRDefault="0093767D">
            <w:pPr>
              <w:jc w:val="center"/>
              <w:rPr>
                <w:rFonts w:ascii="Book Antiqua" w:hAnsi="Book Antiqua"/>
              </w:rPr>
            </w:pPr>
            <w:r w:rsidRPr="0093767D">
              <w:rPr>
                <w:rFonts w:ascii="Book Antiqua" w:hAnsi="Book Antiqua"/>
              </w:rPr>
              <w:t>100,00%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86260C8" w14:textId="77777777" w:rsidR="0093767D" w:rsidRPr="0093767D" w:rsidRDefault="0093767D">
            <w:pPr>
              <w:jc w:val="center"/>
              <w:rPr>
                <w:rFonts w:ascii="Book Antiqua" w:hAnsi="Book Antiqua"/>
              </w:rPr>
            </w:pPr>
            <w:r w:rsidRPr="0093767D">
              <w:rPr>
                <w:rFonts w:ascii="Book Antiqua" w:hAnsi="Book Antiqua"/>
              </w:rPr>
              <w:t>82,17%</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1279B92" w14:textId="77777777" w:rsidR="0093767D" w:rsidRPr="0093767D" w:rsidRDefault="0093767D">
            <w:pPr>
              <w:jc w:val="center"/>
              <w:rPr>
                <w:rFonts w:ascii="Book Antiqua" w:hAnsi="Book Antiqua"/>
              </w:rPr>
            </w:pPr>
            <w:r w:rsidRPr="0093767D">
              <w:rPr>
                <w:rFonts w:ascii="Book Antiqua" w:hAnsi="Book Antiqua"/>
              </w:rPr>
              <w:t>Online</w:t>
            </w:r>
          </w:p>
        </w:tc>
      </w:tr>
    </w:tbl>
    <w:p w14:paraId="145DE30C" w14:textId="77777777" w:rsidR="0093767D" w:rsidRPr="0093767D" w:rsidRDefault="0093767D" w:rsidP="0093767D">
      <w:pPr>
        <w:rPr>
          <w:rFonts w:ascii="Book Antiqua" w:eastAsiaTheme="minorHAnsi" w:hAnsi="Book Antiqua" w:cs="Calibri"/>
        </w:rPr>
      </w:pPr>
    </w:p>
    <w:p w14:paraId="70DC1208" w14:textId="77777777" w:rsidR="0093767D" w:rsidRPr="0093767D" w:rsidRDefault="0093767D" w:rsidP="0093767D">
      <w:pPr>
        <w:ind w:left="1080"/>
        <w:jc w:val="both"/>
        <w:rPr>
          <w:rFonts w:ascii="Book Antiqua" w:hAnsi="Book Antiqua"/>
        </w:rPr>
      </w:pPr>
      <w:r w:rsidRPr="0093767D">
        <w:rPr>
          <w:rFonts w:ascii="Book Antiqua" w:hAnsi="Book Antiqua"/>
        </w:rPr>
        <w:t xml:space="preserve">En general, se observa tanto en DAI como en TA que la municipalidad ha presentado resultados superiores a la media municipal general (salvo en el caso de DAI 2016 presencial). </w:t>
      </w:r>
      <w:r w:rsidRPr="0093767D">
        <w:rPr>
          <w:rFonts w:ascii="Book Antiqua" w:hAnsi="Book Antiqua"/>
          <w:u w:val="single"/>
        </w:rPr>
        <w:t>Debe hacerse presente, sin embargo, el alcance de tales procesos: las fiscalizaciones -en materia de transparencia activa- verifican que la información esté disponible y actualizada, y que sea publicada conforme a los estándares de publicidad que establecen la IG Nº11 y los oficios requerimientos del CPLT.</w:t>
      </w:r>
    </w:p>
    <w:p w14:paraId="45ACB278" w14:textId="77777777" w:rsidR="0093767D" w:rsidRPr="0093767D" w:rsidRDefault="0093767D" w:rsidP="0093767D">
      <w:pPr>
        <w:rPr>
          <w:rFonts w:ascii="Book Antiqua" w:hAnsi="Book Antiqua"/>
        </w:rPr>
      </w:pPr>
    </w:p>
    <w:p w14:paraId="0D477F49" w14:textId="77777777" w:rsidR="0093767D" w:rsidRPr="0093767D" w:rsidRDefault="0093767D" w:rsidP="0093767D">
      <w:pPr>
        <w:pStyle w:val="Prrafodelista"/>
        <w:numPr>
          <w:ilvl w:val="0"/>
          <w:numId w:val="10"/>
        </w:numPr>
        <w:spacing w:after="0" w:line="240" w:lineRule="auto"/>
        <w:contextualSpacing w:val="0"/>
        <w:jc w:val="both"/>
        <w:rPr>
          <w:rFonts w:ascii="Book Antiqua" w:hAnsi="Book Antiqua"/>
        </w:rPr>
      </w:pPr>
      <w:r w:rsidRPr="0093767D">
        <w:rPr>
          <w:rFonts w:ascii="Book Antiqua" w:hAnsi="Book Antiqua"/>
        </w:rPr>
        <w:t>De manera complementaria, en diciembre de 2022 se efectuó una revisión del sitio TA de Vitacura, que incluyó las transferencias de fondos públicos, con foco en los programas Vita. Se advirtió la siguiente información disponible:</w:t>
      </w:r>
    </w:p>
    <w:p w14:paraId="0AEAD742" w14:textId="77777777" w:rsidR="0093767D" w:rsidRDefault="0093767D" w:rsidP="0093767D">
      <w:pPr>
        <w:pStyle w:val="Prrafodelista"/>
        <w:ind w:left="1080"/>
        <w:rPr>
          <w:rFonts w:ascii="Book Antiqua" w:hAnsi="Book Antiqua"/>
        </w:rPr>
      </w:pPr>
    </w:p>
    <w:p w14:paraId="44B19C98" w14:textId="77777777" w:rsidR="0093767D" w:rsidRDefault="0093767D" w:rsidP="0093767D">
      <w:pPr>
        <w:pStyle w:val="Prrafodelista"/>
        <w:ind w:left="1080"/>
        <w:rPr>
          <w:rFonts w:ascii="Book Antiqua" w:hAnsi="Book Antiqua"/>
        </w:rPr>
      </w:pPr>
    </w:p>
    <w:p w14:paraId="351B8366" w14:textId="77777777" w:rsidR="0093767D" w:rsidRDefault="0093767D" w:rsidP="0093767D">
      <w:pPr>
        <w:pStyle w:val="Prrafodelista"/>
        <w:ind w:left="1080"/>
        <w:rPr>
          <w:rFonts w:ascii="Book Antiqua" w:hAnsi="Book Antiqua"/>
        </w:rPr>
      </w:pPr>
    </w:p>
    <w:p w14:paraId="5D5A7F2D" w14:textId="77777777" w:rsidR="0093767D" w:rsidRPr="0093767D" w:rsidRDefault="0093767D" w:rsidP="0093767D">
      <w:pPr>
        <w:pStyle w:val="Prrafodelista"/>
        <w:ind w:left="1080"/>
        <w:rPr>
          <w:rFonts w:ascii="Book Antiqua" w:hAnsi="Book Antiqua"/>
        </w:rPr>
      </w:pPr>
    </w:p>
    <w:tbl>
      <w:tblPr>
        <w:tblW w:w="1558" w:type="pct"/>
        <w:tblCellMar>
          <w:left w:w="0" w:type="dxa"/>
          <w:right w:w="0" w:type="dxa"/>
        </w:tblCellMar>
        <w:tblLook w:val="04A0" w:firstRow="1" w:lastRow="0" w:firstColumn="1" w:lastColumn="0" w:noHBand="0" w:noVBand="1"/>
      </w:tblPr>
      <w:tblGrid>
        <w:gridCol w:w="1485"/>
        <w:gridCol w:w="1465"/>
        <w:gridCol w:w="1464"/>
        <w:gridCol w:w="1464"/>
        <w:gridCol w:w="1464"/>
        <w:gridCol w:w="1476"/>
      </w:tblGrid>
      <w:tr w:rsidR="0093767D" w:rsidRPr="0093767D" w14:paraId="36A67460" w14:textId="77777777" w:rsidTr="0093767D">
        <w:trPr>
          <w:trHeight w:val="288"/>
        </w:trPr>
        <w:tc>
          <w:tcPr>
            <w:tcW w:w="793" w:type="pct"/>
            <w:tcBorders>
              <w:top w:val="single" w:sz="8" w:space="0" w:color="auto"/>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hideMark/>
          </w:tcPr>
          <w:p w14:paraId="6E50BA3E" w14:textId="77777777" w:rsidR="0093767D" w:rsidRPr="0093767D" w:rsidRDefault="0093767D">
            <w:pPr>
              <w:rPr>
                <w:rFonts w:ascii="Book Antiqua" w:hAnsi="Book Antiqua"/>
                <w:b/>
                <w:bCs/>
                <w:color w:val="FFFFFF"/>
                <w:lang w:eastAsia="es-CL"/>
              </w:rPr>
            </w:pPr>
            <w:r w:rsidRPr="0093767D">
              <w:rPr>
                <w:rFonts w:ascii="Book Antiqua" w:hAnsi="Book Antiqua"/>
                <w:b/>
                <w:bCs/>
                <w:color w:val="FFFFFF"/>
              </w:rPr>
              <w:lastRenderedPageBreak/>
              <w:t>Entidad</w:t>
            </w:r>
          </w:p>
        </w:tc>
        <w:tc>
          <w:tcPr>
            <w:tcW w:w="1017" w:type="pct"/>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hideMark/>
          </w:tcPr>
          <w:p w14:paraId="2A05D05D" w14:textId="77777777" w:rsidR="0093767D" w:rsidRPr="0093767D" w:rsidRDefault="0093767D">
            <w:pPr>
              <w:jc w:val="center"/>
              <w:rPr>
                <w:rFonts w:ascii="Book Antiqua" w:hAnsi="Book Antiqua"/>
                <w:b/>
                <w:bCs/>
                <w:color w:val="FFFFFF"/>
              </w:rPr>
            </w:pPr>
            <w:r w:rsidRPr="0093767D">
              <w:rPr>
                <w:rFonts w:ascii="Book Antiqua" w:hAnsi="Book Antiqua"/>
                <w:b/>
                <w:bCs/>
                <w:color w:val="FFFFFF"/>
              </w:rPr>
              <w:t>2018</w:t>
            </w:r>
          </w:p>
        </w:tc>
        <w:tc>
          <w:tcPr>
            <w:tcW w:w="687" w:type="pct"/>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hideMark/>
          </w:tcPr>
          <w:p w14:paraId="3C1752BB" w14:textId="77777777" w:rsidR="0093767D" w:rsidRPr="0093767D" w:rsidRDefault="0093767D">
            <w:pPr>
              <w:jc w:val="center"/>
              <w:rPr>
                <w:rFonts w:ascii="Book Antiqua" w:hAnsi="Book Antiqua"/>
                <w:b/>
                <w:bCs/>
                <w:color w:val="FFFFFF"/>
              </w:rPr>
            </w:pPr>
            <w:r w:rsidRPr="0093767D">
              <w:rPr>
                <w:rFonts w:ascii="Book Antiqua" w:hAnsi="Book Antiqua"/>
                <w:b/>
                <w:bCs/>
                <w:color w:val="FFFFFF"/>
              </w:rPr>
              <w:t>2019</w:t>
            </w:r>
          </w:p>
        </w:tc>
        <w:tc>
          <w:tcPr>
            <w:tcW w:w="911" w:type="pct"/>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hideMark/>
          </w:tcPr>
          <w:p w14:paraId="65CDACB1" w14:textId="77777777" w:rsidR="0093767D" w:rsidRPr="0093767D" w:rsidRDefault="0093767D">
            <w:pPr>
              <w:jc w:val="center"/>
              <w:rPr>
                <w:rFonts w:ascii="Book Antiqua" w:hAnsi="Book Antiqua"/>
                <w:b/>
                <w:bCs/>
                <w:color w:val="FFFFFF"/>
              </w:rPr>
            </w:pPr>
            <w:r w:rsidRPr="0093767D">
              <w:rPr>
                <w:rFonts w:ascii="Book Antiqua" w:hAnsi="Book Antiqua"/>
                <w:b/>
                <w:bCs/>
                <w:color w:val="FFFFFF"/>
              </w:rPr>
              <w:t>2020</w:t>
            </w:r>
          </w:p>
        </w:tc>
        <w:tc>
          <w:tcPr>
            <w:tcW w:w="796" w:type="pct"/>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hideMark/>
          </w:tcPr>
          <w:p w14:paraId="1E66FD8F" w14:textId="77777777" w:rsidR="0093767D" w:rsidRPr="0093767D" w:rsidRDefault="0093767D">
            <w:pPr>
              <w:jc w:val="center"/>
              <w:rPr>
                <w:rFonts w:ascii="Book Antiqua" w:hAnsi="Book Antiqua"/>
                <w:b/>
                <w:bCs/>
                <w:color w:val="FFFFFF"/>
              </w:rPr>
            </w:pPr>
            <w:r w:rsidRPr="0093767D">
              <w:rPr>
                <w:rFonts w:ascii="Book Antiqua" w:hAnsi="Book Antiqua"/>
                <w:b/>
                <w:bCs/>
                <w:color w:val="FFFFFF"/>
              </w:rPr>
              <w:t>2021</w:t>
            </w:r>
          </w:p>
        </w:tc>
        <w:tc>
          <w:tcPr>
            <w:tcW w:w="797" w:type="pct"/>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hideMark/>
          </w:tcPr>
          <w:p w14:paraId="701A2911" w14:textId="77777777" w:rsidR="0093767D" w:rsidRPr="0093767D" w:rsidRDefault="0093767D">
            <w:pPr>
              <w:jc w:val="center"/>
              <w:rPr>
                <w:rFonts w:ascii="Book Antiqua" w:hAnsi="Book Antiqua"/>
                <w:b/>
                <w:bCs/>
                <w:color w:val="FFFFFF"/>
              </w:rPr>
            </w:pPr>
            <w:r w:rsidRPr="0093767D">
              <w:rPr>
                <w:rFonts w:ascii="Book Antiqua" w:hAnsi="Book Antiqua"/>
                <w:b/>
                <w:bCs/>
                <w:color w:val="FFFFFF"/>
              </w:rPr>
              <w:t>Total General</w:t>
            </w:r>
          </w:p>
        </w:tc>
      </w:tr>
      <w:tr w:rsidR="0093767D" w:rsidRPr="0093767D" w14:paraId="219C2E72" w14:textId="77777777" w:rsidTr="0093767D">
        <w:trPr>
          <w:trHeight w:val="288"/>
        </w:trPr>
        <w:tc>
          <w:tcPr>
            <w:tcW w:w="79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CB62D0" w14:textId="77777777" w:rsidR="0093767D" w:rsidRPr="0093767D" w:rsidRDefault="0093767D">
            <w:pPr>
              <w:jc w:val="center"/>
              <w:rPr>
                <w:rFonts w:ascii="Book Antiqua" w:hAnsi="Book Antiqua"/>
                <w:color w:val="000000"/>
              </w:rPr>
            </w:pPr>
            <w:r w:rsidRPr="0093767D">
              <w:rPr>
                <w:rFonts w:ascii="Book Antiqua" w:hAnsi="Book Antiqua"/>
                <w:color w:val="000000"/>
              </w:rPr>
              <w:t>Vitadeportes</w:t>
            </w:r>
          </w:p>
        </w:tc>
        <w:tc>
          <w:tcPr>
            <w:tcW w:w="10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9A9A88" w14:textId="77777777" w:rsidR="0093767D" w:rsidRPr="0093767D" w:rsidRDefault="0093767D">
            <w:pPr>
              <w:rPr>
                <w:rFonts w:ascii="Book Antiqua" w:hAnsi="Book Antiqua"/>
                <w:color w:val="000000"/>
              </w:rPr>
            </w:pPr>
            <w:r w:rsidRPr="0093767D">
              <w:rPr>
                <w:rFonts w:ascii="Book Antiqua" w:hAnsi="Book Antiqua"/>
                <w:color w:val="000000"/>
              </w:rPr>
              <w:t>-</w:t>
            </w:r>
          </w:p>
        </w:tc>
        <w:tc>
          <w:tcPr>
            <w:tcW w:w="68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272C7F" w14:textId="77777777" w:rsidR="0093767D" w:rsidRPr="0093767D" w:rsidRDefault="0093767D">
            <w:pPr>
              <w:rPr>
                <w:rFonts w:ascii="Book Antiqua" w:hAnsi="Book Antiqua"/>
              </w:rPr>
            </w:pPr>
            <w:r w:rsidRPr="0093767D">
              <w:rPr>
                <w:rFonts w:ascii="Book Antiqua" w:hAnsi="Book Antiqua"/>
              </w:rPr>
              <w:t>-</w:t>
            </w:r>
          </w:p>
        </w:tc>
        <w:tc>
          <w:tcPr>
            <w:tcW w:w="91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E2DCDA" w14:textId="77777777" w:rsidR="0093767D" w:rsidRPr="0093767D" w:rsidRDefault="0093767D">
            <w:pPr>
              <w:jc w:val="center"/>
              <w:rPr>
                <w:rFonts w:ascii="Book Antiqua" w:hAnsi="Book Antiqua"/>
                <w:color w:val="000000"/>
              </w:rPr>
            </w:pPr>
            <w:r w:rsidRPr="0093767D">
              <w:rPr>
                <w:rFonts w:ascii="Book Antiqua" w:hAnsi="Book Antiqua"/>
                <w:color w:val="000000"/>
              </w:rPr>
              <w:t>$383.000.000</w:t>
            </w:r>
          </w:p>
        </w:tc>
        <w:tc>
          <w:tcPr>
            <w:tcW w:w="79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3F736F" w14:textId="77777777" w:rsidR="0093767D" w:rsidRPr="0093767D" w:rsidRDefault="0093767D">
            <w:pPr>
              <w:jc w:val="center"/>
              <w:rPr>
                <w:rFonts w:ascii="Book Antiqua" w:hAnsi="Book Antiqua"/>
                <w:color w:val="000000"/>
              </w:rPr>
            </w:pPr>
            <w:r w:rsidRPr="0093767D">
              <w:rPr>
                <w:rFonts w:ascii="Book Antiqua" w:hAnsi="Book Antiqua"/>
                <w:color w:val="000000"/>
              </w:rPr>
              <w:t>$236.000.000</w:t>
            </w:r>
          </w:p>
        </w:tc>
        <w:tc>
          <w:tcPr>
            <w:tcW w:w="79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3C33CD" w14:textId="77777777" w:rsidR="0093767D" w:rsidRPr="0093767D" w:rsidRDefault="0093767D">
            <w:pPr>
              <w:jc w:val="center"/>
              <w:rPr>
                <w:rFonts w:ascii="Book Antiqua" w:hAnsi="Book Antiqua"/>
                <w:color w:val="000000"/>
              </w:rPr>
            </w:pPr>
            <w:r w:rsidRPr="0093767D">
              <w:rPr>
                <w:rFonts w:ascii="Book Antiqua" w:hAnsi="Book Antiqua"/>
                <w:color w:val="000000"/>
              </w:rPr>
              <w:t>$619.000.000</w:t>
            </w:r>
          </w:p>
        </w:tc>
      </w:tr>
      <w:tr w:rsidR="0093767D" w:rsidRPr="0093767D" w14:paraId="69E738E6" w14:textId="77777777" w:rsidTr="0093767D">
        <w:trPr>
          <w:trHeight w:val="288"/>
        </w:trPr>
        <w:tc>
          <w:tcPr>
            <w:tcW w:w="79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AE7F56" w14:textId="77777777" w:rsidR="0093767D" w:rsidRPr="0093767D" w:rsidRDefault="0093767D">
            <w:pPr>
              <w:jc w:val="center"/>
              <w:rPr>
                <w:rFonts w:ascii="Book Antiqua" w:hAnsi="Book Antiqua"/>
                <w:color w:val="000000"/>
              </w:rPr>
            </w:pPr>
            <w:r w:rsidRPr="0093767D">
              <w:rPr>
                <w:rFonts w:ascii="Book Antiqua" w:hAnsi="Book Antiqua"/>
                <w:color w:val="000000"/>
              </w:rPr>
              <w:t>Vitaemprende</w:t>
            </w:r>
          </w:p>
        </w:tc>
        <w:tc>
          <w:tcPr>
            <w:tcW w:w="10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5801B9" w14:textId="77777777" w:rsidR="0093767D" w:rsidRPr="0093767D" w:rsidRDefault="0093767D">
            <w:pPr>
              <w:jc w:val="center"/>
              <w:rPr>
                <w:rFonts w:ascii="Book Antiqua" w:hAnsi="Book Antiqua"/>
                <w:color w:val="000000"/>
              </w:rPr>
            </w:pPr>
            <w:r w:rsidRPr="0093767D">
              <w:rPr>
                <w:rFonts w:ascii="Book Antiqua" w:hAnsi="Book Antiqua"/>
                <w:color w:val="000000"/>
              </w:rPr>
              <w:t>$244.000.000</w:t>
            </w:r>
          </w:p>
        </w:tc>
        <w:tc>
          <w:tcPr>
            <w:tcW w:w="68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46FD3C" w14:textId="77777777" w:rsidR="0093767D" w:rsidRPr="0093767D" w:rsidRDefault="0093767D">
            <w:pPr>
              <w:jc w:val="center"/>
              <w:rPr>
                <w:rFonts w:ascii="Book Antiqua" w:hAnsi="Book Antiqua"/>
                <w:color w:val="000000"/>
              </w:rPr>
            </w:pPr>
            <w:r w:rsidRPr="0093767D">
              <w:rPr>
                <w:rFonts w:ascii="Book Antiqua" w:hAnsi="Book Antiqua"/>
                <w:color w:val="000000"/>
              </w:rPr>
              <w:t>$265.000.000</w:t>
            </w:r>
          </w:p>
        </w:tc>
        <w:tc>
          <w:tcPr>
            <w:tcW w:w="91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6DB746" w14:textId="77777777" w:rsidR="0093767D" w:rsidRPr="0093767D" w:rsidRDefault="0093767D">
            <w:pPr>
              <w:jc w:val="center"/>
              <w:rPr>
                <w:rFonts w:ascii="Book Antiqua" w:hAnsi="Book Antiqua"/>
                <w:color w:val="000000"/>
              </w:rPr>
            </w:pPr>
            <w:r w:rsidRPr="0093767D">
              <w:rPr>
                <w:rFonts w:ascii="Book Antiqua" w:hAnsi="Book Antiqua"/>
                <w:color w:val="000000"/>
              </w:rPr>
              <w:t>$310.900.000</w:t>
            </w:r>
          </w:p>
        </w:tc>
        <w:tc>
          <w:tcPr>
            <w:tcW w:w="79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1CAF0D" w14:textId="77777777" w:rsidR="0093767D" w:rsidRPr="0093767D" w:rsidRDefault="0093767D">
            <w:pPr>
              <w:jc w:val="center"/>
              <w:rPr>
                <w:rFonts w:ascii="Book Antiqua" w:hAnsi="Book Antiqua"/>
                <w:color w:val="000000"/>
              </w:rPr>
            </w:pPr>
            <w:r w:rsidRPr="0093767D">
              <w:rPr>
                <w:rFonts w:ascii="Book Antiqua" w:hAnsi="Book Antiqua"/>
                <w:color w:val="000000"/>
              </w:rPr>
              <w:t>$350.000.000</w:t>
            </w:r>
          </w:p>
        </w:tc>
        <w:tc>
          <w:tcPr>
            <w:tcW w:w="79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746F87" w14:textId="77777777" w:rsidR="0093767D" w:rsidRPr="0093767D" w:rsidRDefault="0093767D">
            <w:pPr>
              <w:jc w:val="center"/>
              <w:rPr>
                <w:rFonts w:ascii="Book Antiqua" w:hAnsi="Book Antiqua"/>
                <w:color w:val="000000"/>
              </w:rPr>
            </w:pPr>
            <w:r w:rsidRPr="0093767D">
              <w:rPr>
                <w:rFonts w:ascii="Book Antiqua" w:hAnsi="Book Antiqua"/>
                <w:color w:val="000000"/>
              </w:rPr>
              <w:t>$1.169.900.000</w:t>
            </w:r>
          </w:p>
        </w:tc>
      </w:tr>
      <w:tr w:rsidR="0093767D" w:rsidRPr="0093767D" w14:paraId="3E95EA29" w14:textId="77777777" w:rsidTr="0093767D">
        <w:trPr>
          <w:trHeight w:val="288"/>
        </w:trPr>
        <w:tc>
          <w:tcPr>
            <w:tcW w:w="79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7ECBDC" w14:textId="77777777" w:rsidR="0093767D" w:rsidRPr="0093767D" w:rsidRDefault="0093767D">
            <w:pPr>
              <w:jc w:val="center"/>
              <w:rPr>
                <w:rFonts w:ascii="Book Antiqua" w:hAnsi="Book Antiqua"/>
                <w:color w:val="000000"/>
              </w:rPr>
            </w:pPr>
            <w:r w:rsidRPr="0093767D">
              <w:rPr>
                <w:rFonts w:ascii="Book Antiqua" w:hAnsi="Book Antiqua"/>
                <w:color w:val="000000"/>
              </w:rPr>
              <w:t>Vitajoven</w:t>
            </w:r>
          </w:p>
        </w:tc>
        <w:tc>
          <w:tcPr>
            <w:tcW w:w="10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5F9DE0" w14:textId="77777777" w:rsidR="0093767D" w:rsidRPr="0093767D" w:rsidRDefault="0093767D">
            <w:pPr>
              <w:jc w:val="center"/>
              <w:rPr>
                <w:rFonts w:ascii="Book Antiqua" w:hAnsi="Book Antiqua"/>
                <w:color w:val="000000"/>
              </w:rPr>
            </w:pPr>
            <w:r w:rsidRPr="0093767D">
              <w:rPr>
                <w:rFonts w:ascii="Book Antiqua" w:hAnsi="Book Antiqua"/>
                <w:color w:val="000000"/>
              </w:rPr>
              <w:t>$160.000.000</w:t>
            </w:r>
          </w:p>
        </w:tc>
        <w:tc>
          <w:tcPr>
            <w:tcW w:w="68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3863E1" w14:textId="77777777" w:rsidR="0093767D" w:rsidRPr="0093767D" w:rsidRDefault="0093767D">
            <w:pPr>
              <w:jc w:val="center"/>
              <w:rPr>
                <w:rFonts w:ascii="Book Antiqua" w:hAnsi="Book Antiqua"/>
                <w:color w:val="000000"/>
              </w:rPr>
            </w:pPr>
            <w:r w:rsidRPr="0093767D">
              <w:rPr>
                <w:rFonts w:ascii="Book Antiqua" w:hAnsi="Book Antiqua"/>
                <w:color w:val="000000"/>
              </w:rPr>
              <w:t>$200.540.000</w:t>
            </w:r>
          </w:p>
        </w:tc>
        <w:tc>
          <w:tcPr>
            <w:tcW w:w="91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5C8FD9" w14:textId="77777777" w:rsidR="0093767D" w:rsidRPr="0093767D" w:rsidRDefault="0093767D">
            <w:pPr>
              <w:rPr>
                <w:rFonts w:ascii="Book Antiqua" w:hAnsi="Book Antiqua"/>
                <w:color w:val="000000"/>
              </w:rPr>
            </w:pPr>
            <w:r w:rsidRPr="0093767D">
              <w:rPr>
                <w:rFonts w:ascii="Book Antiqua" w:hAnsi="Book Antiqua"/>
                <w:color w:val="000000"/>
              </w:rPr>
              <w:t>-</w:t>
            </w:r>
          </w:p>
        </w:tc>
        <w:tc>
          <w:tcPr>
            <w:tcW w:w="79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073AE6" w14:textId="77777777" w:rsidR="0093767D" w:rsidRPr="0093767D" w:rsidRDefault="0093767D">
            <w:pPr>
              <w:rPr>
                <w:rFonts w:ascii="Book Antiqua" w:hAnsi="Book Antiqua"/>
              </w:rPr>
            </w:pPr>
            <w:r w:rsidRPr="0093767D">
              <w:rPr>
                <w:rFonts w:ascii="Book Antiqua" w:hAnsi="Book Antiqua"/>
              </w:rPr>
              <w:t>-</w:t>
            </w:r>
          </w:p>
        </w:tc>
        <w:tc>
          <w:tcPr>
            <w:tcW w:w="79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6B2C79" w14:textId="77777777" w:rsidR="0093767D" w:rsidRPr="0093767D" w:rsidRDefault="0093767D">
            <w:pPr>
              <w:jc w:val="center"/>
              <w:rPr>
                <w:rFonts w:ascii="Book Antiqua" w:hAnsi="Book Antiqua"/>
                <w:color w:val="000000"/>
              </w:rPr>
            </w:pPr>
            <w:r w:rsidRPr="0093767D">
              <w:rPr>
                <w:rFonts w:ascii="Book Antiqua" w:hAnsi="Book Antiqua"/>
                <w:color w:val="000000"/>
              </w:rPr>
              <w:t>$360.540.000</w:t>
            </w:r>
          </w:p>
        </w:tc>
      </w:tr>
      <w:tr w:rsidR="0093767D" w:rsidRPr="0093767D" w14:paraId="78908522" w14:textId="77777777" w:rsidTr="0093767D">
        <w:trPr>
          <w:trHeight w:val="288"/>
        </w:trPr>
        <w:tc>
          <w:tcPr>
            <w:tcW w:w="79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44F652" w14:textId="77777777" w:rsidR="0093767D" w:rsidRPr="0093767D" w:rsidRDefault="0093767D">
            <w:pPr>
              <w:jc w:val="center"/>
              <w:rPr>
                <w:rFonts w:ascii="Book Antiqua" w:hAnsi="Book Antiqua"/>
                <w:color w:val="000000"/>
              </w:rPr>
            </w:pPr>
            <w:r w:rsidRPr="0093767D">
              <w:rPr>
                <w:rFonts w:ascii="Book Antiqua" w:hAnsi="Book Antiqua"/>
                <w:color w:val="000000"/>
              </w:rPr>
              <w:t>Vitapass</w:t>
            </w:r>
          </w:p>
        </w:tc>
        <w:tc>
          <w:tcPr>
            <w:tcW w:w="10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AA6FF2" w14:textId="77777777" w:rsidR="0093767D" w:rsidRPr="0093767D" w:rsidRDefault="0093767D">
            <w:pPr>
              <w:jc w:val="center"/>
              <w:rPr>
                <w:rFonts w:ascii="Book Antiqua" w:hAnsi="Book Antiqua"/>
                <w:color w:val="000000"/>
              </w:rPr>
            </w:pPr>
            <w:r w:rsidRPr="0093767D">
              <w:rPr>
                <w:rFonts w:ascii="Book Antiqua" w:hAnsi="Book Antiqua"/>
                <w:color w:val="000000"/>
              </w:rPr>
              <w:t>$203.000.000</w:t>
            </w:r>
          </w:p>
        </w:tc>
        <w:tc>
          <w:tcPr>
            <w:tcW w:w="68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956DAF" w14:textId="77777777" w:rsidR="0093767D" w:rsidRPr="0093767D" w:rsidRDefault="0093767D">
            <w:pPr>
              <w:jc w:val="center"/>
              <w:rPr>
                <w:rFonts w:ascii="Book Antiqua" w:hAnsi="Book Antiqua"/>
                <w:color w:val="000000"/>
              </w:rPr>
            </w:pPr>
            <w:r w:rsidRPr="0093767D">
              <w:rPr>
                <w:rFonts w:ascii="Book Antiqua" w:hAnsi="Book Antiqua"/>
                <w:color w:val="000000"/>
              </w:rPr>
              <w:t>$229.950.000</w:t>
            </w:r>
          </w:p>
        </w:tc>
        <w:tc>
          <w:tcPr>
            <w:tcW w:w="91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9D9316" w14:textId="77777777" w:rsidR="0093767D" w:rsidRPr="0093767D" w:rsidRDefault="0093767D">
            <w:pPr>
              <w:jc w:val="center"/>
              <w:rPr>
                <w:rFonts w:ascii="Book Antiqua" w:hAnsi="Book Antiqua"/>
                <w:color w:val="000000"/>
              </w:rPr>
            </w:pPr>
            <w:r w:rsidRPr="0093767D">
              <w:rPr>
                <w:rFonts w:ascii="Book Antiqua" w:hAnsi="Book Antiqua"/>
                <w:color w:val="000000"/>
              </w:rPr>
              <w:t>$331.000.000</w:t>
            </w:r>
          </w:p>
        </w:tc>
        <w:tc>
          <w:tcPr>
            <w:tcW w:w="79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209BE5" w14:textId="77777777" w:rsidR="0093767D" w:rsidRPr="0093767D" w:rsidRDefault="0093767D">
            <w:pPr>
              <w:jc w:val="center"/>
              <w:rPr>
                <w:rFonts w:ascii="Book Antiqua" w:hAnsi="Book Antiqua"/>
                <w:color w:val="000000"/>
              </w:rPr>
            </w:pPr>
            <w:r w:rsidRPr="0093767D">
              <w:rPr>
                <w:rFonts w:ascii="Book Antiqua" w:hAnsi="Book Antiqua"/>
                <w:color w:val="000000"/>
              </w:rPr>
              <w:t>$308.000.000</w:t>
            </w:r>
          </w:p>
        </w:tc>
        <w:tc>
          <w:tcPr>
            <w:tcW w:w="79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095F0E" w14:textId="77777777" w:rsidR="0093767D" w:rsidRPr="0093767D" w:rsidRDefault="0093767D">
            <w:pPr>
              <w:jc w:val="center"/>
              <w:rPr>
                <w:rFonts w:ascii="Book Antiqua" w:hAnsi="Book Antiqua"/>
                <w:color w:val="000000"/>
              </w:rPr>
            </w:pPr>
            <w:r w:rsidRPr="0093767D">
              <w:rPr>
                <w:rFonts w:ascii="Book Antiqua" w:hAnsi="Book Antiqua"/>
                <w:color w:val="000000"/>
              </w:rPr>
              <w:t>$1.071.950.000</w:t>
            </w:r>
          </w:p>
        </w:tc>
      </w:tr>
      <w:tr w:rsidR="0093767D" w:rsidRPr="0093767D" w14:paraId="01ABDF75" w14:textId="77777777" w:rsidTr="0093767D">
        <w:trPr>
          <w:trHeight w:val="288"/>
        </w:trPr>
        <w:tc>
          <w:tcPr>
            <w:tcW w:w="79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505CAA" w14:textId="77777777" w:rsidR="0093767D" w:rsidRPr="0093767D" w:rsidRDefault="0093767D">
            <w:pPr>
              <w:jc w:val="center"/>
              <w:rPr>
                <w:rFonts w:ascii="Book Antiqua" w:hAnsi="Book Antiqua"/>
                <w:color w:val="000000"/>
              </w:rPr>
            </w:pPr>
            <w:r w:rsidRPr="0093767D">
              <w:rPr>
                <w:rFonts w:ascii="Book Antiqua" w:hAnsi="Book Antiqua"/>
                <w:color w:val="000000"/>
              </w:rPr>
              <w:t>Vitasalud</w:t>
            </w:r>
          </w:p>
        </w:tc>
        <w:tc>
          <w:tcPr>
            <w:tcW w:w="10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FFD494" w14:textId="77777777" w:rsidR="0093767D" w:rsidRPr="0093767D" w:rsidRDefault="0093767D">
            <w:pPr>
              <w:jc w:val="center"/>
              <w:rPr>
                <w:rFonts w:ascii="Book Antiqua" w:hAnsi="Book Antiqua"/>
                <w:color w:val="000000"/>
              </w:rPr>
            </w:pPr>
            <w:r w:rsidRPr="0093767D">
              <w:rPr>
                <w:rFonts w:ascii="Book Antiqua" w:hAnsi="Book Antiqua"/>
                <w:color w:val="000000"/>
              </w:rPr>
              <w:t>$796.220.000</w:t>
            </w:r>
          </w:p>
        </w:tc>
        <w:tc>
          <w:tcPr>
            <w:tcW w:w="68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8AFE0B" w14:textId="77777777" w:rsidR="0093767D" w:rsidRPr="0093767D" w:rsidRDefault="0093767D">
            <w:pPr>
              <w:jc w:val="center"/>
              <w:rPr>
                <w:rFonts w:ascii="Book Antiqua" w:hAnsi="Book Antiqua"/>
                <w:color w:val="000000"/>
              </w:rPr>
            </w:pPr>
            <w:r w:rsidRPr="0093767D">
              <w:rPr>
                <w:rFonts w:ascii="Book Antiqua" w:hAnsi="Book Antiqua"/>
                <w:color w:val="000000"/>
              </w:rPr>
              <w:t>$1.254.980.000</w:t>
            </w:r>
          </w:p>
        </w:tc>
        <w:tc>
          <w:tcPr>
            <w:tcW w:w="91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40C263" w14:textId="77777777" w:rsidR="0093767D" w:rsidRPr="0093767D" w:rsidRDefault="0093767D">
            <w:pPr>
              <w:jc w:val="center"/>
              <w:rPr>
                <w:rFonts w:ascii="Book Antiqua" w:hAnsi="Book Antiqua"/>
                <w:color w:val="000000"/>
              </w:rPr>
            </w:pPr>
            <w:r w:rsidRPr="0093767D">
              <w:rPr>
                <w:rFonts w:ascii="Book Antiqua" w:hAnsi="Book Antiqua"/>
                <w:color w:val="000000"/>
              </w:rPr>
              <w:t>$1.773.693.733</w:t>
            </w:r>
          </w:p>
        </w:tc>
        <w:tc>
          <w:tcPr>
            <w:tcW w:w="79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6E3A5D" w14:textId="77777777" w:rsidR="0093767D" w:rsidRPr="0093767D" w:rsidRDefault="0093767D">
            <w:pPr>
              <w:jc w:val="center"/>
              <w:rPr>
                <w:rFonts w:ascii="Book Antiqua" w:hAnsi="Book Antiqua"/>
                <w:color w:val="000000"/>
              </w:rPr>
            </w:pPr>
            <w:r w:rsidRPr="0093767D">
              <w:rPr>
                <w:rFonts w:ascii="Book Antiqua" w:hAnsi="Book Antiqua"/>
                <w:color w:val="000000"/>
              </w:rPr>
              <w:t>$1.700.000.000</w:t>
            </w:r>
          </w:p>
        </w:tc>
        <w:tc>
          <w:tcPr>
            <w:tcW w:w="79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C1D8EE" w14:textId="77777777" w:rsidR="0093767D" w:rsidRPr="0093767D" w:rsidRDefault="0093767D">
            <w:pPr>
              <w:jc w:val="center"/>
              <w:rPr>
                <w:rFonts w:ascii="Book Antiqua" w:hAnsi="Book Antiqua"/>
                <w:color w:val="000000"/>
              </w:rPr>
            </w:pPr>
            <w:r w:rsidRPr="0093767D">
              <w:rPr>
                <w:rFonts w:ascii="Book Antiqua" w:hAnsi="Book Antiqua"/>
                <w:color w:val="000000"/>
              </w:rPr>
              <w:t>$5.524.893.733</w:t>
            </w:r>
          </w:p>
        </w:tc>
      </w:tr>
      <w:tr w:rsidR="0093767D" w:rsidRPr="0093767D" w14:paraId="1BB6D99D" w14:textId="77777777" w:rsidTr="0093767D">
        <w:trPr>
          <w:trHeight w:val="288"/>
        </w:trPr>
        <w:tc>
          <w:tcPr>
            <w:tcW w:w="79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A83970" w14:textId="77777777" w:rsidR="0093767D" w:rsidRPr="0093767D" w:rsidRDefault="0093767D">
            <w:pPr>
              <w:jc w:val="center"/>
              <w:rPr>
                <w:rFonts w:ascii="Book Antiqua" w:hAnsi="Book Antiqua"/>
                <w:b/>
                <w:bCs/>
                <w:color w:val="000000"/>
              </w:rPr>
            </w:pPr>
            <w:r w:rsidRPr="0093767D">
              <w:rPr>
                <w:rFonts w:ascii="Book Antiqua" w:hAnsi="Book Antiqua"/>
                <w:b/>
                <w:bCs/>
                <w:color w:val="000000"/>
              </w:rPr>
              <w:t>Total General</w:t>
            </w:r>
          </w:p>
        </w:tc>
        <w:tc>
          <w:tcPr>
            <w:tcW w:w="10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B03E6F" w14:textId="77777777" w:rsidR="0093767D" w:rsidRPr="0093767D" w:rsidRDefault="0093767D">
            <w:pPr>
              <w:jc w:val="center"/>
              <w:rPr>
                <w:rFonts w:ascii="Book Antiqua" w:hAnsi="Book Antiqua"/>
                <w:b/>
                <w:bCs/>
                <w:color w:val="000000"/>
              </w:rPr>
            </w:pPr>
            <w:r w:rsidRPr="0093767D">
              <w:rPr>
                <w:rFonts w:ascii="Book Antiqua" w:hAnsi="Book Antiqua"/>
                <w:b/>
                <w:bCs/>
                <w:color w:val="000000"/>
              </w:rPr>
              <w:t>$1.403.220.000</w:t>
            </w:r>
          </w:p>
        </w:tc>
        <w:tc>
          <w:tcPr>
            <w:tcW w:w="68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57CA0A" w14:textId="77777777" w:rsidR="0093767D" w:rsidRPr="0093767D" w:rsidRDefault="0093767D">
            <w:pPr>
              <w:jc w:val="center"/>
              <w:rPr>
                <w:rFonts w:ascii="Book Antiqua" w:hAnsi="Book Antiqua"/>
                <w:b/>
                <w:bCs/>
                <w:color w:val="000000"/>
              </w:rPr>
            </w:pPr>
            <w:r w:rsidRPr="0093767D">
              <w:rPr>
                <w:rFonts w:ascii="Book Antiqua" w:hAnsi="Book Antiqua"/>
                <w:b/>
                <w:bCs/>
                <w:color w:val="000000"/>
              </w:rPr>
              <w:t>$1.950.470.000</w:t>
            </w:r>
          </w:p>
        </w:tc>
        <w:tc>
          <w:tcPr>
            <w:tcW w:w="91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EED7CC" w14:textId="77777777" w:rsidR="0093767D" w:rsidRPr="0093767D" w:rsidRDefault="0093767D">
            <w:pPr>
              <w:jc w:val="center"/>
              <w:rPr>
                <w:rFonts w:ascii="Book Antiqua" w:hAnsi="Book Antiqua"/>
                <w:b/>
                <w:bCs/>
                <w:color w:val="000000"/>
              </w:rPr>
            </w:pPr>
            <w:r w:rsidRPr="0093767D">
              <w:rPr>
                <w:rFonts w:ascii="Book Antiqua" w:hAnsi="Book Antiqua"/>
                <w:b/>
                <w:bCs/>
                <w:color w:val="000000"/>
              </w:rPr>
              <w:t>$2.798.593.733</w:t>
            </w:r>
          </w:p>
        </w:tc>
        <w:tc>
          <w:tcPr>
            <w:tcW w:w="79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D971BF" w14:textId="77777777" w:rsidR="0093767D" w:rsidRPr="0093767D" w:rsidRDefault="0093767D">
            <w:pPr>
              <w:jc w:val="center"/>
              <w:rPr>
                <w:rFonts w:ascii="Book Antiqua" w:hAnsi="Book Antiqua"/>
                <w:b/>
                <w:bCs/>
                <w:color w:val="000000"/>
              </w:rPr>
            </w:pPr>
            <w:r w:rsidRPr="0093767D">
              <w:rPr>
                <w:rFonts w:ascii="Book Antiqua" w:hAnsi="Book Antiqua"/>
                <w:b/>
                <w:bCs/>
                <w:color w:val="000000"/>
              </w:rPr>
              <w:t>$2.594.000.000</w:t>
            </w:r>
          </w:p>
        </w:tc>
        <w:tc>
          <w:tcPr>
            <w:tcW w:w="79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ED6E8C" w14:textId="77777777" w:rsidR="0093767D" w:rsidRPr="0093767D" w:rsidRDefault="0093767D">
            <w:pPr>
              <w:jc w:val="center"/>
              <w:rPr>
                <w:rFonts w:ascii="Book Antiqua" w:hAnsi="Book Antiqua"/>
                <w:b/>
                <w:bCs/>
                <w:color w:val="000000"/>
              </w:rPr>
            </w:pPr>
            <w:r w:rsidRPr="0093767D">
              <w:rPr>
                <w:rFonts w:ascii="Book Antiqua" w:hAnsi="Book Antiqua"/>
                <w:b/>
                <w:bCs/>
                <w:color w:val="000000"/>
              </w:rPr>
              <w:t>$8.746.283.733</w:t>
            </w:r>
          </w:p>
        </w:tc>
      </w:tr>
    </w:tbl>
    <w:p w14:paraId="50C70CF6" w14:textId="77777777" w:rsidR="0093767D" w:rsidRPr="0093767D" w:rsidRDefault="0093767D" w:rsidP="0093767D">
      <w:pPr>
        <w:rPr>
          <w:rFonts w:ascii="Book Antiqua" w:eastAsiaTheme="minorHAnsi" w:hAnsi="Book Antiqua" w:cs="Calibri"/>
          <w:b/>
          <w:bCs/>
        </w:rPr>
      </w:pPr>
    </w:p>
    <w:p w14:paraId="7F492AA8" w14:textId="7860C243" w:rsidR="0093767D" w:rsidRPr="0093767D" w:rsidRDefault="0093767D" w:rsidP="0093767D">
      <w:pPr>
        <w:rPr>
          <w:rFonts w:ascii="Book Antiqua" w:hAnsi="Book Antiqua"/>
        </w:rPr>
      </w:pPr>
      <w:r>
        <w:rPr>
          <w:rFonts w:ascii="Book Antiqua" w:hAnsi="Book Antiqua"/>
        </w:rPr>
        <w:t xml:space="preserve">La minuta y el detalle de las transferencias efectuadas se adjuntan como </w:t>
      </w:r>
      <w:r w:rsidRPr="00F95C41">
        <w:rPr>
          <w:rFonts w:ascii="Book Antiqua" w:hAnsi="Book Antiqua"/>
          <w:b/>
          <w:bCs/>
          <w:u w:val="single"/>
        </w:rPr>
        <w:t>anexo 1 y 2</w:t>
      </w:r>
      <w:r>
        <w:rPr>
          <w:rFonts w:ascii="Book Antiqua" w:hAnsi="Book Antiqua"/>
        </w:rPr>
        <w:t>, respectivamente.</w:t>
      </w:r>
    </w:p>
    <w:p w14:paraId="33D6AE30" w14:textId="77777777" w:rsidR="0093767D" w:rsidRPr="0093767D" w:rsidRDefault="0093767D" w:rsidP="0093767D">
      <w:pPr>
        <w:rPr>
          <w:rFonts w:ascii="Book Antiqua" w:eastAsia="Times New Roman" w:hAnsi="Book Antiqua" w:cs="Arial"/>
          <w:b/>
          <w:u w:val="single"/>
          <w:lang w:eastAsia="es-CL"/>
        </w:rPr>
      </w:pPr>
    </w:p>
    <w:p w14:paraId="5EDC3ED9" w14:textId="177EB723" w:rsidR="0093767D" w:rsidRPr="0093767D" w:rsidRDefault="0093767D" w:rsidP="0093767D">
      <w:pPr>
        <w:pStyle w:val="Prrafodelista"/>
        <w:numPr>
          <w:ilvl w:val="0"/>
          <w:numId w:val="2"/>
        </w:numPr>
        <w:rPr>
          <w:rFonts w:ascii="Book Antiqua" w:eastAsia="Times New Roman" w:hAnsi="Book Antiqua" w:cs="Arial"/>
          <w:b/>
          <w:u w:val="single"/>
          <w:lang w:eastAsia="es-CL"/>
        </w:rPr>
      </w:pPr>
      <w:r>
        <w:rPr>
          <w:rFonts w:ascii="Book Antiqua" w:eastAsia="Times New Roman" w:hAnsi="Book Antiqua" w:cs="Arial"/>
          <w:b/>
          <w:u w:val="single"/>
          <w:lang w:eastAsia="es-CL"/>
        </w:rPr>
        <w:t>C</w:t>
      </w:r>
      <w:r w:rsidRPr="0093767D">
        <w:rPr>
          <w:rFonts w:ascii="Book Antiqua" w:eastAsia="Times New Roman" w:hAnsi="Book Antiqua" w:cs="Arial"/>
          <w:b/>
          <w:u w:val="single"/>
          <w:lang w:eastAsia="es-CL"/>
        </w:rPr>
        <w:t xml:space="preserve">onvenios </w:t>
      </w:r>
      <w:r w:rsidR="007C2881">
        <w:rPr>
          <w:rFonts w:ascii="Book Antiqua" w:eastAsia="Times New Roman" w:hAnsi="Book Antiqua" w:cs="Arial"/>
          <w:b/>
          <w:u w:val="single"/>
          <w:lang w:eastAsia="es-CL"/>
        </w:rPr>
        <w:t>vigentes</w:t>
      </w:r>
      <w:r w:rsidRPr="0093767D">
        <w:rPr>
          <w:rFonts w:ascii="Book Antiqua" w:eastAsia="Times New Roman" w:hAnsi="Book Antiqua" w:cs="Arial"/>
          <w:b/>
          <w:u w:val="single"/>
          <w:lang w:eastAsia="es-CL"/>
        </w:rPr>
        <w:t xml:space="preserve"> entre </w:t>
      </w:r>
      <w:r>
        <w:rPr>
          <w:rFonts w:ascii="Book Antiqua" w:eastAsia="Times New Roman" w:hAnsi="Book Antiqua" w:cs="Arial"/>
          <w:b/>
          <w:u w:val="single"/>
          <w:lang w:eastAsia="es-CL"/>
        </w:rPr>
        <w:t>la Municipalidad de Vitacura</w:t>
      </w:r>
      <w:r w:rsidRPr="0093767D">
        <w:rPr>
          <w:rFonts w:ascii="Book Antiqua" w:eastAsia="Times New Roman" w:hAnsi="Book Antiqua" w:cs="Arial"/>
          <w:b/>
          <w:u w:val="single"/>
          <w:lang w:eastAsia="es-CL"/>
        </w:rPr>
        <w:t xml:space="preserve"> y el CplT.</w:t>
      </w:r>
    </w:p>
    <w:p w14:paraId="4C214357" w14:textId="221FDFDE" w:rsidR="00A06279" w:rsidRPr="00F95C41" w:rsidRDefault="00F95C41" w:rsidP="00F95C41">
      <w:pPr>
        <w:pStyle w:val="NormalWeb"/>
        <w:tabs>
          <w:tab w:val="left" w:pos="0"/>
        </w:tabs>
        <w:spacing w:before="120" w:beforeAutospacing="0" w:after="120" w:afterAutospacing="0"/>
        <w:ind w:left="720"/>
        <w:jc w:val="both"/>
        <w:rPr>
          <w:rFonts w:ascii="Book Antiqua" w:hAnsi="Book Antiqua" w:cs="Arial"/>
          <w:sz w:val="22"/>
          <w:szCs w:val="22"/>
          <w:shd w:val="clear" w:color="auto" w:fill="FFFFFF"/>
        </w:rPr>
      </w:pPr>
      <w:r w:rsidRPr="00F95C41">
        <w:rPr>
          <w:rFonts w:ascii="Book Antiqua" w:hAnsi="Book Antiqua" w:cs="Arial"/>
          <w:sz w:val="22"/>
          <w:szCs w:val="22"/>
          <w:shd w:val="clear" w:color="auto" w:fill="FFFFFF"/>
        </w:rPr>
        <w:t>A la fecha se han suscrito cuatro convenios, de los cuales dos se encuentran vigentes, a saber</w:t>
      </w:r>
      <w:r>
        <w:rPr>
          <w:rFonts w:ascii="Book Antiqua" w:hAnsi="Book Antiqua" w:cs="Arial"/>
          <w:sz w:val="22"/>
          <w:szCs w:val="22"/>
          <w:shd w:val="clear" w:color="auto" w:fill="FFFFFF"/>
        </w:rPr>
        <w:t xml:space="preserve"> (</w:t>
      </w:r>
      <w:r w:rsidRPr="00F95C41">
        <w:rPr>
          <w:rFonts w:ascii="Book Antiqua" w:hAnsi="Book Antiqua" w:cs="Arial"/>
          <w:sz w:val="22"/>
          <w:szCs w:val="22"/>
          <w:shd w:val="clear" w:color="auto" w:fill="FFFFFF"/>
        </w:rPr>
        <w:t xml:space="preserve">Se adjunta cuadro con el detalle, como </w:t>
      </w:r>
      <w:r w:rsidRPr="00F95C41">
        <w:rPr>
          <w:rFonts w:ascii="Book Antiqua" w:hAnsi="Book Antiqua" w:cs="Arial"/>
          <w:b/>
          <w:bCs/>
          <w:sz w:val="22"/>
          <w:szCs w:val="22"/>
          <w:u w:val="single"/>
          <w:shd w:val="clear" w:color="auto" w:fill="FFFFFF"/>
        </w:rPr>
        <w:t>anexo 3</w:t>
      </w:r>
      <w:r w:rsidRPr="00F95C41">
        <w:rPr>
          <w:rFonts w:ascii="Book Antiqua" w:hAnsi="Book Antiqua" w:cs="Arial"/>
          <w:sz w:val="22"/>
          <w:szCs w:val="22"/>
          <w:shd w:val="clear" w:color="auto" w:fill="FFFFFF"/>
        </w:rPr>
        <w:t>)</w:t>
      </w:r>
      <w:r w:rsidRPr="00F95C41">
        <w:rPr>
          <w:rFonts w:ascii="Book Antiqua" w:hAnsi="Book Antiqua" w:cs="Arial"/>
          <w:sz w:val="20"/>
          <w:szCs w:val="20"/>
          <w:shd w:val="clear" w:color="auto" w:fill="FFFFFF"/>
        </w:rPr>
        <w:t>:</w:t>
      </w:r>
    </w:p>
    <w:p w14:paraId="220F0B8A" w14:textId="77777777" w:rsidR="00F95C41" w:rsidRDefault="00F95C41" w:rsidP="0093767D">
      <w:pPr>
        <w:pStyle w:val="NormalWeb"/>
        <w:tabs>
          <w:tab w:val="left" w:pos="0"/>
        </w:tabs>
        <w:spacing w:before="120" w:beforeAutospacing="0" w:after="120" w:afterAutospacing="0"/>
        <w:ind w:left="720"/>
        <w:jc w:val="both"/>
        <w:rPr>
          <w:rFonts w:ascii="Book Antiqua" w:hAnsi="Book Antiqua" w:cs="Arial"/>
          <w:shd w:val="clear" w:color="auto" w:fill="FFFFFF"/>
        </w:rPr>
      </w:pPr>
    </w:p>
    <w:tbl>
      <w:tblPr>
        <w:tblW w:w="9346" w:type="dxa"/>
        <w:tblCellMar>
          <w:left w:w="70" w:type="dxa"/>
          <w:right w:w="70" w:type="dxa"/>
        </w:tblCellMar>
        <w:tblLook w:val="04A0" w:firstRow="1" w:lastRow="0" w:firstColumn="1" w:lastColumn="0" w:noHBand="0" w:noVBand="1"/>
      </w:tblPr>
      <w:tblGrid>
        <w:gridCol w:w="1508"/>
        <w:gridCol w:w="997"/>
        <w:gridCol w:w="2534"/>
        <w:gridCol w:w="1563"/>
        <w:gridCol w:w="1907"/>
        <w:gridCol w:w="837"/>
      </w:tblGrid>
      <w:tr w:rsidR="00F95C41" w:rsidRPr="00F95C41" w14:paraId="782C0EFA" w14:textId="77777777" w:rsidTr="00F95C41">
        <w:trPr>
          <w:trHeight w:val="1410"/>
        </w:trPr>
        <w:tc>
          <w:tcPr>
            <w:tcW w:w="1207" w:type="dxa"/>
            <w:tcBorders>
              <w:top w:val="single" w:sz="8" w:space="0" w:color="000000"/>
              <w:left w:val="single" w:sz="8" w:space="0" w:color="000000"/>
              <w:bottom w:val="single" w:sz="8" w:space="0" w:color="000000"/>
              <w:right w:val="single" w:sz="8" w:space="0" w:color="AAAAAA"/>
            </w:tcBorders>
            <w:shd w:val="clear" w:color="000000" w:fill="FFFFFF"/>
            <w:vAlign w:val="center"/>
            <w:hideMark/>
          </w:tcPr>
          <w:p w14:paraId="4F260D30" w14:textId="77777777" w:rsidR="00F95C41" w:rsidRPr="00F95C41" w:rsidRDefault="00F95C41" w:rsidP="00F95C41">
            <w:pPr>
              <w:spacing w:after="0" w:line="240" w:lineRule="auto"/>
              <w:rPr>
                <w:rFonts w:ascii="Book Antiqua" w:eastAsia="Times New Roman" w:hAnsi="Book Antiqua" w:cs="Arial"/>
                <w:b/>
                <w:bCs/>
                <w:color w:val="222222"/>
                <w:sz w:val="20"/>
                <w:szCs w:val="20"/>
                <w:lang w:eastAsia="es-CL"/>
              </w:rPr>
            </w:pPr>
            <w:r w:rsidRPr="00F95C41">
              <w:rPr>
                <w:rFonts w:ascii="Book Antiqua" w:eastAsia="Times New Roman" w:hAnsi="Book Antiqua" w:cs="Arial"/>
                <w:b/>
                <w:bCs/>
                <w:color w:val="222222"/>
                <w:sz w:val="20"/>
                <w:szCs w:val="20"/>
                <w:lang w:eastAsia="es-CL"/>
              </w:rPr>
              <w:t>Municipalidad de Vitacura</w:t>
            </w:r>
          </w:p>
        </w:tc>
        <w:tc>
          <w:tcPr>
            <w:tcW w:w="1051" w:type="dxa"/>
            <w:tcBorders>
              <w:top w:val="single" w:sz="8" w:space="0" w:color="000000"/>
              <w:left w:val="single" w:sz="8" w:space="0" w:color="000000"/>
              <w:bottom w:val="single" w:sz="8" w:space="0" w:color="000000"/>
              <w:right w:val="single" w:sz="8" w:space="0" w:color="AAAAAA"/>
            </w:tcBorders>
            <w:shd w:val="clear" w:color="000000" w:fill="FFFFFF"/>
            <w:vAlign w:val="center"/>
            <w:hideMark/>
          </w:tcPr>
          <w:p w14:paraId="01D4CA5A" w14:textId="77777777" w:rsidR="00F95C41" w:rsidRPr="00F95C41" w:rsidRDefault="00F95C41" w:rsidP="00F95C41">
            <w:pPr>
              <w:spacing w:after="0" w:line="240" w:lineRule="auto"/>
              <w:jc w:val="center"/>
              <w:rPr>
                <w:rFonts w:ascii="Book Antiqua" w:eastAsia="Times New Roman" w:hAnsi="Book Antiqua" w:cs="Arial"/>
                <w:color w:val="222222"/>
                <w:sz w:val="20"/>
                <w:szCs w:val="20"/>
                <w:lang w:eastAsia="es-CL"/>
              </w:rPr>
            </w:pPr>
            <w:r w:rsidRPr="00F95C41">
              <w:rPr>
                <w:rFonts w:ascii="Book Antiqua" w:eastAsia="Times New Roman" w:hAnsi="Book Antiqua" w:cs="Arial"/>
                <w:color w:val="222222"/>
                <w:sz w:val="20"/>
                <w:szCs w:val="20"/>
                <w:lang w:eastAsia="es-CL"/>
              </w:rPr>
              <w:t>27-12-2019</w:t>
            </w:r>
          </w:p>
        </w:tc>
        <w:tc>
          <w:tcPr>
            <w:tcW w:w="2706" w:type="dxa"/>
            <w:tcBorders>
              <w:top w:val="single" w:sz="8" w:space="0" w:color="000000"/>
              <w:left w:val="single" w:sz="8" w:space="0" w:color="000000"/>
              <w:bottom w:val="single" w:sz="8" w:space="0" w:color="000000"/>
              <w:right w:val="single" w:sz="8" w:space="0" w:color="AAAAAA"/>
            </w:tcBorders>
            <w:shd w:val="clear" w:color="auto" w:fill="auto"/>
            <w:vAlign w:val="center"/>
            <w:hideMark/>
          </w:tcPr>
          <w:p w14:paraId="130B94C5" w14:textId="6C32F34C" w:rsidR="00F95C41" w:rsidRPr="00F95C41" w:rsidRDefault="00F95C41" w:rsidP="00F95C41">
            <w:pPr>
              <w:spacing w:after="0" w:line="240" w:lineRule="auto"/>
              <w:jc w:val="center"/>
              <w:rPr>
                <w:rFonts w:ascii="Book Antiqua" w:eastAsia="Times New Roman" w:hAnsi="Book Antiqua" w:cs="Arial"/>
                <w:color w:val="222222"/>
                <w:sz w:val="20"/>
                <w:szCs w:val="20"/>
                <w:lang w:eastAsia="es-CL"/>
              </w:rPr>
            </w:pPr>
            <w:r w:rsidRPr="00F95C41">
              <w:rPr>
                <w:rFonts w:ascii="Book Antiqua" w:eastAsia="Times New Roman" w:hAnsi="Book Antiqua" w:cs="Arial"/>
                <w:color w:val="222222"/>
                <w:sz w:val="20"/>
                <w:szCs w:val="20"/>
                <w:lang w:eastAsia="es-CL"/>
              </w:rPr>
              <w:t>Vigencia Indefinida</w:t>
            </w:r>
          </w:p>
        </w:tc>
        <w:tc>
          <w:tcPr>
            <w:tcW w:w="1585" w:type="dxa"/>
            <w:tcBorders>
              <w:top w:val="single" w:sz="8" w:space="0" w:color="000000"/>
              <w:left w:val="single" w:sz="8" w:space="0" w:color="000000"/>
              <w:bottom w:val="single" w:sz="8" w:space="0" w:color="000000"/>
              <w:right w:val="single" w:sz="8" w:space="0" w:color="AAAAAA"/>
            </w:tcBorders>
            <w:shd w:val="clear" w:color="000000" w:fill="FFFFFF"/>
            <w:vAlign w:val="center"/>
            <w:hideMark/>
          </w:tcPr>
          <w:p w14:paraId="2AB7BADA" w14:textId="77777777" w:rsidR="00F95C41" w:rsidRPr="00F95C41" w:rsidRDefault="00F95C41" w:rsidP="00F95C41">
            <w:pPr>
              <w:spacing w:after="0" w:line="240" w:lineRule="auto"/>
              <w:jc w:val="center"/>
              <w:rPr>
                <w:rFonts w:ascii="Book Antiqua" w:eastAsia="Times New Roman" w:hAnsi="Book Antiqua" w:cs="Arial"/>
                <w:color w:val="222222"/>
                <w:sz w:val="20"/>
                <w:szCs w:val="20"/>
                <w:lang w:eastAsia="es-CL"/>
              </w:rPr>
            </w:pPr>
            <w:r w:rsidRPr="00F95C41">
              <w:rPr>
                <w:rFonts w:ascii="Book Antiqua" w:eastAsia="Times New Roman" w:hAnsi="Book Antiqua" w:cs="Arial"/>
                <w:color w:val="222222"/>
                <w:sz w:val="20"/>
                <w:szCs w:val="20"/>
                <w:lang w:eastAsia="es-CL"/>
              </w:rPr>
              <w:t>Res.Ex.N°.648</w:t>
            </w:r>
          </w:p>
        </w:tc>
        <w:tc>
          <w:tcPr>
            <w:tcW w:w="1946" w:type="dxa"/>
            <w:tcBorders>
              <w:top w:val="single" w:sz="8" w:space="0" w:color="000000"/>
              <w:left w:val="single" w:sz="8" w:space="0" w:color="000000"/>
              <w:bottom w:val="single" w:sz="8" w:space="0" w:color="000000"/>
              <w:right w:val="single" w:sz="8" w:space="0" w:color="AAAAAA"/>
            </w:tcBorders>
            <w:shd w:val="clear" w:color="000000" w:fill="FFFFFF"/>
            <w:vAlign w:val="center"/>
            <w:hideMark/>
          </w:tcPr>
          <w:p w14:paraId="6587F697" w14:textId="4FEC0693" w:rsidR="00F95C41" w:rsidRPr="00F95C41" w:rsidRDefault="00F95C41" w:rsidP="00F95C41">
            <w:pPr>
              <w:spacing w:after="0" w:line="240" w:lineRule="auto"/>
              <w:rPr>
                <w:rFonts w:ascii="Book Antiqua" w:eastAsia="Times New Roman" w:hAnsi="Book Antiqua" w:cs="Arial"/>
                <w:color w:val="222222"/>
                <w:sz w:val="20"/>
                <w:szCs w:val="20"/>
                <w:lang w:eastAsia="es-CL"/>
              </w:rPr>
            </w:pPr>
            <w:r>
              <w:rPr>
                <w:rFonts w:ascii="Book Antiqua" w:eastAsia="Times New Roman" w:hAnsi="Book Antiqua" w:cs="Arial"/>
                <w:color w:val="222222"/>
                <w:sz w:val="20"/>
                <w:szCs w:val="20"/>
                <w:lang w:eastAsia="es-CL"/>
              </w:rPr>
              <w:t>C</w:t>
            </w:r>
            <w:r w:rsidRPr="00F95C41">
              <w:rPr>
                <w:rFonts w:ascii="Book Antiqua" w:eastAsia="Times New Roman" w:hAnsi="Book Antiqua" w:cs="Arial"/>
                <w:color w:val="222222"/>
                <w:sz w:val="20"/>
                <w:szCs w:val="20"/>
                <w:lang w:eastAsia="es-CL"/>
              </w:rPr>
              <w:t>onvenio marco de  cooperación, para la implementación del MGTM y el Portal de  Transparencia del Estado de  Chile.</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E2D48" w14:textId="77777777" w:rsidR="00F95C41" w:rsidRPr="00F95C41" w:rsidRDefault="00C30944" w:rsidP="00F95C41">
            <w:pPr>
              <w:spacing w:after="0" w:line="240" w:lineRule="auto"/>
              <w:rPr>
                <w:rFonts w:ascii="Book Antiqua" w:eastAsia="Times New Roman" w:hAnsi="Book Antiqua" w:cs="Calibri"/>
                <w:color w:val="0563C1"/>
                <w:sz w:val="20"/>
                <w:szCs w:val="20"/>
                <w:u w:val="single"/>
                <w:lang w:eastAsia="es-CL"/>
              </w:rPr>
            </w:pPr>
            <w:hyperlink r:id="rId11" w:history="1">
              <w:r w:rsidR="00F95C41" w:rsidRPr="00F95C41">
                <w:rPr>
                  <w:rFonts w:ascii="Book Antiqua" w:eastAsia="Times New Roman" w:hAnsi="Book Antiqua" w:cs="Calibri"/>
                  <w:color w:val="0563C1"/>
                  <w:sz w:val="20"/>
                  <w:szCs w:val="20"/>
                  <w:u w:val="single"/>
                  <w:lang w:eastAsia="es-CL"/>
                </w:rPr>
                <w:t>Enlace</w:t>
              </w:r>
            </w:hyperlink>
          </w:p>
        </w:tc>
      </w:tr>
      <w:tr w:rsidR="00F95C41" w:rsidRPr="00F95C41" w14:paraId="5919597F" w14:textId="77777777" w:rsidTr="00F95C41">
        <w:trPr>
          <w:trHeight w:val="1410"/>
        </w:trPr>
        <w:tc>
          <w:tcPr>
            <w:tcW w:w="1207" w:type="dxa"/>
            <w:tcBorders>
              <w:top w:val="nil"/>
              <w:left w:val="single" w:sz="8" w:space="0" w:color="000000"/>
              <w:bottom w:val="single" w:sz="8" w:space="0" w:color="000000"/>
              <w:right w:val="single" w:sz="8" w:space="0" w:color="AAAAAA"/>
            </w:tcBorders>
            <w:shd w:val="clear" w:color="000000" w:fill="FFFFFF"/>
            <w:vAlign w:val="center"/>
            <w:hideMark/>
          </w:tcPr>
          <w:p w14:paraId="4D477545" w14:textId="77777777" w:rsidR="00F95C41" w:rsidRPr="00F95C41" w:rsidRDefault="00F95C41" w:rsidP="00F95C41">
            <w:pPr>
              <w:spacing w:after="0" w:line="240" w:lineRule="auto"/>
              <w:rPr>
                <w:rFonts w:ascii="Book Antiqua" w:eastAsia="Times New Roman" w:hAnsi="Book Antiqua" w:cs="Arial"/>
                <w:b/>
                <w:bCs/>
                <w:color w:val="222222"/>
                <w:sz w:val="20"/>
                <w:szCs w:val="20"/>
                <w:lang w:eastAsia="es-CL"/>
              </w:rPr>
            </w:pPr>
            <w:r w:rsidRPr="00F95C41">
              <w:rPr>
                <w:rFonts w:ascii="Book Antiqua" w:eastAsia="Times New Roman" w:hAnsi="Book Antiqua" w:cs="Arial"/>
                <w:b/>
                <w:bCs/>
                <w:color w:val="222222"/>
                <w:sz w:val="20"/>
                <w:szCs w:val="20"/>
                <w:lang w:eastAsia="es-CL"/>
              </w:rPr>
              <w:t>Municipalidad de Vitacura</w:t>
            </w:r>
          </w:p>
        </w:tc>
        <w:tc>
          <w:tcPr>
            <w:tcW w:w="1051" w:type="dxa"/>
            <w:tcBorders>
              <w:top w:val="nil"/>
              <w:left w:val="single" w:sz="8" w:space="0" w:color="000000"/>
              <w:bottom w:val="single" w:sz="8" w:space="0" w:color="000000"/>
              <w:right w:val="single" w:sz="8" w:space="0" w:color="AAAAAA"/>
            </w:tcBorders>
            <w:shd w:val="clear" w:color="000000" w:fill="FFFFFF"/>
            <w:vAlign w:val="center"/>
            <w:hideMark/>
          </w:tcPr>
          <w:p w14:paraId="496AB9FF" w14:textId="77777777" w:rsidR="00F95C41" w:rsidRPr="00F95C41" w:rsidRDefault="00F95C41" w:rsidP="00F95C41">
            <w:pPr>
              <w:spacing w:after="0" w:line="240" w:lineRule="auto"/>
              <w:jc w:val="center"/>
              <w:rPr>
                <w:rFonts w:ascii="Book Antiqua" w:eastAsia="Times New Roman" w:hAnsi="Book Antiqua" w:cs="Arial"/>
                <w:color w:val="222222"/>
                <w:sz w:val="20"/>
                <w:szCs w:val="20"/>
                <w:lang w:eastAsia="es-CL"/>
              </w:rPr>
            </w:pPr>
            <w:r w:rsidRPr="00F95C41">
              <w:rPr>
                <w:rFonts w:ascii="Book Antiqua" w:eastAsia="Times New Roman" w:hAnsi="Book Antiqua" w:cs="Arial"/>
                <w:color w:val="222222"/>
                <w:sz w:val="20"/>
                <w:szCs w:val="20"/>
                <w:lang w:eastAsia="es-CL"/>
              </w:rPr>
              <w:t>05-02-2016</w:t>
            </w:r>
          </w:p>
        </w:tc>
        <w:tc>
          <w:tcPr>
            <w:tcW w:w="2706" w:type="dxa"/>
            <w:tcBorders>
              <w:top w:val="nil"/>
              <w:left w:val="single" w:sz="8" w:space="0" w:color="000000"/>
              <w:bottom w:val="single" w:sz="8" w:space="0" w:color="000000"/>
              <w:right w:val="single" w:sz="8" w:space="0" w:color="AAAAAA"/>
            </w:tcBorders>
            <w:shd w:val="clear" w:color="auto" w:fill="auto"/>
            <w:vAlign w:val="center"/>
            <w:hideMark/>
          </w:tcPr>
          <w:p w14:paraId="09BF303A" w14:textId="36CE2479" w:rsidR="00F95C41" w:rsidRPr="00F95C41" w:rsidRDefault="00F95C41" w:rsidP="00F95C41">
            <w:pPr>
              <w:spacing w:after="0" w:line="240" w:lineRule="auto"/>
              <w:jc w:val="center"/>
              <w:rPr>
                <w:rFonts w:ascii="Book Antiqua" w:eastAsia="Times New Roman" w:hAnsi="Book Antiqua" w:cs="Arial"/>
                <w:color w:val="222222"/>
                <w:sz w:val="20"/>
                <w:szCs w:val="20"/>
                <w:lang w:eastAsia="es-CL"/>
              </w:rPr>
            </w:pPr>
            <w:r w:rsidRPr="00F95C41">
              <w:rPr>
                <w:rFonts w:ascii="Book Antiqua" w:eastAsia="Times New Roman" w:hAnsi="Book Antiqua" w:cs="Arial"/>
                <w:color w:val="222222"/>
                <w:sz w:val="20"/>
                <w:szCs w:val="20"/>
                <w:lang w:eastAsia="es-CL"/>
              </w:rPr>
              <w:t>Vigencia Indefinida</w:t>
            </w:r>
          </w:p>
        </w:tc>
        <w:tc>
          <w:tcPr>
            <w:tcW w:w="1585" w:type="dxa"/>
            <w:tcBorders>
              <w:top w:val="nil"/>
              <w:left w:val="single" w:sz="8" w:space="0" w:color="000000"/>
              <w:bottom w:val="single" w:sz="8" w:space="0" w:color="000000"/>
              <w:right w:val="single" w:sz="8" w:space="0" w:color="AAAAAA"/>
            </w:tcBorders>
            <w:shd w:val="clear" w:color="000000" w:fill="FFFFFF"/>
            <w:vAlign w:val="center"/>
            <w:hideMark/>
          </w:tcPr>
          <w:p w14:paraId="3ADEC0F5" w14:textId="77777777" w:rsidR="00F95C41" w:rsidRPr="00F95C41" w:rsidRDefault="00F95C41" w:rsidP="00F95C41">
            <w:pPr>
              <w:spacing w:after="0" w:line="240" w:lineRule="auto"/>
              <w:jc w:val="center"/>
              <w:rPr>
                <w:rFonts w:ascii="Book Antiqua" w:eastAsia="Times New Roman" w:hAnsi="Book Antiqua" w:cs="Arial"/>
                <w:color w:val="222222"/>
                <w:sz w:val="20"/>
                <w:szCs w:val="20"/>
                <w:lang w:eastAsia="es-CL"/>
              </w:rPr>
            </w:pPr>
            <w:r w:rsidRPr="00F95C41">
              <w:rPr>
                <w:rFonts w:ascii="Book Antiqua" w:eastAsia="Times New Roman" w:hAnsi="Book Antiqua" w:cs="Arial"/>
                <w:color w:val="222222"/>
                <w:sz w:val="20"/>
                <w:szCs w:val="20"/>
                <w:lang w:eastAsia="es-CL"/>
              </w:rPr>
              <w:t>Res.Ex.N°.101</w:t>
            </w:r>
          </w:p>
        </w:tc>
        <w:tc>
          <w:tcPr>
            <w:tcW w:w="1946" w:type="dxa"/>
            <w:tcBorders>
              <w:top w:val="nil"/>
              <w:left w:val="single" w:sz="8" w:space="0" w:color="000000"/>
              <w:bottom w:val="single" w:sz="8" w:space="0" w:color="000000"/>
              <w:right w:val="single" w:sz="8" w:space="0" w:color="AAAAAA"/>
            </w:tcBorders>
            <w:shd w:val="clear" w:color="000000" w:fill="FFFFFF"/>
            <w:vAlign w:val="center"/>
            <w:hideMark/>
          </w:tcPr>
          <w:p w14:paraId="0E9D42AF" w14:textId="5A3C7F73" w:rsidR="00F95C41" w:rsidRPr="00F95C41" w:rsidRDefault="00F95C41" w:rsidP="00F95C41">
            <w:pPr>
              <w:spacing w:after="0" w:line="240" w:lineRule="auto"/>
              <w:rPr>
                <w:rFonts w:ascii="Book Antiqua" w:eastAsia="Times New Roman" w:hAnsi="Book Antiqua" w:cs="Arial"/>
                <w:color w:val="222222"/>
                <w:sz w:val="20"/>
                <w:szCs w:val="20"/>
                <w:lang w:eastAsia="es-CL"/>
              </w:rPr>
            </w:pPr>
            <w:r>
              <w:rPr>
                <w:rFonts w:ascii="Book Antiqua" w:eastAsia="Times New Roman" w:hAnsi="Book Antiqua" w:cs="Arial"/>
                <w:color w:val="222222"/>
                <w:sz w:val="20"/>
                <w:szCs w:val="20"/>
                <w:lang w:eastAsia="es-CL"/>
              </w:rPr>
              <w:t>C</w:t>
            </w:r>
            <w:r w:rsidRPr="00F95C41">
              <w:rPr>
                <w:rFonts w:ascii="Book Antiqua" w:eastAsia="Times New Roman" w:hAnsi="Book Antiqua" w:cs="Arial"/>
                <w:color w:val="222222"/>
                <w:sz w:val="20"/>
                <w:szCs w:val="20"/>
                <w:lang w:eastAsia="es-CL"/>
              </w:rPr>
              <w:t xml:space="preserve">onvenio de colaboración a fin de </w:t>
            </w:r>
            <w:r>
              <w:rPr>
                <w:rFonts w:ascii="Book Antiqua" w:eastAsia="Times New Roman" w:hAnsi="Book Antiqua" w:cs="Arial"/>
                <w:color w:val="222222"/>
                <w:sz w:val="20"/>
                <w:szCs w:val="20"/>
                <w:lang w:eastAsia="es-CL"/>
              </w:rPr>
              <w:t>i</w:t>
            </w:r>
            <w:r w:rsidRPr="00F95C41">
              <w:rPr>
                <w:rFonts w:ascii="Book Antiqua" w:eastAsia="Times New Roman" w:hAnsi="Book Antiqua" w:cs="Arial"/>
                <w:color w:val="222222"/>
                <w:sz w:val="20"/>
                <w:szCs w:val="20"/>
                <w:lang w:eastAsia="es-CL"/>
              </w:rPr>
              <w:t>mplementar el SARC</w:t>
            </w:r>
            <w:r>
              <w:rPr>
                <w:rFonts w:ascii="Book Antiqua" w:eastAsia="Times New Roman" w:hAnsi="Book Antiqua" w:cs="Arial"/>
                <w:color w:val="222222"/>
                <w:sz w:val="20"/>
                <w:szCs w:val="20"/>
                <w:lang w:eastAsia="es-CL"/>
              </w:rPr>
              <w:t xml:space="preserve"> y mecanismo de notificación electrónica.</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3345123" w14:textId="77777777" w:rsidR="00F95C41" w:rsidRPr="00F95C41" w:rsidRDefault="00C30944" w:rsidP="00F95C41">
            <w:pPr>
              <w:spacing w:after="0" w:line="240" w:lineRule="auto"/>
              <w:rPr>
                <w:rFonts w:ascii="Book Antiqua" w:eastAsia="Times New Roman" w:hAnsi="Book Antiqua" w:cs="Calibri"/>
                <w:color w:val="0563C1"/>
                <w:sz w:val="20"/>
                <w:szCs w:val="20"/>
                <w:u w:val="single"/>
                <w:lang w:eastAsia="es-CL"/>
              </w:rPr>
            </w:pPr>
            <w:hyperlink r:id="rId12" w:history="1">
              <w:r w:rsidR="00F95C41" w:rsidRPr="00F95C41">
                <w:rPr>
                  <w:rFonts w:ascii="Book Antiqua" w:eastAsia="Times New Roman" w:hAnsi="Book Antiqua" w:cs="Calibri"/>
                  <w:color w:val="0563C1"/>
                  <w:sz w:val="20"/>
                  <w:szCs w:val="20"/>
                  <w:u w:val="single"/>
                  <w:lang w:eastAsia="es-CL"/>
                </w:rPr>
                <w:t>Enlace</w:t>
              </w:r>
            </w:hyperlink>
          </w:p>
        </w:tc>
      </w:tr>
    </w:tbl>
    <w:p w14:paraId="7B5C3287" w14:textId="77777777" w:rsidR="00F95C41" w:rsidRDefault="00F95C41" w:rsidP="0093767D">
      <w:pPr>
        <w:pStyle w:val="NormalWeb"/>
        <w:tabs>
          <w:tab w:val="left" w:pos="0"/>
        </w:tabs>
        <w:spacing w:before="120" w:beforeAutospacing="0" w:after="120" w:afterAutospacing="0"/>
        <w:ind w:left="720"/>
        <w:jc w:val="both"/>
        <w:rPr>
          <w:rFonts w:ascii="Book Antiqua" w:hAnsi="Book Antiqua" w:cs="Arial"/>
          <w:shd w:val="clear" w:color="auto" w:fill="FFFFFF"/>
        </w:rPr>
      </w:pPr>
    </w:p>
    <w:sectPr w:rsidR="00F95C41" w:rsidSect="00FB70D4">
      <w:headerReference w:type="default" r:id="rId13"/>
      <w:footerReference w:type="default" r:id="rId14"/>
      <w:pgSz w:w="12240" w:h="15840"/>
      <w:pgMar w:top="1190" w:right="1701" w:bottom="1418" w:left="1701" w:header="284" w:footer="1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CDC46" w14:textId="77777777" w:rsidR="00C30944" w:rsidRDefault="00C30944" w:rsidP="00E16ACA">
      <w:pPr>
        <w:spacing w:after="0" w:line="240" w:lineRule="auto"/>
      </w:pPr>
      <w:r>
        <w:separator/>
      </w:r>
    </w:p>
  </w:endnote>
  <w:endnote w:type="continuationSeparator" w:id="0">
    <w:p w14:paraId="4D2AAB31" w14:textId="77777777" w:rsidR="00C30944" w:rsidRDefault="00C30944" w:rsidP="00E1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244061" w:themeColor="accent1" w:themeShade="80"/>
        <w:insideH w:val="single" w:sz="4" w:space="0" w:color="365F91" w:themeColor="accent1" w:themeShade="BF"/>
      </w:tblBorders>
      <w:tblLook w:val="04A0" w:firstRow="1" w:lastRow="0" w:firstColumn="1" w:lastColumn="0" w:noHBand="0" w:noVBand="1"/>
    </w:tblPr>
    <w:tblGrid>
      <w:gridCol w:w="908"/>
      <w:gridCol w:w="6482"/>
      <w:gridCol w:w="1448"/>
    </w:tblGrid>
    <w:tr w:rsidR="00235F01" w:rsidRPr="00E16ACA" w14:paraId="4C214366" w14:textId="77777777">
      <w:tc>
        <w:tcPr>
          <w:tcW w:w="514" w:type="pct"/>
          <w:vAlign w:val="center"/>
        </w:tcPr>
        <w:p w14:paraId="4C214361" w14:textId="77777777" w:rsidR="00235F01" w:rsidRPr="00E16ACA" w:rsidRDefault="00235F01" w:rsidP="00E16ACA">
          <w:pPr>
            <w:tabs>
              <w:tab w:val="center" w:pos="4252"/>
              <w:tab w:val="right" w:pos="8504"/>
            </w:tabs>
            <w:spacing w:after="0" w:line="240" w:lineRule="auto"/>
            <w:rPr>
              <w:rFonts w:eastAsia="Times New Roman"/>
              <w:color w:val="205D99"/>
              <w:sz w:val="24"/>
              <w:szCs w:val="24"/>
              <w:lang w:val="es-ES_tradnl" w:eastAsia="es-ES_tradnl"/>
            </w:rPr>
          </w:pPr>
          <w:r w:rsidRPr="00E16ACA">
            <w:rPr>
              <w:rFonts w:eastAsia="Times New Roman"/>
              <w:noProof/>
              <w:color w:val="205D99"/>
              <w:sz w:val="24"/>
              <w:szCs w:val="24"/>
              <w:lang w:eastAsia="es-CL"/>
            </w:rPr>
            <w:drawing>
              <wp:inline distT="0" distB="0" distL="0" distR="0" wp14:anchorId="4C21436B" wp14:editId="4C21436C">
                <wp:extent cx="284400" cy="299368"/>
                <wp:effectExtent l="19050" t="0" r="1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4400" cy="299368"/>
                        </a:xfrm>
                        <a:prstGeom prst="rect">
                          <a:avLst/>
                        </a:prstGeom>
                        <a:noFill/>
                      </pic:spPr>
                    </pic:pic>
                  </a:graphicData>
                </a:graphic>
              </wp:inline>
            </w:drawing>
          </w:r>
        </w:p>
      </w:tc>
      <w:tc>
        <w:tcPr>
          <w:tcW w:w="3667" w:type="pct"/>
          <w:vAlign w:val="center"/>
        </w:tcPr>
        <w:p w14:paraId="4C214362" w14:textId="77777777" w:rsidR="00235F01" w:rsidRPr="00E16ACA" w:rsidRDefault="00235F01" w:rsidP="00E16ACA">
          <w:pPr>
            <w:tabs>
              <w:tab w:val="center" w:pos="4252"/>
              <w:tab w:val="right" w:pos="8504"/>
            </w:tabs>
            <w:spacing w:after="0" w:line="240" w:lineRule="auto"/>
            <w:jc w:val="center"/>
            <w:rPr>
              <w:rFonts w:eastAsia="Times New Roman"/>
              <w:color w:val="000000"/>
              <w:sz w:val="20"/>
              <w:szCs w:val="20"/>
              <w:lang w:val="es-ES_tradnl" w:eastAsia="es-ES_tradnl"/>
            </w:rPr>
          </w:pPr>
          <w:r w:rsidRPr="00E16ACA">
            <w:rPr>
              <w:rFonts w:eastAsia="Times New Roman"/>
              <w:color w:val="000000"/>
              <w:sz w:val="20"/>
              <w:szCs w:val="20"/>
              <w:lang w:val="es-ES_tradnl" w:eastAsia="es-ES_tradnl"/>
            </w:rPr>
            <w:t xml:space="preserve">Morandé 360 piso 7. Santiago, Chile | Teléfono: 56-2 </w:t>
          </w:r>
          <w:r>
            <w:rPr>
              <w:rFonts w:eastAsia="Times New Roman"/>
              <w:color w:val="000000"/>
              <w:sz w:val="20"/>
              <w:szCs w:val="20"/>
              <w:lang w:val="es-ES_tradnl" w:eastAsia="es-ES_tradnl"/>
            </w:rPr>
            <w:t>2</w:t>
          </w:r>
          <w:r w:rsidRPr="00E16ACA">
            <w:rPr>
              <w:rFonts w:eastAsia="Times New Roman"/>
              <w:color w:val="000000"/>
              <w:sz w:val="20"/>
              <w:szCs w:val="20"/>
              <w:lang w:val="es-ES_tradnl" w:eastAsia="es-ES_tradnl"/>
            </w:rPr>
            <w:t xml:space="preserve">495 21 00 </w:t>
          </w:r>
        </w:p>
        <w:p w14:paraId="4C214363" w14:textId="77777777" w:rsidR="00235F01" w:rsidRPr="00E16ACA" w:rsidRDefault="00C30944" w:rsidP="00E16ACA">
          <w:pPr>
            <w:tabs>
              <w:tab w:val="center" w:pos="4252"/>
              <w:tab w:val="right" w:pos="8504"/>
            </w:tabs>
            <w:spacing w:after="0" w:line="240" w:lineRule="auto"/>
            <w:jc w:val="center"/>
            <w:rPr>
              <w:rFonts w:eastAsia="Times New Roman"/>
              <w:color w:val="205D99"/>
              <w:sz w:val="24"/>
              <w:szCs w:val="24"/>
              <w:lang w:val="es-ES_tradnl" w:eastAsia="es-ES_tradnl"/>
            </w:rPr>
          </w:pPr>
          <w:hyperlink r:id="rId2" w:history="1">
            <w:r w:rsidR="00235F01" w:rsidRPr="00E16ACA">
              <w:rPr>
                <w:rFonts w:eastAsia="Times New Roman"/>
                <w:color w:val="0099CC"/>
                <w:sz w:val="20"/>
                <w:szCs w:val="20"/>
                <w:u w:val="single"/>
                <w:lang w:val="es-ES_tradnl" w:eastAsia="es-ES_tradnl"/>
              </w:rPr>
              <w:t>www.consejotransparencia.cl</w:t>
            </w:r>
          </w:hyperlink>
          <w:r w:rsidR="00235F01" w:rsidRPr="00E16ACA">
            <w:rPr>
              <w:rFonts w:eastAsia="Times New Roman"/>
              <w:color w:val="205D99"/>
              <w:sz w:val="20"/>
              <w:szCs w:val="20"/>
              <w:lang w:val="es-ES_tradnl" w:eastAsia="es-ES_tradnl"/>
            </w:rPr>
            <w:t xml:space="preserve">– </w:t>
          </w:r>
          <w:hyperlink r:id="rId3" w:history="1">
            <w:r w:rsidR="00235F01" w:rsidRPr="00E16ACA">
              <w:rPr>
                <w:rFonts w:eastAsia="Times New Roman"/>
                <w:color w:val="0099CC"/>
                <w:sz w:val="20"/>
                <w:szCs w:val="20"/>
                <w:u w:val="single"/>
                <w:lang w:val="es-ES_tradnl" w:eastAsia="es-ES_tradnl"/>
              </w:rPr>
              <w:t>contacto@consejotransparencia.cl</w:t>
            </w:r>
          </w:hyperlink>
        </w:p>
      </w:tc>
      <w:tc>
        <w:tcPr>
          <w:tcW w:w="819" w:type="pct"/>
          <w:vAlign w:val="center"/>
        </w:tcPr>
        <w:p w14:paraId="4C214364" w14:textId="77777777" w:rsidR="00235F01" w:rsidRPr="00E16ACA" w:rsidRDefault="00235F01" w:rsidP="00E16ACA">
          <w:pPr>
            <w:spacing w:after="0" w:line="240" w:lineRule="auto"/>
            <w:jc w:val="right"/>
            <w:rPr>
              <w:rFonts w:eastAsia="Times New Roman"/>
              <w:color w:val="000000"/>
              <w:sz w:val="20"/>
              <w:szCs w:val="20"/>
              <w:lang w:val="es-ES_tradnl" w:eastAsia="es-ES_tradnl"/>
            </w:rPr>
          </w:pPr>
          <w:r w:rsidRPr="00E16ACA">
            <w:rPr>
              <w:rFonts w:eastAsia="Times New Roman"/>
              <w:color w:val="000000"/>
              <w:sz w:val="20"/>
              <w:szCs w:val="20"/>
              <w:lang w:val="es-ES_tradnl" w:eastAsia="es-ES_tradnl"/>
            </w:rPr>
            <w:t xml:space="preserve">Página </w:t>
          </w:r>
          <w:r w:rsidRPr="00E16ACA">
            <w:rPr>
              <w:rFonts w:eastAsia="Times New Roman"/>
              <w:color w:val="000000"/>
              <w:sz w:val="20"/>
              <w:szCs w:val="20"/>
              <w:lang w:val="es-ES_tradnl" w:eastAsia="es-ES_tradnl"/>
            </w:rPr>
            <w:fldChar w:fldCharType="begin"/>
          </w:r>
          <w:r w:rsidRPr="00E16ACA">
            <w:rPr>
              <w:rFonts w:eastAsia="Times New Roman"/>
              <w:color w:val="000000"/>
              <w:sz w:val="20"/>
              <w:szCs w:val="20"/>
              <w:lang w:val="es-ES_tradnl" w:eastAsia="es-ES_tradnl"/>
            </w:rPr>
            <w:instrText xml:space="preserve"> PAGE </w:instrText>
          </w:r>
          <w:r w:rsidRPr="00E16ACA">
            <w:rPr>
              <w:rFonts w:eastAsia="Times New Roman"/>
              <w:color w:val="000000"/>
              <w:sz w:val="20"/>
              <w:szCs w:val="20"/>
              <w:lang w:val="es-ES_tradnl" w:eastAsia="es-ES_tradnl"/>
            </w:rPr>
            <w:fldChar w:fldCharType="separate"/>
          </w:r>
          <w:r w:rsidR="00FB586E">
            <w:rPr>
              <w:rFonts w:eastAsia="Times New Roman"/>
              <w:noProof/>
              <w:color w:val="000000"/>
              <w:sz w:val="20"/>
              <w:szCs w:val="20"/>
              <w:lang w:val="es-ES_tradnl" w:eastAsia="es-ES_tradnl"/>
            </w:rPr>
            <w:t>1</w:t>
          </w:r>
          <w:r w:rsidRPr="00E16ACA">
            <w:rPr>
              <w:rFonts w:eastAsia="Times New Roman"/>
              <w:color w:val="000000"/>
              <w:sz w:val="20"/>
              <w:szCs w:val="20"/>
              <w:lang w:val="es-ES_tradnl" w:eastAsia="es-ES_tradnl"/>
            </w:rPr>
            <w:fldChar w:fldCharType="end"/>
          </w:r>
        </w:p>
        <w:p w14:paraId="4C214365" w14:textId="77777777" w:rsidR="00235F01" w:rsidRPr="00E16ACA" w:rsidRDefault="00235F01" w:rsidP="00E16ACA">
          <w:pPr>
            <w:tabs>
              <w:tab w:val="center" w:pos="4252"/>
              <w:tab w:val="right" w:pos="8504"/>
            </w:tabs>
            <w:spacing w:after="0" w:line="240" w:lineRule="auto"/>
            <w:jc w:val="center"/>
            <w:rPr>
              <w:rFonts w:eastAsia="Times New Roman"/>
              <w:color w:val="205D99"/>
              <w:sz w:val="20"/>
              <w:szCs w:val="20"/>
              <w:lang w:val="es-ES_tradnl" w:eastAsia="es-ES_tradnl"/>
            </w:rPr>
          </w:pPr>
        </w:p>
      </w:tc>
    </w:tr>
  </w:tbl>
  <w:p w14:paraId="4C214367" w14:textId="77777777" w:rsidR="00235F01" w:rsidRDefault="00235F01">
    <w:pPr>
      <w:pStyle w:val="Piedepgina"/>
    </w:pPr>
  </w:p>
  <w:p w14:paraId="4C214368" w14:textId="77777777" w:rsidR="00235F01" w:rsidRDefault="00235F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B21B1" w14:textId="77777777" w:rsidR="00C30944" w:rsidRDefault="00C30944" w:rsidP="00E16ACA">
      <w:pPr>
        <w:spacing w:after="0" w:line="240" w:lineRule="auto"/>
      </w:pPr>
      <w:r>
        <w:separator/>
      </w:r>
    </w:p>
  </w:footnote>
  <w:footnote w:type="continuationSeparator" w:id="0">
    <w:p w14:paraId="31B88A9D" w14:textId="77777777" w:rsidR="00C30944" w:rsidRDefault="00C30944" w:rsidP="00E16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1435C" w14:textId="77777777" w:rsidR="00235F01" w:rsidRDefault="00235F01"/>
  <w:tbl>
    <w:tblPr>
      <w:tblW w:w="5000" w:type="pct"/>
      <w:tblLook w:val="04A0" w:firstRow="1" w:lastRow="0" w:firstColumn="1" w:lastColumn="0" w:noHBand="0" w:noVBand="1"/>
    </w:tblPr>
    <w:tblGrid>
      <w:gridCol w:w="6452"/>
      <w:gridCol w:w="2386"/>
    </w:tblGrid>
    <w:tr w:rsidR="00235F01" w:rsidRPr="00DB1495" w14:paraId="4C21435F" w14:textId="77777777">
      <w:trPr>
        <w:trHeight w:val="287"/>
      </w:trPr>
      <w:tc>
        <w:tcPr>
          <w:tcW w:w="3650" w:type="pct"/>
          <w:tcBorders>
            <w:bottom w:val="single" w:sz="4" w:space="0" w:color="365F91" w:themeColor="accent1" w:themeShade="BF"/>
          </w:tcBorders>
        </w:tcPr>
        <w:p w14:paraId="4C21435D" w14:textId="77777777" w:rsidR="00235F01" w:rsidRPr="00DB1495" w:rsidRDefault="00235F01" w:rsidP="00E16ACA">
          <w:pPr>
            <w:pStyle w:val="Encabezado"/>
            <w:rPr>
              <w:lang w:val="es-ES_tradnl"/>
            </w:rPr>
          </w:pPr>
        </w:p>
      </w:tc>
      <w:tc>
        <w:tcPr>
          <w:tcW w:w="1350" w:type="pct"/>
        </w:tcPr>
        <w:p w14:paraId="4C21435E" w14:textId="77777777" w:rsidR="00235F01" w:rsidRPr="00DB1495" w:rsidRDefault="00235F01" w:rsidP="009D75CF">
          <w:pPr>
            <w:pStyle w:val="Encabezado"/>
            <w:rPr>
              <w:lang w:val="es-ES_tradnl"/>
            </w:rPr>
          </w:pPr>
          <w:r w:rsidRPr="00DB1495">
            <w:rPr>
              <w:noProof/>
              <w:lang w:eastAsia="es-CL"/>
            </w:rPr>
            <w:drawing>
              <wp:inline distT="0" distB="0" distL="0" distR="0" wp14:anchorId="4C214369" wp14:editId="4C21436A">
                <wp:extent cx="1286135" cy="449182"/>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91179" cy="450943"/>
                        </a:xfrm>
                        <a:prstGeom prst="rect">
                          <a:avLst/>
                        </a:prstGeom>
                        <a:noFill/>
                      </pic:spPr>
                    </pic:pic>
                  </a:graphicData>
                </a:graphic>
              </wp:inline>
            </w:drawing>
          </w:r>
        </w:p>
      </w:tc>
    </w:tr>
  </w:tbl>
  <w:p w14:paraId="4C214360" w14:textId="77777777" w:rsidR="00235F01" w:rsidRPr="00E16ACA" w:rsidRDefault="00235F01" w:rsidP="00E16A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04196"/>
    <w:multiLevelType w:val="hybridMultilevel"/>
    <w:tmpl w:val="4BAA14CC"/>
    <w:lvl w:ilvl="0" w:tplc="242C3994">
      <w:start w:val="1"/>
      <w:numFmt w:val="lowerLetter"/>
      <w:lvlText w:val="%1)"/>
      <w:lvlJc w:val="left"/>
      <w:pPr>
        <w:ind w:left="1440" w:hanging="360"/>
      </w:pPr>
      <w:rPr>
        <w:b/>
        <w:bCs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1C9831A2"/>
    <w:multiLevelType w:val="hybridMultilevel"/>
    <w:tmpl w:val="05D88B74"/>
    <w:lvl w:ilvl="0" w:tplc="891469A8">
      <w:start w:val="1"/>
      <w:numFmt w:val="decimal"/>
      <w:lvlText w:val="%1."/>
      <w:lvlJc w:val="left"/>
      <w:pPr>
        <w:ind w:left="720"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142D27"/>
    <w:multiLevelType w:val="hybridMultilevel"/>
    <w:tmpl w:val="A09C0BF0"/>
    <w:lvl w:ilvl="0" w:tplc="956E068E">
      <w:start w:val="1"/>
      <w:numFmt w:val="decimal"/>
      <w:lvlText w:val="%1."/>
      <w:lvlJc w:val="left"/>
      <w:pPr>
        <w:ind w:left="720" w:hanging="360"/>
      </w:pPr>
      <w:rPr>
        <w:rFonts w:hint="default"/>
        <w:b/>
        <w:bCs/>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11D1877"/>
    <w:multiLevelType w:val="hybridMultilevel"/>
    <w:tmpl w:val="44666F5A"/>
    <w:lvl w:ilvl="0" w:tplc="3EEC4C60">
      <w:start w:val="1"/>
      <w:numFmt w:val="lowerLetter"/>
      <w:lvlText w:val="%1)"/>
      <w:lvlJc w:val="left"/>
      <w:pPr>
        <w:ind w:left="1080" w:hanging="360"/>
      </w:pPr>
      <w:rPr>
        <w:b/>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26D31AAB"/>
    <w:multiLevelType w:val="hybridMultilevel"/>
    <w:tmpl w:val="B0B46A34"/>
    <w:lvl w:ilvl="0" w:tplc="340A000F">
      <w:start w:val="1"/>
      <w:numFmt w:val="decimal"/>
      <w:lvlText w:val="%1."/>
      <w:lvlJc w:val="left"/>
      <w:pPr>
        <w:ind w:left="720" w:hanging="360"/>
      </w:pPr>
      <w:rPr>
        <w:rFonts w:hint="default"/>
        <w:b/>
        <w:bCs/>
      </w:rPr>
    </w:lvl>
    <w:lvl w:ilvl="1" w:tplc="BE88DD32">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9670C2C"/>
    <w:multiLevelType w:val="hybridMultilevel"/>
    <w:tmpl w:val="05D88B74"/>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E0063B"/>
    <w:multiLevelType w:val="hybridMultilevel"/>
    <w:tmpl w:val="5AD889A4"/>
    <w:lvl w:ilvl="0" w:tplc="FFFFFFFF">
      <w:start w:val="1"/>
      <w:numFmt w:val="lowerLetter"/>
      <w:lvlText w:val="%1)"/>
      <w:lvlJc w:val="left"/>
      <w:pPr>
        <w:ind w:left="1440" w:hanging="360"/>
      </w:pPr>
    </w:lvl>
    <w:lvl w:ilvl="1" w:tplc="CCD24A84">
      <w:start w:val="1"/>
      <w:numFmt w:val="lowerLetter"/>
      <w:lvlText w:val="%2)"/>
      <w:lvlJc w:val="left"/>
      <w:pPr>
        <w:ind w:left="216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539A0E4E"/>
    <w:multiLevelType w:val="multilevel"/>
    <w:tmpl w:val="613C9B34"/>
    <w:lvl w:ilvl="0">
      <w:start w:val="1"/>
      <w:numFmt w:val="decimal"/>
      <w:lvlText w:val="%1."/>
      <w:lvlJc w:val="left"/>
      <w:pPr>
        <w:ind w:left="3905" w:hanging="360"/>
      </w:pPr>
      <w:rPr>
        <w:b/>
        <w:i w:val="0"/>
        <w:iCs/>
      </w:rPr>
    </w:lvl>
    <w:lvl w:ilvl="1">
      <w:start w:val="1"/>
      <w:numFmt w:val="lowerLetter"/>
      <w:lvlText w:val="%2."/>
      <w:lvlJc w:val="left"/>
      <w:pPr>
        <w:ind w:left="1440" w:hanging="360"/>
      </w:pPr>
    </w:lvl>
    <w:lvl w:ilvl="2">
      <w:start w:val="1"/>
      <w:numFmt w:val="lowerRoman"/>
      <w:lvlText w:val="%3."/>
      <w:lvlJc w:val="right"/>
      <w:pPr>
        <w:ind w:left="2160" w:hanging="180"/>
      </w:pPr>
      <w:rPr>
        <w:i w:val="0"/>
        <w:i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F83E6A"/>
    <w:multiLevelType w:val="hybridMultilevel"/>
    <w:tmpl w:val="AAA4D6D4"/>
    <w:lvl w:ilvl="0" w:tplc="340A0015">
      <w:start w:val="1"/>
      <w:numFmt w:val="upperLetter"/>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B48524D"/>
    <w:multiLevelType w:val="hybridMultilevel"/>
    <w:tmpl w:val="C708369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6"/>
  </w:num>
  <w:num w:numId="5">
    <w:abstractNumId w:val="1"/>
  </w:num>
  <w:num w:numId="6">
    <w:abstractNumId w:val="0"/>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33"/>
    <w:rsid w:val="000011FD"/>
    <w:rsid w:val="00002A51"/>
    <w:rsid w:val="00011B4B"/>
    <w:rsid w:val="00022B05"/>
    <w:rsid w:val="00023392"/>
    <w:rsid w:val="0002681E"/>
    <w:rsid w:val="00026A66"/>
    <w:rsid w:val="00027547"/>
    <w:rsid w:val="000277C9"/>
    <w:rsid w:val="00034838"/>
    <w:rsid w:val="00042059"/>
    <w:rsid w:val="00042332"/>
    <w:rsid w:val="0004434E"/>
    <w:rsid w:val="0004512B"/>
    <w:rsid w:val="000457DD"/>
    <w:rsid w:val="0004641D"/>
    <w:rsid w:val="00052656"/>
    <w:rsid w:val="00052AD4"/>
    <w:rsid w:val="00055D4A"/>
    <w:rsid w:val="00056B2F"/>
    <w:rsid w:val="00060587"/>
    <w:rsid w:val="00064649"/>
    <w:rsid w:val="000667D4"/>
    <w:rsid w:val="000724A4"/>
    <w:rsid w:val="00075644"/>
    <w:rsid w:val="000942E4"/>
    <w:rsid w:val="000A4735"/>
    <w:rsid w:val="000A5BC5"/>
    <w:rsid w:val="000B1452"/>
    <w:rsid w:val="000B2FB5"/>
    <w:rsid w:val="000B4B3B"/>
    <w:rsid w:val="000B785F"/>
    <w:rsid w:val="000D3D18"/>
    <w:rsid w:val="000D4057"/>
    <w:rsid w:val="000D45D8"/>
    <w:rsid w:val="000D5714"/>
    <w:rsid w:val="000D5FBD"/>
    <w:rsid w:val="000D749A"/>
    <w:rsid w:val="000F28C8"/>
    <w:rsid w:val="0010427A"/>
    <w:rsid w:val="001050D4"/>
    <w:rsid w:val="001069FA"/>
    <w:rsid w:val="0010753E"/>
    <w:rsid w:val="00110C83"/>
    <w:rsid w:val="00112BD3"/>
    <w:rsid w:val="00113791"/>
    <w:rsid w:val="001178AC"/>
    <w:rsid w:val="001204FD"/>
    <w:rsid w:val="00123312"/>
    <w:rsid w:val="00123720"/>
    <w:rsid w:val="00124BC6"/>
    <w:rsid w:val="00124BF4"/>
    <w:rsid w:val="001253BF"/>
    <w:rsid w:val="0012556C"/>
    <w:rsid w:val="00127A53"/>
    <w:rsid w:val="00127BAB"/>
    <w:rsid w:val="001313BB"/>
    <w:rsid w:val="00142193"/>
    <w:rsid w:val="00142E02"/>
    <w:rsid w:val="00143809"/>
    <w:rsid w:val="00144592"/>
    <w:rsid w:val="00157B37"/>
    <w:rsid w:val="001616E7"/>
    <w:rsid w:val="00161EB5"/>
    <w:rsid w:val="00172F6A"/>
    <w:rsid w:val="00173CD3"/>
    <w:rsid w:val="00176CA3"/>
    <w:rsid w:val="00177F8E"/>
    <w:rsid w:val="0018088A"/>
    <w:rsid w:val="00180A76"/>
    <w:rsid w:val="00180AA8"/>
    <w:rsid w:val="001814F4"/>
    <w:rsid w:val="001824E8"/>
    <w:rsid w:val="001826C0"/>
    <w:rsid w:val="00182D24"/>
    <w:rsid w:val="00183CDE"/>
    <w:rsid w:val="00184861"/>
    <w:rsid w:val="00194BCC"/>
    <w:rsid w:val="001956FC"/>
    <w:rsid w:val="001A28E8"/>
    <w:rsid w:val="001B0669"/>
    <w:rsid w:val="001B3E91"/>
    <w:rsid w:val="001B41B4"/>
    <w:rsid w:val="001B4CC2"/>
    <w:rsid w:val="001B63AC"/>
    <w:rsid w:val="001C5E7A"/>
    <w:rsid w:val="001D1FFD"/>
    <w:rsid w:val="001D55EE"/>
    <w:rsid w:val="001E0F92"/>
    <w:rsid w:val="001E26C6"/>
    <w:rsid w:val="001E3774"/>
    <w:rsid w:val="001F2957"/>
    <w:rsid w:val="0020209E"/>
    <w:rsid w:val="00204E93"/>
    <w:rsid w:val="0020549D"/>
    <w:rsid w:val="00206866"/>
    <w:rsid w:val="00210970"/>
    <w:rsid w:val="002218E4"/>
    <w:rsid w:val="002312BD"/>
    <w:rsid w:val="0023188D"/>
    <w:rsid w:val="00235F01"/>
    <w:rsid w:val="00240184"/>
    <w:rsid w:val="00243A5E"/>
    <w:rsid w:val="00254C55"/>
    <w:rsid w:val="00262019"/>
    <w:rsid w:val="00262DF2"/>
    <w:rsid w:val="00266897"/>
    <w:rsid w:val="00266C35"/>
    <w:rsid w:val="0027712E"/>
    <w:rsid w:val="00281A39"/>
    <w:rsid w:val="00283275"/>
    <w:rsid w:val="00295F3A"/>
    <w:rsid w:val="002967B7"/>
    <w:rsid w:val="00296F3D"/>
    <w:rsid w:val="002A64BE"/>
    <w:rsid w:val="002A7344"/>
    <w:rsid w:val="002B1406"/>
    <w:rsid w:val="002B1685"/>
    <w:rsid w:val="002C1493"/>
    <w:rsid w:val="002C36E8"/>
    <w:rsid w:val="002C5435"/>
    <w:rsid w:val="002C75D0"/>
    <w:rsid w:val="002D12D3"/>
    <w:rsid w:val="002D241F"/>
    <w:rsid w:val="002D3512"/>
    <w:rsid w:val="002D483E"/>
    <w:rsid w:val="002D63E3"/>
    <w:rsid w:val="002D6D5A"/>
    <w:rsid w:val="002E00BF"/>
    <w:rsid w:val="002E0E8F"/>
    <w:rsid w:val="002E37B1"/>
    <w:rsid w:val="002E44E1"/>
    <w:rsid w:val="002F2989"/>
    <w:rsid w:val="002F4977"/>
    <w:rsid w:val="002F6189"/>
    <w:rsid w:val="00301921"/>
    <w:rsid w:val="0030520B"/>
    <w:rsid w:val="00306B0D"/>
    <w:rsid w:val="00307851"/>
    <w:rsid w:val="00313C79"/>
    <w:rsid w:val="003147D5"/>
    <w:rsid w:val="00316375"/>
    <w:rsid w:val="00316B7D"/>
    <w:rsid w:val="00316FAB"/>
    <w:rsid w:val="00317BCD"/>
    <w:rsid w:val="003249BD"/>
    <w:rsid w:val="003321BA"/>
    <w:rsid w:val="00333131"/>
    <w:rsid w:val="00343764"/>
    <w:rsid w:val="00344E33"/>
    <w:rsid w:val="0034530F"/>
    <w:rsid w:val="00351A4B"/>
    <w:rsid w:val="003540F0"/>
    <w:rsid w:val="003556CD"/>
    <w:rsid w:val="00356B4C"/>
    <w:rsid w:val="0035762D"/>
    <w:rsid w:val="0035790F"/>
    <w:rsid w:val="003628E0"/>
    <w:rsid w:val="00362E00"/>
    <w:rsid w:val="00363349"/>
    <w:rsid w:val="00364B55"/>
    <w:rsid w:val="00365A03"/>
    <w:rsid w:val="003672A0"/>
    <w:rsid w:val="00372C03"/>
    <w:rsid w:val="003738F1"/>
    <w:rsid w:val="00373C98"/>
    <w:rsid w:val="00373EF2"/>
    <w:rsid w:val="003759A1"/>
    <w:rsid w:val="00380CD3"/>
    <w:rsid w:val="00385438"/>
    <w:rsid w:val="00386C70"/>
    <w:rsid w:val="0039304F"/>
    <w:rsid w:val="003961B3"/>
    <w:rsid w:val="003A1BBE"/>
    <w:rsid w:val="003A4209"/>
    <w:rsid w:val="003B0032"/>
    <w:rsid w:val="003B3317"/>
    <w:rsid w:val="003B6677"/>
    <w:rsid w:val="003B67B4"/>
    <w:rsid w:val="003B6FA3"/>
    <w:rsid w:val="003B7569"/>
    <w:rsid w:val="003C0325"/>
    <w:rsid w:val="003C1E94"/>
    <w:rsid w:val="003C395F"/>
    <w:rsid w:val="003C4097"/>
    <w:rsid w:val="003C53C0"/>
    <w:rsid w:val="003D01B3"/>
    <w:rsid w:val="003D3413"/>
    <w:rsid w:val="003D5383"/>
    <w:rsid w:val="003D563E"/>
    <w:rsid w:val="003E0986"/>
    <w:rsid w:val="003E0EA5"/>
    <w:rsid w:val="003E65D8"/>
    <w:rsid w:val="003E6E53"/>
    <w:rsid w:val="003E7977"/>
    <w:rsid w:val="003F0E6A"/>
    <w:rsid w:val="003F3377"/>
    <w:rsid w:val="003F39F0"/>
    <w:rsid w:val="003F71BC"/>
    <w:rsid w:val="00400D6F"/>
    <w:rsid w:val="0040321C"/>
    <w:rsid w:val="004038D5"/>
    <w:rsid w:val="004043F8"/>
    <w:rsid w:val="00404ACA"/>
    <w:rsid w:val="00422955"/>
    <w:rsid w:val="00422AD5"/>
    <w:rsid w:val="004234D2"/>
    <w:rsid w:val="004249B8"/>
    <w:rsid w:val="00425559"/>
    <w:rsid w:val="00425744"/>
    <w:rsid w:val="00425E9E"/>
    <w:rsid w:val="00430FE4"/>
    <w:rsid w:val="004366B3"/>
    <w:rsid w:val="00436840"/>
    <w:rsid w:val="004417A8"/>
    <w:rsid w:val="00442679"/>
    <w:rsid w:val="00443622"/>
    <w:rsid w:val="00444702"/>
    <w:rsid w:val="00444BB7"/>
    <w:rsid w:val="00446C61"/>
    <w:rsid w:val="00451B37"/>
    <w:rsid w:val="004541C0"/>
    <w:rsid w:val="00463113"/>
    <w:rsid w:val="00465043"/>
    <w:rsid w:val="004749CF"/>
    <w:rsid w:val="004942DB"/>
    <w:rsid w:val="00495B66"/>
    <w:rsid w:val="004973DC"/>
    <w:rsid w:val="004A11F8"/>
    <w:rsid w:val="004A46CA"/>
    <w:rsid w:val="004A7C89"/>
    <w:rsid w:val="004B7C91"/>
    <w:rsid w:val="004C4E71"/>
    <w:rsid w:val="004E151E"/>
    <w:rsid w:val="004E1BCE"/>
    <w:rsid w:val="004E2FE2"/>
    <w:rsid w:val="004E39B9"/>
    <w:rsid w:val="004E7DE0"/>
    <w:rsid w:val="004F0F85"/>
    <w:rsid w:val="004F133D"/>
    <w:rsid w:val="004F32B0"/>
    <w:rsid w:val="004F7557"/>
    <w:rsid w:val="0050537D"/>
    <w:rsid w:val="005068E4"/>
    <w:rsid w:val="0050773C"/>
    <w:rsid w:val="00512F57"/>
    <w:rsid w:val="0051352B"/>
    <w:rsid w:val="00514B7F"/>
    <w:rsid w:val="00515CBA"/>
    <w:rsid w:val="00520380"/>
    <w:rsid w:val="00522AB5"/>
    <w:rsid w:val="0054065A"/>
    <w:rsid w:val="00543718"/>
    <w:rsid w:val="00545A92"/>
    <w:rsid w:val="00552586"/>
    <w:rsid w:val="00554C9A"/>
    <w:rsid w:val="00555A0C"/>
    <w:rsid w:val="00556BDF"/>
    <w:rsid w:val="0055757B"/>
    <w:rsid w:val="00560388"/>
    <w:rsid w:val="0056184A"/>
    <w:rsid w:val="005753AC"/>
    <w:rsid w:val="00575BB8"/>
    <w:rsid w:val="0059082C"/>
    <w:rsid w:val="00590E2E"/>
    <w:rsid w:val="0059176F"/>
    <w:rsid w:val="00595A03"/>
    <w:rsid w:val="0059767B"/>
    <w:rsid w:val="00597825"/>
    <w:rsid w:val="005A2A7A"/>
    <w:rsid w:val="005A3AA0"/>
    <w:rsid w:val="005A632E"/>
    <w:rsid w:val="005A72D2"/>
    <w:rsid w:val="005A78BC"/>
    <w:rsid w:val="005B06EA"/>
    <w:rsid w:val="005B6D77"/>
    <w:rsid w:val="005C1AA7"/>
    <w:rsid w:val="005C3B3B"/>
    <w:rsid w:val="005C5579"/>
    <w:rsid w:val="005C5CE9"/>
    <w:rsid w:val="005D0C65"/>
    <w:rsid w:val="005D37AD"/>
    <w:rsid w:val="005D4767"/>
    <w:rsid w:val="005D4F52"/>
    <w:rsid w:val="005D548E"/>
    <w:rsid w:val="005D5C0A"/>
    <w:rsid w:val="005E58B7"/>
    <w:rsid w:val="005E5C44"/>
    <w:rsid w:val="005F2A1E"/>
    <w:rsid w:val="006041CD"/>
    <w:rsid w:val="0061767F"/>
    <w:rsid w:val="00621DF6"/>
    <w:rsid w:val="0062414F"/>
    <w:rsid w:val="006322BB"/>
    <w:rsid w:val="006336E2"/>
    <w:rsid w:val="006438CB"/>
    <w:rsid w:val="00643ECB"/>
    <w:rsid w:val="00645A26"/>
    <w:rsid w:val="006462CD"/>
    <w:rsid w:val="00647957"/>
    <w:rsid w:val="00647A1C"/>
    <w:rsid w:val="006552A9"/>
    <w:rsid w:val="00663A6D"/>
    <w:rsid w:val="00664181"/>
    <w:rsid w:val="006655F7"/>
    <w:rsid w:val="00665955"/>
    <w:rsid w:val="0066684D"/>
    <w:rsid w:val="00666C75"/>
    <w:rsid w:val="006728C8"/>
    <w:rsid w:val="006740FB"/>
    <w:rsid w:val="0068179B"/>
    <w:rsid w:val="006869C6"/>
    <w:rsid w:val="00690662"/>
    <w:rsid w:val="006913C4"/>
    <w:rsid w:val="006A004C"/>
    <w:rsid w:val="006A1A39"/>
    <w:rsid w:val="006A2614"/>
    <w:rsid w:val="006A29CA"/>
    <w:rsid w:val="006A4EEC"/>
    <w:rsid w:val="006B0B12"/>
    <w:rsid w:val="006B164E"/>
    <w:rsid w:val="006B1EFD"/>
    <w:rsid w:val="006B22F6"/>
    <w:rsid w:val="006B2C3F"/>
    <w:rsid w:val="006B2C5C"/>
    <w:rsid w:val="006B5187"/>
    <w:rsid w:val="006B7353"/>
    <w:rsid w:val="006C0530"/>
    <w:rsid w:val="006C37C6"/>
    <w:rsid w:val="006C73B0"/>
    <w:rsid w:val="006C7ABD"/>
    <w:rsid w:val="006D0B1A"/>
    <w:rsid w:val="006D443E"/>
    <w:rsid w:val="006E0EBE"/>
    <w:rsid w:val="006E25AC"/>
    <w:rsid w:val="006E6DAF"/>
    <w:rsid w:val="006F0850"/>
    <w:rsid w:val="006F28EE"/>
    <w:rsid w:val="006F5540"/>
    <w:rsid w:val="006F71F1"/>
    <w:rsid w:val="007026BA"/>
    <w:rsid w:val="0070584B"/>
    <w:rsid w:val="0070671C"/>
    <w:rsid w:val="007173C6"/>
    <w:rsid w:val="00725899"/>
    <w:rsid w:val="007274EC"/>
    <w:rsid w:val="00736D44"/>
    <w:rsid w:val="00745DA0"/>
    <w:rsid w:val="00747CEB"/>
    <w:rsid w:val="00750978"/>
    <w:rsid w:val="0076044E"/>
    <w:rsid w:val="00760457"/>
    <w:rsid w:val="00763903"/>
    <w:rsid w:val="007741F7"/>
    <w:rsid w:val="00781168"/>
    <w:rsid w:val="007813EB"/>
    <w:rsid w:val="00782DEF"/>
    <w:rsid w:val="007851FA"/>
    <w:rsid w:val="0078569B"/>
    <w:rsid w:val="00794CAB"/>
    <w:rsid w:val="0079561D"/>
    <w:rsid w:val="00797580"/>
    <w:rsid w:val="007A3259"/>
    <w:rsid w:val="007A6C64"/>
    <w:rsid w:val="007B17A6"/>
    <w:rsid w:val="007B3DB0"/>
    <w:rsid w:val="007B63B7"/>
    <w:rsid w:val="007C0500"/>
    <w:rsid w:val="007C0689"/>
    <w:rsid w:val="007C2881"/>
    <w:rsid w:val="007C2AA1"/>
    <w:rsid w:val="007C2FCC"/>
    <w:rsid w:val="007C57B6"/>
    <w:rsid w:val="007C647F"/>
    <w:rsid w:val="007C7953"/>
    <w:rsid w:val="007D0A4B"/>
    <w:rsid w:val="007D2560"/>
    <w:rsid w:val="007D65E2"/>
    <w:rsid w:val="007D6CCF"/>
    <w:rsid w:val="007E0E68"/>
    <w:rsid w:val="007E152E"/>
    <w:rsid w:val="007E2025"/>
    <w:rsid w:val="007E2EF9"/>
    <w:rsid w:val="007E338C"/>
    <w:rsid w:val="007E4AE0"/>
    <w:rsid w:val="007F2462"/>
    <w:rsid w:val="00802BAF"/>
    <w:rsid w:val="00804731"/>
    <w:rsid w:val="0080543D"/>
    <w:rsid w:val="0080579A"/>
    <w:rsid w:val="008063B8"/>
    <w:rsid w:val="00813AA8"/>
    <w:rsid w:val="00832A68"/>
    <w:rsid w:val="008345EB"/>
    <w:rsid w:val="00841531"/>
    <w:rsid w:val="008421A6"/>
    <w:rsid w:val="00845BD6"/>
    <w:rsid w:val="0084610C"/>
    <w:rsid w:val="008507B1"/>
    <w:rsid w:val="00850CF7"/>
    <w:rsid w:val="00852822"/>
    <w:rsid w:val="00857745"/>
    <w:rsid w:val="0086139C"/>
    <w:rsid w:val="008665F0"/>
    <w:rsid w:val="00873BC6"/>
    <w:rsid w:val="008830CF"/>
    <w:rsid w:val="00886879"/>
    <w:rsid w:val="00887B5C"/>
    <w:rsid w:val="008A506C"/>
    <w:rsid w:val="008B19F1"/>
    <w:rsid w:val="008B1E61"/>
    <w:rsid w:val="008B5300"/>
    <w:rsid w:val="008B75CC"/>
    <w:rsid w:val="008B7A4F"/>
    <w:rsid w:val="008C27AA"/>
    <w:rsid w:val="008D1EB9"/>
    <w:rsid w:val="008D66FD"/>
    <w:rsid w:val="008E3645"/>
    <w:rsid w:val="008E5DF1"/>
    <w:rsid w:val="008F0492"/>
    <w:rsid w:val="008F31FB"/>
    <w:rsid w:val="00905491"/>
    <w:rsid w:val="00912385"/>
    <w:rsid w:val="00914A44"/>
    <w:rsid w:val="009206DE"/>
    <w:rsid w:val="00924EB5"/>
    <w:rsid w:val="0093393C"/>
    <w:rsid w:val="0093583D"/>
    <w:rsid w:val="0093767D"/>
    <w:rsid w:val="009420BD"/>
    <w:rsid w:val="00943F84"/>
    <w:rsid w:val="0094522F"/>
    <w:rsid w:val="00945824"/>
    <w:rsid w:val="00954706"/>
    <w:rsid w:val="00963A53"/>
    <w:rsid w:val="00967139"/>
    <w:rsid w:val="009674A7"/>
    <w:rsid w:val="0097193C"/>
    <w:rsid w:val="0097464D"/>
    <w:rsid w:val="00980064"/>
    <w:rsid w:val="00981127"/>
    <w:rsid w:val="00984774"/>
    <w:rsid w:val="00984E89"/>
    <w:rsid w:val="00986524"/>
    <w:rsid w:val="009869B3"/>
    <w:rsid w:val="00993D11"/>
    <w:rsid w:val="00997327"/>
    <w:rsid w:val="009A00A8"/>
    <w:rsid w:val="009A0557"/>
    <w:rsid w:val="009A5F27"/>
    <w:rsid w:val="009A6F5F"/>
    <w:rsid w:val="009B1E28"/>
    <w:rsid w:val="009B2E82"/>
    <w:rsid w:val="009C0CB4"/>
    <w:rsid w:val="009C2D99"/>
    <w:rsid w:val="009D24BB"/>
    <w:rsid w:val="009D75CF"/>
    <w:rsid w:val="009E052E"/>
    <w:rsid w:val="009E0A8F"/>
    <w:rsid w:val="009F024E"/>
    <w:rsid w:val="009F0DB4"/>
    <w:rsid w:val="009F7397"/>
    <w:rsid w:val="009F7A19"/>
    <w:rsid w:val="009F7FFB"/>
    <w:rsid w:val="00A00A69"/>
    <w:rsid w:val="00A016AD"/>
    <w:rsid w:val="00A02F07"/>
    <w:rsid w:val="00A06279"/>
    <w:rsid w:val="00A10247"/>
    <w:rsid w:val="00A121A4"/>
    <w:rsid w:val="00A134E7"/>
    <w:rsid w:val="00A165A1"/>
    <w:rsid w:val="00A179EA"/>
    <w:rsid w:val="00A22F73"/>
    <w:rsid w:val="00A25A3E"/>
    <w:rsid w:val="00A27156"/>
    <w:rsid w:val="00A3029A"/>
    <w:rsid w:val="00A30786"/>
    <w:rsid w:val="00A30E2A"/>
    <w:rsid w:val="00A32F09"/>
    <w:rsid w:val="00A33A12"/>
    <w:rsid w:val="00A3658D"/>
    <w:rsid w:val="00A461F6"/>
    <w:rsid w:val="00A47D0E"/>
    <w:rsid w:val="00A51224"/>
    <w:rsid w:val="00A57CC0"/>
    <w:rsid w:val="00A607C8"/>
    <w:rsid w:val="00A6498D"/>
    <w:rsid w:val="00A721B7"/>
    <w:rsid w:val="00A7328D"/>
    <w:rsid w:val="00A77CC9"/>
    <w:rsid w:val="00A77E87"/>
    <w:rsid w:val="00A77EF1"/>
    <w:rsid w:val="00A92EA5"/>
    <w:rsid w:val="00A934C1"/>
    <w:rsid w:val="00A93B08"/>
    <w:rsid w:val="00A95527"/>
    <w:rsid w:val="00A95B87"/>
    <w:rsid w:val="00AA3C2C"/>
    <w:rsid w:val="00AA5B3A"/>
    <w:rsid w:val="00AB07ED"/>
    <w:rsid w:val="00AB271C"/>
    <w:rsid w:val="00AB6BA2"/>
    <w:rsid w:val="00AC136E"/>
    <w:rsid w:val="00AC1A04"/>
    <w:rsid w:val="00AD025A"/>
    <w:rsid w:val="00AD559C"/>
    <w:rsid w:val="00AE0E79"/>
    <w:rsid w:val="00AE22C7"/>
    <w:rsid w:val="00AE3BF6"/>
    <w:rsid w:val="00AE6157"/>
    <w:rsid w:val="00AF052C"/>
    <w:rsid w:val="00AF1943"/>
    <w:rsid w:val="00AF2BF6"/>
    <w:rsid w:val="00AF54EE"/>
    <w:rsid w:val="00AF56D5"/>
    <w:rsid w:val="00AF7B07"/>
    <w:rsid w:val="00B00650"/>
    <w:rsid w:val="00B11C9A"/>
    <w:rsid w:val="00B12064"/>
    <w:rsid w:val="00B158A4"/>
    <w:rsid w:val="00B1671C"/>
    <w:rsid w:val="00B2569F"/>
    <w:rsid w:val="00B2709E"/>
    <w:rsid w:val="00B27F65"/>
    <w:rsid w:val="00B355FD"/>
    <w:rsid w:val="00B36B74"/>
    <w:rsid w:val="00B44FA9"/>
    <w:rsid w:val="00B4736E"/>
    <w:rsid w:val="00B525ED"/>
    <w:rsid w:val="00B64D2F"/>
    <w:rsid w:val="00B65A15"/>
    <w:rsid w:val="00B661FD"/>
    <w:rsid w:val="00B67A95"/>
    <w:rsid w:val="00B724AD"/>
    <w:rsid w:val="00B801B2"/>
    <w:rsid w:val="00B80814"/>
    <w:rsid w:val="00B81ACC"/>
    <w:rsid w:val="00B8370E"/>
    <w:rsid w:val="00B8429E"/>
    <w:rsid w:val="00B86293"/>
    <w:rsid w:val="00BA0B0A"/>
    <w:rsid w:val="00BA143B"/>
    <w:rsid w:val="00BA3FFD"/>
    <w:rsid w:val="00BA425D"/>
    <w:rsid w:val="00BA4779"/>
    <w:rsid w:val="00BA5B10"/>
    <w:rsid w:val="00BA63FC"/>
    <w:rsid w:val="00BA65FB"/>
    <w:rsid w:val="00BB042D"/>
    <w:rsid w:val="00BB4581"/>
    <w:rsid w:val="00BB615A"/>
    <w:rsid w:val="00BC3157"/>
    <w:rsid w:val="00BC6B1A"/>
    <w:rsid w:val="00BD0866"/>
    <w:rsid w:val="00BD0E48"/>
    <w:rsid w:val="00BD1CEA"/>
    <w:rsid w:val="00BD2CFC"/>
    <w:rsid w:val="00BD6ED6"/>
    <w:rsid w:val="00BD7073"/>
    <w:rsid w:val="00BE3C0A"/>
    <w:rsid w:val="00BE451E"/>
    <w:rsid w:val="00BE4574"/>
    <w:rsid w:val="00BE7A63"/>
    <w:rsid w:val="00BF029F"/>
    <w:rsid w:val="00BF154B"/>
    <w:rsid w:val="00BF5FB9"/>
    <w:rsid w:val="00C002CC"/>
    <w:rsid w:val="00C0538B"/>
    <w:rsid w:val="00C05777"/>
    <w:rsid w:val="00C14F98"/>
    <w:rsid w:val="00C2457C"/>
    <w:rsid w:val="00C30944"/>
    <w:rsid w:val="00C33CDD"/>
    <w:rsid w:val="00C37B85"/>
    <w:rsid w:val="00C43DFE"/>
    <w:rsid w:val="00C44A8A"/>
    <w:rsid w:val="00C51B18"/>
    <w:rsid w:val="00C51CD3"/>
    <w:rsid w:val="00C51EC2"/>
    <w:rsid w:val="00C54B34"/>
    <w:rsid w:val="00C54BBE"/>
    <w:rsid w:val="00C567DD"/>
    <w:rsid w:val="00C62674"/>
    <w:rsid w:val="00C631C7"/>
    <w:rsid w:val="00C654AE"/>
    <w:rsid w:val="00C6738A"/>
    <w:rsid w:val="00C727C7"/>
    <w:rsid w:val="00C76EE0"/>
    <w:rsid w:val="00C851B2"/>
    <w:rsid w:val="00C864B3"/>
    <w:rsid w:val="00C8709B"/>
    <w:rsid w:val="00C91256"/>
    <w:rsid w:val="00C954DB"/>
    <w:rsid w:val="00C9567C"/>
    <w:rsid w:val="00C95AE9"/>
    <w:rsid w:val="00CA2AA7"/>
    <w:rsid w:val="00CA4266"/>
    <w:rsid w:val="00CB1E42"/>
    <w:rsid w:val="00CB32DB"/>
    <w:rsid w:val="00CB386C"/>
    <w:rsid w:val="00CB4CE5"/>
    <w:rsid w:val="00CB5D28"/>
    <w:rsid w:val="00CB71C5"/>
    <w:rsid w:val="00CB7664"/>
    <w:rsid w:val="00CB7E45"/>
    <w:rsid w:val="00CC1AA6"/>
    <w:rsid w:val="00CC259F"/>
    <w:rsid w:val="00CC4514"/>
    <w:rsid w:val="00CD2C6F"/>
    <w:rsid w:val="00CD409A"/>
    <w:rsid w:val="00CD7D4E"/>
    <w:rsid w:val="00CE13E9"/>
    <w:rsid w:val="00CE340A"/>
    <w:rsid w:val="00CE3ADA"/>
    <w:rsid w:val="00CE5ADD"/>
    <w:rsid w:val="00CE6533"/>
    <w:rsid w:val="00CF083B"/>
    <w:rsid w:val="00CF1436"/>
    <w:rsid w:val="00CF48E1"/>
    <w:rsid w:val="00D02762"/>
    <w:rsid w:val="00D0282C"/>
    <w:rsid w:val="00D03355"/>
    <w:rsid w:val="00D06390"/>
    <w:rsid w:val="00D06692"/>
    <w:rsid w:val="00D1308B"/>
    <w:rsid w:val="00D16DF2"/>
    <w:rsid w:val="00D179DD"/>
    <w:rsid w:val="00D23360"/>
    <w:rsid w:val="00D26231"/>
    <w:rsid w:val="00D26C49"/>
    <w:rsid w:val="00D3306E"/>
    <w:rsid w:val="00D33A3B"/>
    <w:rsid w:val="00D45215"/>
    <w:rsid w:val="00D45F41"/>
    <w:rsid w:val="00D47FAC"/>
    <w:rsid w:val="00D518C0"/>
    <w:rsid w:val="00D57016"/>
    <w:rsid w:val="00D573CA"/>
    <w:rsid w:val="00D63993"/>
    <w:rsid w:val="00D6410F"/>
    <w:rsid w:val="00D67316"/>
    <w:rsid w:val="00D7111D"/>
    <w:rsid w:val="00D71BCC"/>
    <w:rsid w:val="00D840A9"/>
    <w:rsid w:val="00D86600"/>
    <w:rsid w:val="00D900E5"/>
    <w:rsid w:val="00D92BD5"/>
    <w:rsid w:val="00D95251"/>
    <w:rsid w:val="00DA03B6"/>
    <w:rsid w:val="00DA0EBB"/>
    <w:rsid w:val="00DA1558"/>
    <w:rsid w:val="00DA6F53"/>
    <w:rsid w:val="00DB2905"/>
    <w:rsid w:val="00DB4780"/>
    <w:rsid w:val="00DB53D9"/>
    <w:rsid w:val="00DC0C9D"/>
    <w:rsid w:val="00DC3F7D"/>
    <w:rsid w:val="00DC5EB3"/>
    <w:rsid w:val="00DC7FDC"/>
    <w:rsid w:val="00DD5735"/>
    <w:rsid w:val="00DD7DCF"/>
    <w:rsid w:val="00DE1126"/>
    <w:rsid w:val="00DE55CB"/>
    <w:rsid w:val="00DE5C88"/>
    <w:rsid w:val="00DE63D4"/>
    <w:rsid w:val="00DF029E"/>
    <w:rsid w:val="00E001E1"/>
    <w:rsid w:val="00E05C3C"/>
    <w:rsid w:val="00E0714C"/>
    <w:rsid w:val="00E10FF1"/>
    <w:rsid w:val="00E1347A"/>
    <w:rsid w:val="00E14C11"/>
    <w:rsid w:val="00E16174"/>
    <w:rsid w:val="00E16ACA"/>
    <w:rsid w:val="00E17DB7"/>
    <w:rsid w:val="00E22040"/>
    <w:rsid w:val="00E22AE4"/>
    <w:rsid w:val="00E27C40"/>
    <w:rsid w:val="00E328A1"/>
    <w:rsid w:val="00E402B3"/>
    <w:rsid w:val="00E40F32"/>
    <w:rsid w:val="00E4274B"/>
    <w:rsid w:val="00E432ED"/>
    <w:rsid w:val="00E46203"/>
    <w:rsid w:val="00E46EE6"/>
    <w:rsid w:val="00E52B3E"/>
    <w:rsid w:val="00E606B7"/>
    <w:rsid w:val="00E66E8B"/>
    <w:rsid w:val="00E67682"/>
    <w:rsid w:val="00E711FD"/>
    <w:rsid w:val="00E72BF6"/>
    <w:rsid w:val="00E73636"/>
    <w:rsid w:val="00E7417C"/>
    <w:rsid w:val="00E80D95"/>
    <w:rsid w:val="00E8261A"/>
    <w:rsid w:val="00E935E8"/>
    <w:rsid w:val="00E97076"/>
    <w:rsid w:val="00EA5594"/>
    <w:rsid w:val="00EB1481"/>
    <w:rsid w:val="00EB5863"/>
    <w:rsid w:val="00EC07DE"/>
    <w:rsid w:val="00EC34DE"/>
    <w:rsid w:val="00EC44E6"/>
    <w:rsid w:val="00EC667B"/>
    <w:rsid w:val="00ED67A0"/>
    <w:rsid w:val="00EE11D3"/>
    <w:rsid w:val="00EE4DC7"/>
    <w:rsid w:val="00EE519D"/>
    <w:rsid w:val="00EE51EA"/>
    <w:rsid w:val="00EE68C1"/>
    <w:rsid w:val="00EF017D"/>
    <w:rsid w:val="00EF3933"/>
    <w:rsid w:val="00EF3FEB"/>
    <w:rsid w:val="00F04E8D"/>
    <w:rsid w:val="00F054E6"/>
    <w:rsid w:val="00F0793A"/>
    <w:rsid w:val="00F113CB"/>
    <w:rsid w:val="00F1352A"/>
    <w:rsid w:val="00F15DA8"/>
    <w:rsid w:val="00F16022"/>
    <w:rsid w:val="00F17A5A"/>
    <w:rsid w:val="00F20333"/>
    <w:rsid w:val="00F2102A"/>
    <w:rsid w:val="00F21A02"/>
    <w:rsid w:val="00F25AA2"/>
    <w:rsid w:val="00F33999"/>
    <w:rsid w:val="00F362AA"/>
    <w:rsid w:val="00F416DD"/>
    <w:rsid w:val="00F42A17"/>
    <w:rsid w:val="00F43F47"/>
    <w:rsid w:val="00F454AE"/>
    <w:rsid w:val="00F539A3"/>
    <w:rsid w:val="00F56371"/>
    <w:rsid w:val="00F612FD"/>
    <w:rsid w:val="00F62199"/>
    <w:rsid w:val="00F62612"/>
    <w:rsid w:val="00F71D24"/>
    <w:rsid w:val="00F8362C"/>
    <w:rsid w:val="00F845C7"/>
    <w:rsid w:val="00F873BC"/>
    <w:rsid w:val="00F9179C"/>
    <w:rsid w:val="00F94505"/>
    <w:rsid w:val="00F95C41"/>
    <w:rsid w:val="00FA3E2C"/>
    <w:rsid w:val="00FA6353"/>
    <w:rsid w:val="00FB586E"/>
    <w:rsid w:val="00FB61B0"/>
    <w:rsid w:val="00FB70D4"/>
    <w:rsid w:val="00FB7FDA"/>
    <w:rsid w:val="00FC0DE5"/>
    <w:rsid w:val="00FE0AFF"/>
    <w:rsid w:val="00FF1B73"/>
    <w:rsid w:val="00FF28D7"/>
    <w:rsid w:val="00FF5B37"/>
    <w:rsid w:val="00FF7E3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430F"/>
  <w15:docId w15:val="{C293F674-508C-4C22-8062-C08AD97F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0D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16A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6ACA"/>
  </w:style>
  <w:style w:type="paragraph" w:styleId="Piedepgina">
    <w:name w:val="footer"/>
    <w:basedOn w:val="Normal"/>
    <w:link w:val="PiedepginaCar"/>
    <w:uiPriority w:val="99"/>
    <w:unhideWhenUsed/>
    <w:rsid w:val="00E16A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6ACA"/>
  </w:style>
  <w:style w:type="paragraph" w:styleId="Textodeglobo">
    <w:name w:val="Balloon Text"/>
    <w:basedOn w:val="Normal"/>
    <w:link w:val="TextodegloboCar"/>
    <w:uiPriority w:val="99"/>
    <w:semiHidden/>
    <w:unhideWhenUsed/>
    <w:rsid w:val="00E16A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6ACA"/>
    <w:rPr>
      <w:rFonts w:ascii="Tahoma" w:hAnsi="Tahoma" w:cs="Tahoma"/>
      <w:sz w:val="16"/>
      <w:szCs w:val="16"/>
    </w:rPr>
  </w:style>
  <w:style w:type="paragraph" w:styleId="Textonotapie">
    <w:name w:val="footnote text"/>
    <w:basedOn w:val="Normal"/>
    <w:link w:val="TextonotapieCar"/>
    <w:uiPriority w:val="99"/>
    <w:unhideWhenUsed/>
    <w:rsid w:val="001050D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1050D4"/>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1050D4"/>
    <w:pPr>
      <w:spacing w:line="240" w:lineRule="auto"/>
    </w:pPr>
    <w:rPr>
      <w:sz w:val="20"/>
      <w:szCs w:val="20"/>
    </w:rPr>
  </w:style>
  <w:style w:type="character" w:customStyle="1" w:styleId="TextocomentarioCar">
    <w:name w:val="Texto comentario Car"/>
    <w:basedOn w:val="Fuentedeprrafopredeter"/>
    <w:link w:val="Textocomentario"/>
    <w:uiPriority w:val="99"/>
    <w:rsid w:val="001050D4"/>
    <w:rPr>
      <w:rFonts w:ascii="Calibri" w:eastAsia="Calibri" w:hAnsi="Calibri" w:cs="Times New Roman"/>
      <w:sz w:val="20"/>
      <w:szCs w:val="20"/>
    </w:rPr>
  </w:style>
  <w:style w:type="paragraph" w:styleId="Prrafodelista">
    <w:name w:val="List Paragraph"/>
    <w:basedOn w:val="Normal"/>
    <w:uiPriority w:val="34"/>
    <w:qFormat/>
    <w:rsid w:val="001050D4"/>
    <w:pPr>
      <w:ind w:left="720"/>
      <w:contextualSpacing/>
    </w:pPr>
  </w:style>
  <w:style w:type="character" w:styleId="Refdenotaalpie">
    <w:name w:val="footnote reference"/>
    <w:basedOn w:val="Fuentedeprrafopredeter"/>
    <w:uiPriority w:val="99"/>
    <w:unhideWhenUsed/>
    <w:rsid w:val="001050D4"/>
    <w:rPr>
      <w:vertAlign w:val="superscript"/>
    </w:rPr>
  </w:style>
  <w:style w:type="character" w:styleId="Refdecomentario">
    <w:name w:val="annotation reference"/>
    <w:basedOn w:val="Fuentedeprrafopredeter"/>
    <w:uiPriority w:val="99"/>
    <w:semiHidden/>
    <w:unhideWhenUsed/>
    <w:rsid w:val="001050D4"/>
    <w:rPr>
      <w:sz w:val="16"/>
      <w:szCs w:val="16"/>
    </w:rPr>
  </w:style>
  <w:style w:type="paragraph" w:styleId="Asuntodelcomentario">
    <w:name w:val="annotation subject"/>
    <w:basedOn w:val="Textocomentario"/>
    <w:next w:val="Textocomentario"/>
    <w:link w:val="AsuntodelcomentarioCar"/>
    <w:uiPriority w:val="99"/>
    <w:semiHidden/>
    <w:unhideWhenUsed/>
    <w:rsid w:val="00745DA0"/>
    <w:rPr>
      <w:b/>
      <w:bCs/>
    </w:rPr>
  </w:style>
  <w:style w:type="character" w:customStyle="1" w:styleId="AsuntodelcomentarioCar">
    <w:name w:val="Asunto del comentario Car"/>
    <w:basedOn w:val="TextocomentarioCar"/>
    <w:link w:val="Asuntodelcomentario"/>
    <w:uiPriority w:val="99"/>
    <w:semiHidden/>
    <w:rsid w:val="00745DA0"/>
    <w:rPr>
      <w:rFonts w:ascii="Calibri" w:eastAsia="Calibri" w:hAnsi="Calibri" w:cs="Times New Roman"/>
      <w:b/>
      <w:bCs/>
      <w:sz w:val="20"/>
      <w:szCs w:val="20"/>
    </w:rPr>
  </w:style>
  <w:style w:type="character" w:styleId="Hipervnculo">
    <w:name w:val="Hyperlink"/>
    <w:basedOn w:val="Fuentedeprrafopredeter"/>
    <w:uiPriority w:val="99"/>
    <w:semiHidden/>
    <w:unhideWhenUsed/>
    <w:rsid w:val="00295F3A"/>
    <w:rPr>
      <w:color w:val="0000FF" w:themeColor="hyperlink"/>
      <w:u w:val="single"/>
    </w:rPr>
  </w:style>
  <w:style w:type="paragraph" w:customStyle="1" w:styleId="CharChar">
    <w:name w:val="Char Char"/>
    <w:basedOn w:val="Normal"/>
    <w:rsid w:val="00963A53"/>
    <w:pPr>
      <w:spacing w:after="160" w:line="240" w:lineRule="exact"/>
      <w:ind w:left="500"/>
      <w:jc w:val="center"/>
    </w:pPr>
    <w:rPr>
      <w:rFonts w:ascii="Verdana" w:eastAsia="Times New Roman" w:hAnsi="Verdana" w:cs="Arial"/>
      <w:b/>
      <w:sz w:val="20"/>
      <w:szCs w:val="20"/>
      <w:lang w:val="es-VE"/>
    </w:rPr>
  </w:style>
  <w:style w:type="paragraph" w:styleId="NormalWeb">
    <w:name w:val="Normal (Web)"/>
    <w:basedOn w:val="Normal"/>
    <w:uiPriority w:val="99"/>
    <w:unhideWhenUsed/>
    <w:rsid w:val="003E65D8"/>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apple-converted-space">
    <w:name w:val="apple-converted-space"/>
    <w:basedOn w:val="Fuentedeprrafopredeter"/>
    <w:rsid w:val="003E65D8"/>
  </w:style>
  <w:style w:type="paragraph" w:customStyle="1" w:styleId="Default">
    <w:name w:val="Default"/>
    <w:rsid w:val="009674A7"/>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semiHidden/>
    <w:unhideWhenUsed/>
    <w:rsid w:val="002A7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2A7344"/>
    <w:rPr>
      <w:rFonts w:ascii="Courier New" w:eastAsia="Times New Roman" w:hAnsi="Courier New" w:cs="Courier New"/>
      <w:sz w:val="20"/>
      <w:szCs w:val="20"/>
      <w:lang w:eastAsia="es-CL"/>
    </w:rPr>
  </w:style>
  <w:style w:type="paragraph" w:customStyle="1" w:styleId="ptabulado">
    <w:name w:val="ptabulado"/>
    <w:basedOn w:val="Normal"/>
    <w:rsid w:val="00886879"/>
    <w:pPr>
      <w:spacing w:before="100" w:beforeAutospacing="1" w:after="240" w:line="240" w:lineRule="auto"/>
      <w:ind w:hanging="360"/>
      <w:jc w:val="both"/>
    </w:pPr>
    <w:rPr>
      <w:rFonts w:ascii="Times New Roman" w:eastAsia="Times New Roman" w:hAnsi="Times New Roman"/>
      <w:sz w:val="24"/>
      <w:szCs w:val="24"/>
      <w:lang w:eastAsia="es-CL"/>
    </w:rPr>
  </w:style>
  <w:style w:type="table" w:styleId="Tablaconcuadrcula">
    <w:name w:val="Table Grid"/>
    <w:basedOn w:val="Tablanormal"/>
    <w:uiPriority w:val="59"/>
    <w:rsid w:val="0004434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D0E4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0E48"/>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BD0E48"/>
    <w:rPr>
      <w:vertAlign w:val="superscript"/>
    </w:rPr>
  </w:style>
  <w:style w:type="character" w:styleId="Textoennegrita">
    <w:name w:val="Strong"/>
    <w:basedOn w:val="Fuentedeprrafopredeter"/>
    <w:uiPriority w:val="22"/>
    <w:qFormat/>
    <w:rsid w:val="006C0530"/>
    <w:rPr>
      <w:b/>
      <w:bCs/>
    </w:rPr>
  </w:style>
  <w:style w:type="paragraph" w:styleId="Revisin">
    <w:name w:val="Revision"/>
    <w:hidden/>
    <w:uiPriority w:val="99"/>
    <w:semiHidden/>
    <w:rsid w:val="00984E89"/>
    <w:pPr>
      <w:spacing w:after="0" w:line="240" w:lineRule="auto"/>
    </w:pPr>
    <w:rPr>
      <w:rFonts w:ascii="Calibri" w:eastAsia="Calibri" w:hAnsi="Calibri" w:cs="Times New Roman"/>
    </w:rPr>
  </w:style>
  <w:style w:type="character" w:customStyle="1" w:styleId="SmartLink">
    <w:name w:val="Smart Link"/>
    <w:basedOn w:val="Fuentedeprrafopredeter"/>
    <w:uiPriority w:val="99"/>
    <w:semiHidden/>
    <w:unhideWhenUsed/>
    <w:rsid w:val="0093767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1597">
      <w:bodyDiv w:val="1"/>
      <w:marLeft w:val="0"/>
      <w:marRight w:val="0"/>
      <w:marTop w:val="0"/>
      <w:marBottom w:val="0"/>
      <w:divBdr>
        <w:top w:val="none" w:sz="0" w:space="0" w:color="auto"/>
        <w:left w:val="none" w:sz="0" w:space="0" w:color="auto"/>
        <w:bottom w:val="none" w:sz="0" w:space="0" w:color="auto"/>
        <w:right w:val="none" w:sz="0" w:space="0" w:color="auto"/>
      </w:divBdr>
    </w:div>
    <w:div w:id="113183067">
      <w:bodyDiv w:val="1"/>
      <w:marLeft w:val="0"/>
      <w:marRight w:val="0"/>
      <w:marTop w:val="0"/>
      <w:marBottom w:val="0"/>
      <w:divBdr>
        <w:top w:val="none" w:sz="0" w:space="0" w:color="auto"/>
        <w:left w:val="none" w:sz="0" w:space="0" w:color="auto"/>
        <w:bottom w:val="none" w:sz="0" w:space="0" w:color="auto"/>
        <w:right w:val="none" w:sz="0" w:space="0" w:color="auto"/>
      </w:divBdr>
    </w:div>
    <w:div w:id="255216142">
      <w:bodyDiv w:val="1"/>
      <w:marLeft w:val="0"/>
      <w:marRight w:val="0"/>
      <w:marTop w:val="0"/>
      <w:marBottom w:val="0"/>
      <w:divBdr>
        <w:top w:val="none" w:sz="0" w:space="0" w:color="auto"/>
        <w:left w:val="none" w:sz="0" w:space="0" w:color="auto"/>
        <w:bottom w:val="none" w:sz="0" w:space="0" w:color="auto"/>
        <w:right w:val="none" w:sz="0" w:space="0" w:color="auto"/>
      </w:divBdr>
    </w:div>
    <w:div w:id="374893764">
      <w:bodyDiv w:val="1"/>
      <w:marLeft w:val="0"/>
      <w:marRight w:val="0"/>
      <w:marTop w:val="0"/>
      <w:marBottom w:val="0"/>
      <w:divBdr>
        <w:top w:val="none" w:sz="0" w:space="0" w:color="auto"/>
        <w:left w:val="none" w:sz="0" w:space="0" w:color="auto"/>
        <w:bottom w:val="none" w:sz="0" w:space="0" w:color="auto"/>
        <w:right w:val="none" w:sz="0" w:space="0" w:color="auto"/>
      </w:divBdr>
    </w:div>
    <w:div w:id="682437983">
      <w:bodyDiv w:val="1"/>
      <w:marLeft w:val="0"/>
      <w:marRight w:val="0"/>
      <w:marTop w:val="0"/>
      <w:marBottom w:val="0"/>
      <w:divBdr>
        <w:top w:val="none" w:sz="0" w:space="0" w:color="auto"/>
        <w:left w:val="none" w:sz="0" w:space="0" w:color="auto"/>
        <w:bottom w:val="none" w:sz="0" w:space="0" w:color="auto"/>
        <w:right w:val="none" w:sz="0" w:space="0" w:color="auto"/>
      </w:divBdr>
    </w:div>
    <w:div w:id="701828688">
      <w:bodyDiv w:val="1"/>
      <w:marLeft w:val="0"/>
      <w:marRight w:val="0"/>
      <w:marTop w:val="0"/>
      <w:marBottom w:val="0"/>
      <w:divBdr>
        <w:top w:val="none" w:sz="0" w:space="0" w:color="auto"/>
        <w:left w:val="none" w:sz="0" w:space="0" w:color="auto"/>
        <w:bottom w:val="none" w:sz="0" w:space="0" w:color="auto"/>
        <w:right w:val="none" w:sz="0" w:space="0" w:color="auto"/>
      </w:divBdr>
    </w:div>
    <w:div w:id="810369595">
      <w:bodyDiv w:val="1"/>
      <w:marLeft w:val="0"/>
      <w:marRight w:val="0"/>
      <w:marTop w:val="0"/>
      <w:marBottom w:val="0"/>
      <w:divBdr>
        <w:top w:val="none" w:sz="0" w:space="0" w:color="auto"/>
        <w:left w:val="none" w:sz="0" w:space="0" w:color="auto"/>
        <w:bottom w:val="none" w:sz="0" w:space="0" w:color="auto"/>
        <w:right w:val="none" w:sz="0" w:space="0" w:color="auto"/>
      </w:divBdr>
    </w:div>
    <w:div w:id="843125450">
      <w:bodyDiv w:val="1"/>
      <w:marLeft w:val="0"/>
      <w:marRight w:val="0"/>
      <w:marTop w:val="0"/>
      <w:marBottom w:val="0"/>
      <w:divBdr>
        <w:top w:val="none" w:sz="0" w:space="0" w:color="auto"/>
        <w:left w:val="none" w:sz="0" w:space="0" w:color="auto"/>
        <w:bottom w:val="none" w:sz="0" w:space="0" w:color="auto"/>
        <w:right w:val="none" w:sz="0" w:space="0" w:color="auto"/>
      </w:divBdr>
    </w:div>
    <w:div w:id="884100950">
      <w:bodyDiv w:val="1"/>
      <w:marLeft w:val="0"/>
      <w:marRight w:val="0"/>
      <w:marTop w:val="0"/>
      <w:marBottom w:val="0"/>
      <w:divBdr>
        <w:top w:val="none" w:sz="0" w:space="0" w:color="auto"/>
        <w:left w:val="none" w:sz="0" w:space="0" w:color="auto"/>
        <w:bottom w:val="none" w:sz="0" w:space="0" w:color="auto"/>
        <w:right w:val="none" w:sz="0" w:space="0" w:color="auto"/>
      </w:divBdr>
    </w:div>
    <w:div w:id="940800935">
      <w:bodyDiv w:val="1"/>
      <w:marLeft w:val="0"/>
      <w:marRight w:val="0"/>
      <w:marTop w:val="0"/>
      <w:marBottom w:val="0"/>
      <w:divBdr>
        <w:top w:val="none" w:sz="0" w:space="0" w:color="auto"/>
        <w:left w:val="none" w:sz="0" w:space="0" w:color="auto"/>
        <w:bottom w:val="none" w:sz="0" w:space="0" w:color="auto"/>
        <w:right w:val="none" w:sz="0" w:space="0" w:color="auto"/>
      </w:divBdr>
    </w:div>
    <w:div w:id="1019086472">
      <w:bodyDiv w:val="1"/>
      <w:marLeft w:val="0"/>
      <w:marRight w:val="0"/>
      <w:marTop w:val="0"/>
      <w:marBottom w:val="0"/>
      <w:divBdr>
        <w:top w:val="none" w:sz="0" w:space="0" w:color="auto"/>
        <w:left w:val="none" w:sz="0" w:space="0" w:color="auto"/>
        <w:bottom w:val="none" w:sz="0" w:space="0" w:color="auto"/>
        <w:right w:val="none" w:sz="0" w:space="0" w:color="auto"/>
      </w:divBdr>
    </w:div>
    <w:div w:id="1120951742">
      <w:bodyDiv w:val="1"/>
      <w:marLeft w:val="0"/>
      <w:marRight w:val="0"/>
      <w:marTop w:val="0"/>
      <w:marBottom w:val="0"/>
      <w:divBdr>
        <w:top w:val="none" w:sz="0" w:space="0" w:color="auto"/>
        <w:left w:val="none" w:sz="0" w:space="0" w:color="auto"/>
        <w:bottom w:val="none" w:sz="0" w:space="0" w:color="auto"/>
        <w:right w:val="none" w:sz="0" w:space="0" w:color="auto"/>
      </w:divBdr>
    </w:div>
    <w:div w:id="1292979197">
      <w:bodyDiv w:val="1"/>
      <w:marLeft w:val="0"/>
      <w:marRight w:val="0"/>
      <w:marTop w:val="0"/>
      <w:marBottom w:val="0"/>
      <w:divBdr>
        <w:top w:val="none" w:sz="0" w:space="0" w:color="auto"/>
        <w:left w:val="none" w:sz="0" w:space="0" w:color="auto"/>
        <w:bottom w:val="none" w:sz="0" w:space="0" w:color="auto"/>
        <w:right w:val="none" w:sz="0" w:space="0" w:color="auto"/>
      </w:divBdr>
    </w:div>
    <w:div w:id="1337491013">
      <w:bodyDiv w:val="1"/>
      <w:marLeft w:val="0"/>
      <w:marRight w:val="0"/>
      <w:marTop w:val="0"/>
      <w:marBottom w:val="0"/>
      <w:divBdr>
        <w:top w:val="none" w:sz="0" w:space="0" w:color="auto"/>
        <w:left w:val="none" w:sz="0" w:space="0" w:color="auto"/>
        <w:bottom w:val="none" w:sz="0" w:space="0" w:color="auto"/>
        <w:right w:val="none" w:sz="0" w:space="0" w:color="auto"/>
      </w:divBdr>
    </w:div>
    <w:div w:id="1460415632">
      <w:bodyDiv w:val="1"/>
      <w:marLeft w:val="0"/>
      <w:marRight w:val="0"/>
      <w:marTop w:val="0"/>
      <w:marBottom w:val="0"/>
      <w:divBdr>
        <w:top w:val="none" w:sz="0" w:space="0" w:color="auto"/>
        <w:left w:val="none" w:sz="0" w:space="0" w:color="auto"/>
        <w:bottom w:val="none" w:sz="0" w:space="0" w:color="auto"/>
        <w:right w:val="none" w:sz="0" w:space="0" w:color="auto"/>
      </w:divBdr>
    </w:div>
    <w:div w:id="1592929156">
      <w:bodyDiv w:val="1"/>
      <w:marLeft w:val="0"/>
      <w:marRight w:val="0"/>
      <w:marTop w:val="0"/>
      <w:marBottom w:val="0"/>
      <w:divBdr>
        <w:top w:val="none" w:sz="0" w:space="0" w:color="auto"/>
        <w:left w:val="none" w:sz="0" w:space="0" w:color="auto"/>
        <w:bottom w:val="none" w:sz="0" w:space="0" w:color="auto"/>
        <w:right w:val="none" w:sz="0" w:space="0" w:color="auto"/>
      </w:divBdr>
    </w:div>
    <w:div w:id="1618297478">
      <w:bodyDiv w:val="1"/>
      <w:marLeft w:val="0"/>
      <w:marRight w:val="0"/>
      <w:marTop w:val="0"/>
      <w:marBottom w:val="0"/>
      <w:divBdr>
        <w:top w:val="none" w:sz="0" w:space="0" w:color="auto"/>
        <w:left w:val="none" w:sz="0" w:space="0" w:color="auto"/>
        <w:bottom w:val="none" w:sz="0" w:space="0" w:color="auto"/>
        <w:right w:val="none" w:sz="0" w:space="0" w:color="auto"/>
      </w:divBdr>
    </w:div>
    <w:div w:id="1766805354">
      <w:bodyDiv w:val="1"/>
      <w:marLeft w:val="0"/>
      <w:marRight w:val="0"/>
      <w:marTop w:val="0"/>
      <w:marBottom w:val="0"/>
      <w:divBdr>
        <w:top w:val="none" w:sz="0" w:space="0" w:color="auto"/>
        <w:left w:val="none" w:sz="0" w:space="0" w:color="auto"/>
        <w:bottom w:val="none" w:sz="0" w:space="0" w:color="auto"/>
        <w:right w:val="none" w:sz="0" w:space="0" w:color="auto"/>
      </w:divBdr>
    </w:div>
    <w:div w:id="1803428046">
      <w:bodyDiv w:val="1"/>
      <w:marLeft w:val="0"/>
      <w:marRight w:val="0"/>
      <w:marTop w:val="0"/>
      <w:marBottom w:val="0"/>
      <w:divBdr>
        <w:top w:val="none" w:sz="0" w:space="0" w:color="auto"/>
        <w:left w:val="none" w:sz="0" w:space="0" w:color="auto"/>
        <w:bottom w:val="none" w:sz="0" w:space="0" w:color="auto"/>
        <w:right w:val="none" w:sz="0" w:space="0" w:color="auto"/>
      </w:divBdr>
    </w:div>
    <w:div w:id="1849059920">
      <w:bodyDiv w:val="1"/>
      <w:marLeft w:val="0"/>
      <w:marRight w:val="0"/>
      <w:marTop w:val="0"/>
      <w:marBottom w:val="0"/>
      <w:divBdr>
        <w:top w:val="none" w:sz="0" w:space="0" w:color="auto"/>
        <w:left w:val="none" w:sz="0" w:space="0" w:color="auto"/>
        <w:bottom w:val="none" w:sz="0" w:space="0" w:color="auto"/>
        <w:right w:val="none" w:sz="0" w:space="0" w:color="auto"/>
      </w:divBdr>
    </w:div>
    <w:div w:id="1862016046">
      <w:bodyDiv w:val="1"/>
      <w:marLeft w:val="0"/>
      <w:marRight w:val="0"/>
      <w:marTop w:val="0"/>
      <w:marBottom w:val="0"/>
      <w:divBdr>
        <w:top w:val="none" w:sz="0" w:space="0" w:color="auto"/>
        <w:left w:val="none" w:sz="0" w:space="0" w:color="auto"/>
        <w:bottom w:val="none" w:sz="0" w:space="0" w:color="auto"/>
        <w:right w:val="none" w:sz="0" w:space="0" w:color="auto"/>
      </w:divBdr>
    </w:div>
    <w:div w:id="19311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joparatransparencia.sharepoint.com/:f:/s/FiscalizacindeCumplimiento771/EriOoeF1f7hIjipgOT4Ha0UBtERgZw4P5sz1_Pr36jH19w?e=4QpPY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transparencia.cl/PortalPdT/documents/10179/62801/101.PDF/4cb646ff-3042-45b1-be1f-dc85ab61e6a9?version=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transparencia.cl/PortalPdT/documents/10179/62801/648.PDF/044a31d6-285a-489f-aa5a-af882c98d36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997E0.F2E67BC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B9C8B-2BF6-48E7-97F3-3C1C1450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2628</Words>
  <Characters>14455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 Cristián González Guajardo</dc:creator>
  <cp:lastModifiedBy>Cecilia Cesped Riquelme</cp:lastModifiedBy>
  <cp:revision>2</cp:revision>
  <cp:lastPrinted>2019-07-15T13:19:00Z</cp:lastPrinted>
  <dcterms:created xsi:type="dcterms:W3CDTF">2023-08-02T15:00:00Z</dcterms:created>
  <dcterms:modified xsi:type="dcterms:W3CDTF">2023-08-02T15:00:00Z</dcterms:modified>
</cp:coreProperties>
</file>