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2C" w:rsidRPr="00D33B2C" w:rsidRDefault="00974678" w:rsidP="00D33B2C">
      <w:pPr>
        <w:tabs>
          <w:tab w:val="left" w:pos="709"/>
        </w:tabs>
        <w:ind w:right="-234"/>
        <w:jc w:val="both"/>
        <w:rPr>
          <w:rFonts w:ascii="Arial" w:hAnsi="Arial" w:cs="Arial"/>
          <w:b/>
          <w:sz w:val="22"/>
          <w:szCs w:val="22"/>
          <w:lang w:val="es-ES_tradnl"/>
        </w:rPr>
      </w:pPr>
      <w:r w:rsidRPr="00D33B2C">
        <w:rPr>
          <w:rFonts w:ascii="Arial" w:hAnsi="Arial" w:cs="Arial"/>
          <w:b/>
          <w:sz w:val="22"/>
          <w:szCs w:val="22"/>
          <w:lang w:val="es-ES_tradnl"/>
        </w:rPr>
        <w:t xml:space="preserve">INFORME DE LA COMISION DE HACIENDA RECAÍDO EN EL PROYECTO DE LEY </w:t>
      </w:r>
      <w:r w:rsidR="00E21859" w:rsidRPr="00D33B2C">
        <w:rPr>
          <w:rFonts w:ascii="Arial" w:hAnsi="Arial" w:cs="Arial"/>
          <w:b/>
          <w:sz w:val="22"/>
          <w:szCs w:val="22"/>
          <w:lang w:val="es-ES_tradnl"/>
        </w:rPr>
        <w:t xml:space="preserve">QUE </w:t>
      </w:r>
      <w:r w:rsidR="00D33B2C" w:rsidRPr="00D33B2C">
        <w:rPr>
          <w:rFonts w:ascii="Arial" w:hAnsi="Arial" w:cs="Arial"/>
          <w:b/>
          <w:sz w:val="22"/>
          <w:szCs w:val="22"/>
          <w:lang w:val="es-ES_tradnl"/>
        </w:rPr>
        <w:t>POSIBILITA LA INCORPORACIÓN DE LA ESCUELA DE GENDARMERÍA DE CHILE DENTRO DE AQUELLAS INSTITUCIONES DE EDUCACIÓN SUPERIOR QUE EL ESTADO RECONOCE OFICIALMENTE E INCORPORA REGLAS ESPECIALES PARA SU PROCESO DE ACREDITACIÓN.</w:t>
      </w:r>
    </w:p>
    <w:p w:rsidR="00E96C46" w:rsidRDefault="00E21859" w:rsidP="00D33B2C">
      <w:pPr>
        <w:tabs>
          <w:tab w:val="left" w:pos="709"/>
        </w:tabs>
        <w:ind w:right="-234"/>
        <w:jc w:val="both"/>
        <w:rPr>
          <w:rFonts w:ascii="Arial" w:hAnsi="Arial" w:cs="Arial"/>
          <w:b/>
          <w:sz w:val="22"/>
          <w:szCs w:val="22"/>
        </w:rPr>
      </w:pPr>
      <w:r>
        <w:rPr>
          <w:rFonts w:ascii="Arial" w:hAnsi="Arial" w:cs="Arial"/>
          <w:b/>
          <w:lang w:val="es-ES_tradnl"/>
        </w:rPr>
        <w:t>_______________________________________________________________</w:t>
      </w:r>
    </w:p>
    <w:p w:rsidR="00974678" w:rsidRPr="000D493D" w:rsidRDefault="00974678" w:rsidP="00CB1C8E">
      <w:pPr>
        <w:spacing w:line="276" w:lineRule="auto"/>
        <w:ind w:right="-234" w:firstLine="1701"/>
        <w:jc w:val="right"/>
        <w:rPr>
          <w:rFonts w:ascii="Arial" w:hAnsi="Arial" w:cs="Arial"/>
          <w:b/>
          <w:sz w:val="22"/>
          <w:szCs w:val="22"/>
          <w:lang w:val="es-ES_tradnl"/>
        </w:rPr>
      </w:pPr>
      <w:r w:rsidRPr="000D493D">
        <w:rPr>
          <w:rFonts w:ascii="Arial" w:hAnsi="Arial" w:cs="Arial"/>
          <w:b/>
          <w:sz w:val="22"/>
          <w:szCs w:val="22"/>
        </w:rPr>
        <w:t>B</w:t>
      </w:r>
      <w:r w:rsidRPr="000D493D">
        <w:rPr>
          <w:rFonts w:ascii="Arial" w:hAnsi="Arial" w:cs="Arial"/>
          <w:b/>
          <w:iCs/>
          <w:sz w:val="22"/>
          <w:szCs w:val="22"/>
          <w:lang w:val="es-ES_tradnl"/>
        </w:rPr>
        <w:t xml:space="preserve">OLETÍN N° </w:t>
      </w:r>
      <w:r w:rsidR="006803F9">
        <w:rPr>
          <w:rFonts w:ascii="Arial" w:hAnsi="Arial" w:cs="Arial"/>
          <w:b/>
          <w:iCs/>
          <w:sz w:val="22"/>
          <w:szCs w:val="22"/>
          <w:lang w:val="es-ES_tradnl"/>
        </w:rPr>
        <w:t>14.</w:t>
      </w:r>
      <w:r w:rsidR="00D33B2C">
        <w:rPr>
          <w:rFonts w:ascii="Arial" w:hAnsi="Arial" w:cs="Arial"/>
          <w:b/>
          <w:iCs/>
          <w:sz w:val="22"/>
          <w:szCs w:val="22"/>
          <w:lang w:val="es-ES_tradnl"/>
        </w:rPr>
        <w:t>879</w:t>
      </w:r>
      <w:r w:rsidR="006803F9">
        <w:rPr>
          <w:rFonts w:ascii="Arial" w:hAnsi="Arial" w:cs="Arial"/>
          <w:b/>
          <w:iCs/>
          <w:sz w:val="22"/>
          <w:szCs w:val="22"/>
          <w:lang w:val="es-ES_tradnl"/>
        </w:rPr>
        <w:t>-04</w:t>
      </w:r>
    </w:p>
    <w:p w:rsidR="00974678" w:rsidRDefault="00974678" w:rsidP="00CB1C8E">
      <w:pPr>
        <w:spacing w:line="276" w:lineRule="auto"/>
        <w:ind w:right="-234" w:firstLine="1701"/>
        <w:jc w:val="right"/>
        <w:rPr>
          <w:rFonts w:ascii="Arial" w:hAnsi="Arial" w:cs="Arial"/>
          <w:b/>
          <w:sz w:val="22"/>
          <w:szCs w:val="22"/>
          <w:lang w:val="es-ES_tradnl"/>
        </w:rPr>
      </w:pPr>
    </w:p>
    <w:p w:rsidR="00974678" w:rsidRPr="000D493D" w:rsidRDefault="00974678" w:rsidP="00CB1C8E">
      <w:pPr>
        <w:spacing w:line="276" w:lineRule="auto"/>
        <w:ind w:right="-234" w:firstLine="1701"/>
        <w:jc w:val="both"/>
        <w:rPr>
          <w:rFonts w:ascii="Arial" w:hAnsi="Arial" w:cs="Arial"/>
          <w:b/>
          <w:sz w:val="22"/>
          <w:szCs w:val="22"/>
          <w:lang w:val="es-ES_tradnl"/>
        </w:rPr>
      </w:pPr>
    </w:p>
    <w:p w:rsidR="00974678" w:rsidRPr="000D493D" w:rsidRDefault="00974678" w:rsidP="00CB1C8E">
      <w:pPr>
        <w:tabs>
          <w:tab w:val="left" w:pos="2268"/>
        </w:tabs>
        <w:spacing w:line="276" w:lineRule="auto"/>
        <w:ind w:right="-234"/>
        <w:jc w:val="both"/>
        <w:outlineLvl w:val="0"/>
        <w:rPr>
          <w:rFonts w:ascii="Arial" w:hAnsi="Arial" w:cs="Arial"/>
          <w:spacing w:val="-3"/>
          <w:sz w:val="22"/>
          <w:szCs w:val="22"/>
        </w:rPr>
      </w:pPr>
      <w:r w:rsidRPr="000D493D">
        <w:rPr>
          <w:rFonts w:ascii="Arial" w:hAnsi="Arial" w:cs="Arial"/>
          <w:b/>
          <w:spacing w:val="-3"/>
          <w:sz w:val="22"/>
          <w:szCs w:val="22"/>
        </w:rPr>
        <w:t>HONORABLE CÁMARA</w:t>
      </w:r>
      <w:r w:rsidRPr="000D493D">
        <w:rPr>
          <w:rFonts w:ascii="Arial" w:hAnsi="Arial" w:cs="Arial"/>
          <w:spacing w:val="-3"/>
          <w:sz w:val="22"/>
          <w:szCs w:val="22"/>
        </w:rPr>
        <w:t>:</w:t>
      </w:r>
    </w:p>
    <w:p w:rsidR="00974678" w:rsidRPr="000D493D" w:rsidRDefault="00974678" w:rsidP="00CB1C8E">
      <w:pPr>
        <w:spacing w:line="276" w:lineRule="auto"/>
        <w:ind w:right="-234" w:firstLine="1701"/>
        <w:jc w:val="both"/>
        <w:rPr>
          <w:rFonts w:ascii="Arial" w:hAnsi="Arial" w:cs="Arial"/>
          <w:sz w:val="22"/>
          <w:szCs w:val="22"/>
        </w:rPr>
      </w:pPr>
    </w:p>
    <w:p w:rsidR="00070E5F" w:rsidRPr="00070E5F" w:rsidRDefault="00974678" w:rsidP="00CB1C8E">
      <w:pPr>
        <w:tabs>
          <w:tab w:val="left" w:pos="709"/>
        </w:tabs>
        <w:spacing w:before="240" w:line="276" w:lineRule="auto"/>
        <w:ind w:right="-234" w:firstLine="1701"/>
        <w:jc w:val="both"/>
        <w:rPr>
          <w:rFonts w:ascii="Arial" w:hAnsi="Arial" w:cs="Arial"/>
          <w:sz w:val="22"/>
          <w:szCs w:val="22"/>
        </w:rPr>
      </w:pPr>
      <w:r w:rsidRPr="00070E5F">
        <w:rPr>
          <w:rFonts w:ascii="Arial" w:hAnsi="Arial" w:cs="Arial"/>
          <w:sz w:val="22"/>
          <w:szCs w:val="22"/>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0" w:name="_Toc408309924"/>
      <w:bookmarkStart w:id="1" w:name="_Toc409556907"/>
      <w:bookmarkStart w:id="2" w:name="_Toc499712179"/>
      <w:r w:rsidR="00E21859">
        <w:rPr>
          <w:rFonts w:ascii="Arial" w:hAnsi="Arial" w:cs="Arial"/>
          <w:sz w:val="22"/>
          <w:szCs w:val="22"/>
          <w:lang w:val="es-ES_tradnl"/>
        </w:rPr>
        <w:t>Mensaje d</w:t>
      </w:r>
      <w:r w:rsidR="00D33B2C">
        <w:rPr>
          <w:rFonts w:ascii="Arial" w:hAnsi="Arial" w:cs="Arial"/>
          <w:sz w:val="22"/>
          <w:szCs w:val="22"/>
          <w:lang w:val="es-ES_tradnl"/>
        </w:rPr>
        <w:t xml:space="preserve">el entonces </w:t>
      </w:r>
      <w:r w:rsidR="00E21859" w:rsidRPr="00E21859">
        <w:rPr>
          <w:rFonts w:ascii="Arial" w:hAnsi="Arial" w:cs="Arial"/>
          <w:sz w:val="22"/>
          <w:szCs w:val="22"/>
          <w:lang w:val="es-CL"/>
        </w:rPr>
        <w:t>Presidente de la República don Sebastián Piñera Echenique</w:t>
      </w:r>
      <w:r w:rsidR="00E21859" w:rsidRPr="00E21859">
        <w:rPr>
          <w:rFonts w:ascii="Arial" w:hAnsi="Arial" w:cs="Arial"/>
          <w:sz w:val="22"/>
          <w:szCs w:val="22"/>
          <w:lang w:val="es-ES_tradnl"/>
        </w:rPr>
        <w:t>,</w:t>
      </w:r>
      <w:r w:rsidR="00E21859" w:rsidRPr="00E21859">
        <w:rPr>
          <w:rFonts w:ascii="Arial" w:hAnsi="Arial" w:cs="Arial"/>
          <w:sz w:val="22"/>
          <w:szCs w:val="22"/>
          <w:lang w:val="es-CL"/>
        </w:rPr>
        <w:t xml:space="preserve"> ingresado a tramitación el </w:t>
      </w:r>
      <w:r w:rsidR="00D33B2C">
        <w:rPr>
          <w:rFonts w:ascii="Arial" w:hAnsi="Arial" w:cs="Arial"/>
          <w:sz w:val="22"/>
          <w:szCs w:val="22"/>
          <w:lang w:val="es-CL"/>
        </w:rPr>
        <w:t>10 de marzo de 2020</w:t>
      </w:r>
      <w:r w:rsidR="00E21859">
        <w:rPr>
          <w:rFonts w:ascii="Arial" w:hAnsi="Arial" w:cs="Arial"/>
          <w:sz w:val="22"/>
          <w:szCs w:val="22"/>
          <w:lang w:val="es-CL"/>
        </w:rPr>
        <w:t>,</w:t>
      </w:r>
      <w:r w:rsidR="00E21859" w:rsidRPr="00E21859">
        <w:rPr>
          <w:rFonts w:ascii="Arial" w:hAnsi="Arial" w:cs="Arial"/>
          <w:sz w:val="22"/>
          <w:szCs w:val="22"/>
          <w:lang w:val="es-CL"/>
        </w:rPr>
        <w:t xml:space="preserve"> e informado en primer trámite constitucional y reglamentario por la Comisión de </w:t>
      </w:r>
      <w:r w:rsidR="00E21859">
        <w:rPr>
          <w:rFonts w:ascii="Arial" w:hAnsi="Arial" w:cs="Arial"/>
          <w:sz w:val="22"/>
          <w:szCs w:val="22"/>
          <w:lang w:val="es-CL"/>
        </w:rPr>
        <w:t>Educación.</w:t>
      </w:r>
      <w:r w:rsidR="00E21859" w:rsidRPr="00E21859">
        <w:rPr>
          <w:rFonts w:ascii="Arial" w:hAnsi="Arial" w:cs="Arial"/>
          <w:sz w:val="22"/>
          <w:szCs w:val="22"/>
          <w:lang w:val="es-CL"/>
        </w:rPr>
        <w:t xml:space="preserve"> La referida iniciativa se encuentra con urgencia calificada de </w:t>
      </w:r>
      <w:r w:rsidR="00935D51">
        <w:rPr>
          <w:rFonts w:ascii="Arial" w:hAnsi="Arial" w:cs="Arial"/>
          <w:sz w:val="22"/>
          <w:szCs w:val="22"/>
          <w:lang w:val="es-CL"/>
        </w:rPr>
        <w:t>Suma</w:t>
      </w:r>
      <w:r w:rsidR="00CB1C8E">
        <w:rPr>
          <w:rFonts w:ascii="Arial" w:hAnsi="Arial" w:cs="Arial"/>
          <w:sz w:val="22"/>
          <w:szCs w:val="22"/>
          <w:lang w:val="es-CL"/>
        </w:rPr>
        <w:t>.</w:t>
      </w:r>
    </w:p>
    <w:p w:rsidR="00A25CC8" w:rsidRDefault="00A25CC8" w:rsidP="00CB1C8E">
      <w:pPr>
        <w:spacing w:line="276" w:lineRule="auto"/>
        <w:ind w:right="-234" w:firstLine="1701"/>
        <w:jc w:val="both"/>
        <w:rPr>
          <w:rFonts w:ascii="Arial" w:eastAsiaTheme="minorHAnsi" w:hAnsi="Arial" w:cs="Arial"/>
          <w:sz w:val="22"/>
          <w:szCs w:val="22"/>
          <w:lang w:val="es-CL" w:eastAsia="en-US"/>
        </w:rPr>
      </w:pPr>
    </w:p>
    <w:p w:rsidR="00D33B2C" w:rsidRDefault="00DA3111" w:rsidP="00BE62B9">
      <w:pPr>
        <w:spacing w:line="276" w:lineRule="auto"/>
        <w:ind w:right="-234" w:firstLine="1701"/>
        <w:jc w:val="both"/>
        <w:rPr>
          <w:rFonts w:ascii="Arial" w:hAnsi="Arial" w:cs="Arial"/>
          <w:sz w:val="22"/>
          <w:szCs w:val="22"/>
          <w:lang w:val="es-ES_tradnl"/>
        </w:rPr>
      </w:pPr>
      <w:r w:rsidRPr="00DA3111">
        <w:rPr>
          <w:rFonts w:ascii="Arial" w:eastAsiaTheme="minorHAnsi" w:hAnsi="Arial" w:cs="Arial"/>
          <w:sz w:val="22"/>
          <w:szCs w:val="22"/>
          <w:lang w:val="es-CL" w:eastAsia="en-US"/>
        </w:rPr>
        <w:t>En representación del Ejecutivo asist</w:t>
      </w:r>
      <w:r>
        <w:rPr>
          <w:rFonts w:ascii="Arial" w:eastAsiaTheme="minorHAnsi" w:hAnsi="Arial" w:cs="Arial"/>
          <w:sz w:val="22"/>
          <w:szCs w:val="22"/>
          <w:lang w:val="es-CL" w:eastAsia="en-US"/>
        </w:rPr>
        <w:t>i</w:t>
      </w:r>
      <w:r w:rsidR="00E21859">
        <w:rPr>
          <w:rFonts w:ascii="Arial" w:eastAsiaTheme="minorHAnsi" w:hAnsi="Arial" w:cs="Arial"/>
          <w:sz w:val="22"/>
          <w:szCs w:val="22"/>
          <w:lang w:val="es-CL" w:eastAsia="en-US"/>
        </w:rPr>
        <w:t>ó</w:t>
      </w:r>
      <w:r>
        <w:rPr>
          <w:rFonts w:ascii="Arial" w:eastAsiaTheme="minorHAnsi" w:hAnsi="Arial" w:cs="Arial"/>
          <w:sz w:val="22"/>
          <w:szCs w:val="22"/>
          <w:lang w:val="es-CL" w:eastAsia="en-US"/>
        </w:rPr>
        <w:t xml:space="preserve"> </w:t>
      </w:r>
      <w:r w:rsidR="006803F9">
        <w:rPr>
          <w:rFonts w:ascii="Arial" w:eastAsiaTheme="minorHAnsi" w:hAnsi="Arial" w:cs="Arial"/>
          <w:sz w:val="22"/>
          <w:szCs w:val="22"/>
          <w:lang w:val="es-CL" w:eastAsia="en-US"/>
        </w:rPr>
        <w:t xml:space="preserve">a presentar el proyecto, </w:t>
      </w:r>
      <w:r w:rsidR="00D33B2C" w:rsidRPr="00D33B2C">
        <w:rPr>
          <w:rFonts w:ascii="Arial" w:hAnsi="Arial" w:cs="Arial"/>
          <w:sz w:val="22"/>
          <w:szCs w:val="22"/>
          <w:lang w:val="es-ES_tradnl"/>
        </w:rPr>
        <w:t>el Subsecretario de Justicia, señor Jaime Gajardo Falcón.</w:t>
      </w:r>
    </w:p>
    <w:p w:rsidR="00BE62B9" w:rsidRPr="00BE62B9" w:rsidRDefault="00BE62B9" w:rsidP="00BE62B9">
      <w:pPr>
        <w:spacing w:line="276" w:lineRule="auto"/>
        <w:ind w:right="-234" w:firstLine="1701"/>
        <w:jc w:val="both"/>
        <w:rPr>
          <w:rFonts w:ascii="Arial" w:hAnsi="Arial" w:cs="Arial"/>
          <w:sz w:val="22"/>
          <w:szCs w:val="22"/>
          <w:lang w:val="es-ES_tradnl"/>
        </w:rPr>
      </w:pPr>
      <w:r w:rsidRPr="00BE62B9">
        <w:rPr>
          <w:rFonts w:ascii="Arial" w:hAnsi="Arial" w:cs="Arial"/>
          <w:sz w:val="22"/>
          <w:szCs w:val="22"/>
          <w:lang w:val="es-ES_tradnl"/>
        </w:rPr>
        <w:t>Asimismo, se recibió a los representantes de Gendarmería, señora Macarena Cortés</w:t>
      </w:r>
      <w:r w:rsidR="008D6E6B">
        <w:rPr>
          <w:rFonts w:ascii="Arial" w:hAnsi="Arial" w:cs="Arial"/>
          <w:sz w:val="22"/>
          <w:szCs w:val="22"/>
          <w:lang w:val="es-ES_tradnl"/>
        </w:rPr>
        <w:t xml:space="preserve"> Camus</w:t>
      </w:r>
      <w:r w:rsidRPr="00BE62B9">
        <w:rPr>
          <w:rFonts w:ascii="Arial" w:hAnsi="Arial" w:cs="Arial"/>
          <w:sz w:val="22"/>
          <w:szCs w:val="22"/>
          <w:lang w:val="es-ES_tradnl"/>
        </w:rPr>
        <w:t>, Jefa de la División Reinserción Social, al señor Raúl Schonthaler</w:t>
      </w:r>
      <w:r w:rsidR="008D6E6B">
        <w:rPr>
          <w:rFonts w:ascii="Arial" w:hAnsi="Arial" w:cs="Arial"/>
          <w:sz w:val="22"/>
          <w:szCs w:val="22"/>
          <w:lang w:val="es-ES_tradnl"/>
        </w:rPr>
        <w:t xml:space="preserve"> Juanicotena</w:t>
      </w:r>
      <w:r w:rsidRPr="00BE62B9">
        <w:rPr>
          <w:rFonts w:ascii="Arial" w:hAnsi="Arial" w:cs="Arial"/>
          <w:sz w:val="22"/>
          <w:szCs w:val="22"/>
          <w:lang w:val="es-ES_tradnl"/>
        </w:rPr>
        <w:t xml:space="preserve">, abogado asesor, y al </w:t>
      </w:r>
      <w:r w:rsidR="008D6E6B">
        <w:rPr>
          <w:rFonts w:ascii="Arial" w:hAnsi="Arial" w:cs="Arial"/>
          <w:sz w:val="22"/>
          <w:szCs w:val="22"/>
          <w:lang w:val="es-ES_tradnl"/>
        </w:rPr>
        <w:t xml:space="preserve">Mayor Cristián </w:t>
      </w:r>
      <w:r w:rsidRPr="008D6E6B">
        <w:rPr>
          <w:rFonts w:ascii="Arial" w:hAnsi="Arial" w:cs="Arial"/>
          <w:sz w:val="22"/>
          <w:szCs w:val="22"/>
          <w:lang w:val="es-ES_tradnl"/>
        </w:rPr>
        <w:t>Lazo</w:t>
      </w:r>
      <w:r w:rsidR="008D6E6B" w:rsidRPr="008D6E6B">
        <w:rPr>
          <w:rFonts w:ascii="Arial" w:hAnsi="Arial" w:cs="Arial"/>
          <w:sz w:val="22"/>
          <w:szCs w:val="22"/>
          <w:lang w:val="es-ES_tradnl"/>
        </w:rPr>
        <w:t xml:space="preserve"> Mesías</w:t>
      </w:r>
      <w:r w:rsidRPr="008D6E6B">
        <w:rPr>
          <w:rFonts w:ascii="Arial" w:hAnsi="Arial" w:cs="Arial"/>
          <w:sz w:val="22"/>
          <w:szCs w:val="22"/>
          <w:lang w:val="es-ES_tradnl"/>
        </w:rPr>
        <w:t>,</w:t>
      </w:r>
      <w:r w:rsidRPr="008D6E6B">
        <w:rPr>
          <w:rFonts w:ascii="Arial" w:hAnsi="Arial" w:cs="Arial"/>
          <w:color w:val="FF0000"/>
          <w:sz w:val="22"/>
          <w:szCs w:val="22"/>
          <w:lang w:val="es-ES_tradnl"/>
        </w:rPr>
        <w:t xml:space="preserve"> </w:t>
      </w:r>
      <w:r w:rsidRPr="00BE62B9">
        <w:rPr>
          <w:rFonts w:ascii="Arial" w:hAnsi="Arial" w:cs="Arial"/>
          <w:sz w:val="22"/>
          <w:szCs w:val="22"/>
          <w:lang w:val="es-ES_tradnl"/>
        </w:rPr>
        <w:t>de la Escuela de Gendarmería de Chile.</w:t>
      </w:r>
    </w:p>
    <w:p w:rsidR="00BE62B9" w:rsidRPr="00BE62B9" w:rsidRDefault="00BE62B9" w:rsidP="00BE62B9">
      <w:pPr>
        <w:spacing w:line="276" w:lineRule="auto"/>
        <w:ind w:right="-234" w:firstLine="1701"/>
        <w:jc w:val="both"/>
        <w:rPr>
          <w:rFonts w:ascii="Arial" w:hAnsi="Arial" w:cs="Arial"/>
          <w:sz w:val="22"/>
          <w:szCs w:val="22"/>
          <w:lang w:val="es-ES_tradnl"/>
        </w:rPr>
      </w:pPr>
    </w:p>
    <w:p w:rsidR="00F746CE" w:rsidRPr="00E96C46" w:rsidRDefault="00A51684" w:rsidP="00CB1C8E">
      <w:pPr>
        <w:spacing w:line="276" w:lineRule="auto"/>
        <w:ind w:right="-234"/>
        <w:jc w:val="both"/>
        <w:rPr>
          <w:rFonts w:ascii="Arial" w:hAnsi="Arial" w:cs="Arial"/>
          <w:b/>
          <w:bCs/>
          <w:sz w:val="22"/>
          <w:szCs w:val="22"/>
        </w:rPr>
      </w:pPr>
      <w:r>
        <w:rPr>
          <w:rFonts w:ascii="Arial" w:hAnsi="Arial" w:cs="Arial"/>
          <w:b/>
          <w:sz w:val="22"/>
          <w:szCs w:val="22"/>
        </w:rPr>
        <w:t>I.-</w:t>
      </w:r>
      <w:r w:rsidR="00F746CE" w:rsidRPr="00E96C46">
        <w:rPr>
          <w:rFonts w:ascii="Arial" w:hAnsi="Arial" w:cs="Arial"/>
          <w:b/>
          <w:sz w:val="22"/>
          <w:szCs w:val="22"/>
        </w:rPr>
        <w:t>CONSTANCIAS REGLAMENTARIAS PREVIAS</w:t>
      </w:r>
      <w:bookmarkEnd w:id="0"/>
      <w:bookmarkEnd w:id="1"/>
      <w:bookmarkEnd w:id="2"/>
    </w:p>
    <w:p w:rsidR="00C32A16" w:rsidRPr="000D493D" w:rsidRDefault="00F746CE" w:rsidP="00CB1C8E">
      <w:pPr>
        <w:pStyle w:val="Ttulo2"/>
        <w:tabs>
          <w:tab w:val="left" w:pos="709"/>
        </w:tabs>
        <w:spacing w:before="240" w:line="276" w:lineRule="auto"/>
        <w:ind w:right="-234" w:firstLine="1701"/>
        <w:rPr>
          <w:rFonts w:cs="Arial"/>
          <w:sz w:val="22"/>
          <w:szCs w:val="22"/>
        </w:rPr>
      </w:pPr>
      <w:bookmarkStart w:id="3" w:name="_Toc408309925"/>
      <w:bookmarkStart w:id="4" w:name="_Toc409556908"/>
      <w:bookmarkStart w:id="5" w:name="_Toc499712180"/>
      <w:r w:rsidRPr="000D493D">
        <w:rPr>
          <w:rFonts w:cs="Arial"/>
          <w:i w:val="0"/>
          <w:sz w:val="22"/>
          <w:szCs w:val="22"/>
        </w:rPr>
        <w:t xml:space="preserve">1) </w:t>
      </w:r>
      <w:r w:rsidR="000D493D" w:rsidRPr="000D493D">
        <w:rPr>
          <w:rFonts w:cs="Arial"/>
          <w:i w:val="0"/>
          <w:sz w:val="22"/>
          <w:szCs w:val="22"/>
          <w:u w:val="single"/>
        </w:rPr>
        <w:t>I</w:t>
      </w:r>
      <w:r w:rsidR="00464D9C" w:rsidRPr="000D493D">
        <w:rPr>
          <w:rFonts w:cs="Arial"/>
          <w:i w:val="0"/>
          <w:sz w:val="22"/>
          <w:szCs w:val="22"/>
          <w:u w:val="single"/>
        </w:rPr>
        <w:t>dea matri</w:t>
      </w:r>
      <w:r w:rsidR="00E95BEA" w:rsidRPr="000D493D">
        <w:rPr>
          <w:rFonts w:cs="Arial"/>
          <w:i w:val="0"/>
          <w:sz w:val="22"/>
          <w:szCs w:val="22"/>
          <w:u w:val="single"/>
        </w:rPr>
        <w:t>z</w:t>
      </w:r>
      <w:r w:rsidR="00464D9C" w:rsidRPr="000D493D">
        <w:rPr>
          <w:rFonts w:cs="Arial"/>
          <w:i w:val="0"/>
          <w:sz w:val="22"/>
          <w:szCs w:val="22"/>
          <w:u w:val="single"/>
        </w:rPr>
        <w:t xml:space="preserve"> o fundamental del proyecto</w:t>
      </w:r>
      <w:r w:rsidR="009175B1" w:rsidRPr="000D493D">
        <w:rPr>
          <w:rFonts w:cs="Arial"/>
          <w:i w:val="0"/>
          <w:sz w:val="22"/>
          <w:szCs w:val="22"/>
        </w:rPr>
        <w:t>:</w:t>
      </w:r>
      <w:bookmarkEnd w:id="3"/>
      <w:bookmarkEnd w:id="4"/>
      <w:bookmarkEnd w:id="5"/>
    </w:p>
    <w:p w:rsidR="00BE62B9" w:rsidRPr="00BE62B9" w:rsidRDefault="00BE62B9" w:rsidP="00BE62B9">
      <w:pPr>
        <w:spacing w:line="276" w:lineRule="auto"/>
        <w:ind w:right="-234" w:firstLine="1701"/>
        <w:jc w:val="both"/>
        <w:rPr>
          <w:rFonts w:ascii="Arial" w:hAnsi="Arial" w:cs="Arial"/>
          <w:bCs/>
          <w:sz w:val="22"/>
          <w:szCs w:val="22"/>
          <w:lang w:val="es-ES_tradnl"/>
        </w:rPr>
      </w:pPr>
      <w:bookmarkStart w:id="6" w:name="_Toc408309926"/>
      <w:bookmarkStart w:id="7" w:name="_Toc409556909"/>
      <w:bookmarkStart w:id="8" w:name="_Toc499712181"/>
      <w:r w:rsidRPr="00BE62B9">
        <w:rPr>
          <w:rFonts w:ascii="Arial" w:hAnsi="Arial" w:cs="Arial"/>
          <w:bCs/>
          <w:sz w:val="22"/>
          <w:szCs w:val="22"/>
          <w:lang w:val="es-ES_tradnl"/>
        </w:rPr>
        <w:t>Permitir, por una parte, que la Escuela de Gendarmería de Chile pueda ser reconocida como una institución de educación superior, dando cumplimiento al resto de los requisitos y condiciones exigidas en la ley N° 21.091, sobre un nuevo Sistema de Educación Superior, y por otra, establece un sistema especial para la acreditación de la misma, en atención a las especiales particularidades de dicho establecimiento, todo ello, en el marco no solo la modernización de Gendarmería de Chile, sino que además mejorar la formación de los gendarmes a fin de propender a una mayor reinserción, en el entendido de que estos cumplen un rol coadyuvante al interior de los establecimientos penitenciarios respecto de los procesos de intervención y de entrega de oferta educativa y laboral a las personas privadas de libertad, lo que a su vez contribuiría a la seguridad de las personas mediante la eventual disminución del riesgo de reincidencia.</w:t>
      </w:r>
    </w:p>
    <w:p w:rsidR="00122B84" w:rsidRDefault="00122B84" w:rsidP="00CB1C8E">
      <w:pPr>
        <w:spacing w:line="276" w:lineRule="auto"/>
        <w:ind w:right="-234" w:firstLine="1701"/>
        <w:jc w:val="both"/>
        <w:rPr>
          <w:rFonts w:ascii="Arial" w:hAnsi="Arial" w:cs="Arial"/>
          <w:sz w:val="22"/>
          <w:szCs w:val="22"/>
        </w:rPr>
      </w:pPr>
    </w:p>
    <w:p w:rsidR="009F5F0C" w:rsidRPr="000D493D" w:rsidRDefault="009F5F0C" w:rsidP="00CB1C8E">
      <w:pPr>
        <w:spacing w:line="276" w:lineRule="auto"/>
        <w:ind w:right="-234" w:firstLine="1701"/>
        <w:jc w:val="both"/>
        <w:rPr>
          <w:rFonts w:ascii="Arial" w:hAnsi="Arial" w:cs="Arial"/>
          <w:sz w:val="22"/>
          <w:szCs w:val="22"/>
        </w:rPr>
      </w:pPr>
      <w:r w:rsidRPr="000D493D">
        <w:rPr>
          <w:rFonts w:ascii="Arial" w:hAnsi="Arial" w:cs="Arial"/>
          <w:sz w:val="22"/>
          <w:szCs w:val="22"/>
        </w:rPr>
        <w:t xml:space="preserve">2) </w:t>
      </w:r>
      <w:r w:rsidRPr="000D493D">
        <w:rPr>
          <w:rFonts w:ascii="Arial" w:hAnsi="Arial" w:cs="Arial"/>
          <w:sz w:val="22"/>
          <w:szCs w:val="22"/>
          <w:u w:val="single"/>
        </w:rPr>
        <w:t>Comisión técnica</w:t>
      </w:r>
      <w:r w:rsidR="009175B1" w:rsidRPr="000D493D">
        <w:rPr>
          <w:rFonts w:ascii="Arial" w:hAnsi="Arial" w:cs="Arial"/>
          <w:sz w:val="22"/>
          <w:szCs w:val="22"/>
          <w:u w:val="single"/>
        </w:rPr>
        <w:t>:</w:t>
      </w:r>
      <w:r w:rsidR="009175B1" w:rsidRPr="000D493D">
        <w:rPr>
          <w:rFonts w:ascii="Arial" w:hAnsi="Arial" w:cs="Arial"/>
          <w:sz w:val="22"/>
          <w:szCs w:val="22"/>
        </w:rPr>
        <w:t xml:space="preserve"> </w:t>
      </w:r>
      <w:r w:rsidRPr="000D493D">
        <w:rPr>
          <w:rFonts w:ascii="Arial" w:hAnsi="Arial" w:cs="Arial"/>
          <w:sz w:val="22"/>
          <w:szCs w:val="22"/>
        </w:rPr>
        <w:t>Comisión de Educación</w:t>
      </w:r>
      <w:r w:rsidR="005611BC">
        <w:rPr>
          <w:rFonts w:ascii="Arial" w:hAnsi="Arial" w:cs="Arial"/>
          <w:sz w:val="22"/>
          <w:szCs w:val="22"/>
        </w:rPr>
        <w:t>.</w:t>
      </w:r>
    </w:p>
    <w:p w:rsidR="008B28A9" w:rsidRDefault="008B28A9" w:rsidP="00CB1C8E">
      <w:pPr>
        <w:tabs>
          <w:tab w:val="left" w:pos="-284"/>
          <w:tab w:val="left" w:pos="0"/>
          <w:tab w:val="left" w:pos="851"/>
          <w:tab w:val="left" w:pos="4751"/>
        </w:tabs>
        <w:spacing w:line="276" w:lineRule="auto"/>
        <w:ind w:right="-234" w:firstLine="1701"/>
        <w:jc w:val="both"/>
        <w:rPr>
          <w:rFonts w:ascii="Arial" w:hAnsi="Arial" w:cs="Arial"/>
          <w:sz w:val="22"/>
          <w:szCs w:val="22"/>
        </w:rPr>
      </w:pPr>
      <w:bookmarkStart w:id="9" w:name="_Toc408309927"/>
      <w:bookmarkStart w:id="10" w:name="_Toc409556910"/>
      <w:bookmarkStart w:id="11" w:name="_Toc499712182"/>
      <w:bookmarkEnd w:id="6"/>
      <w:bookmarkEnd w:id="7"/>
      <w:bookmarkEnd w:id="8"/>
    </w:p>
    <w:p w:rsidR="008B28A9" w:rsidRPr="00A25CC8" w:rsidRDefault="008B28A9" w:rsidP="00CB1C8E">
      <w:pPr>
        <w:pStyle w:val="Sinespaciado"/>
        <w:ind w:right="-234" w:firstLine="1701"/>
        <w:jc w:val="both"/>
        <w:rPr>
          <w:rFonts w:ascii="Arial" w:hAnsi="Arial" w:cs="Arial"/>
          <w:bCs/>
          <w:lang w:val="es-ES_tradnl"/>
        </w:rPr>
      </w:pPr>
      <w:r w:rsidRPr="008B28A9">
        <w:rPr>
          <w:rFonts w:ascii="Arial" w:hAnsi="Arial" w:cs="Arial"/>
          <w:bCs/>
          <w:u w:val="single"/>
          <w:lang w:val="es-ES_tradnl"/>
        </w:rPr>
        <w:t>3) Normas de quórum especial:</w:t>
      </w:r>
      <w:r w:rsidR="00BE62B9">
        <w:rPr>
          <w:rFonts w:ascii="Arial" w:hAnsi="Arial" w:cs="Arial"/>
          <w:bCs/>
          <w:u w:val="single"/>
          <w:lang w:val="es-ES_tradnl"/>
        </w:rPr>
        <w:t xml:space="preserve"> </w:t>
      </w:r>
      <w:r w:rsidR="00A25CC8" w:rsidRPr="00A25CC8">
        <w:rPr>
          <w:rFonts w:ascii="Arial" w:hAnsi="Arial" w:cs="Arial"/>
          <w:bCs/>
          <w:lang w:val="es-ES_tradnl"/>
        </w:rPr>
        <w:t>En este trámite</w:t>
      </w:r>
      <w:r w:rsidR="00A25CC8">
        <w:rPr>
          <w:rFonts w:ascii="Arial" w:hAnsi="Arial" w:cs="Arial"/>
          <w:bCs/>
          <w:lang w:val="es-ES_tradnl"/>
        </w:rPr>
        <w:t>, no hubo nuevas normas que calificar</w:t>
      </w:r>
      <w:r w:rsidR="006803F9">
        <w:rPr>
          <w:rFonts w:ascii="Arial" w:hAnsi="Arial" w:cs="Arial"/>
          <w:bCs/>
          <w:lang w:val="es-ES_tradnl"/>
        </w:rPr>
        <w:t>.</w:t>
      </w:r>
    </w:p>
    <w:p w:rsidR="008B28A9" w:rsidRDefault="008B28A9" w:rsidP="00CB1C8E">
      <w:pPr>
        <w:pStyle w:val="Sinespaciado"/>
        <w:spacing w:line="276" w:lineRule="auto"/>
        <w:ind w:right="-234" w:firstLine="1701"/>
        <w:jc w:val="both"/>
        <w:rPr>
          <w:rFonts w:ascii="Arial" w:hAnsi="Arial" w:cs="Arial"/>
          <w:bCs/>
          <w:lang w:val="es-ES"/>
        </w:rPr>
      </w:pPr>
    </w:p>
    <w:p w:rsidR="000D493D" w:rsidRPr="000D493D" w:rsidRDefault="008B28A9" w:rsidP="00CB1C8E">
      <w:pPr>
        <w:tabs>
          <w:tab w:val="left" w:pos="-284"/>
          <w:tab w:val="left" w:pos="0"/>
          <w:tab w:val="left" w:pos="851"/>
          <w:tab w:val="left" w:pos="4751"/>
        </w:tabs>
        <w:spacing w:line="276" w:lineRule="auto"/>
        <w:ind w:right="-234" w:firstLine="1701"/>
        <w:jc w:val="both"/>
        <w:rPr>
          <w:rFonts w:ascii="Arial" w:hAnsi="Arial" w:cs="Arial"/>
          <w:sz w:val="22"/>
          <w:szCs w:val="22"/>
          <w:u w:val="single"/>
        </w:rPr>
      </w:pPr>
      <w:r>
        <w:rPr>
          <w:rFonts w:ascii="Arial" w:hAnsi="Arial" w:cs="Arial"/>
          <w:sz w:val="22"/>
          <w:szCs w:val="22"/>
        </w:rPr>
        <w:t>4</w:t>
      </w:r>
      <w:r w:rsidR="00F746CE" w:rsidRPr="000D493D">
        <w:rPr>
          <w:rFonts w:ascii="Arial" w:hAnsi="Arial" w:cs="Arial"/>
          <w:sz w:val="22"/>
          <w:szCs w:val="22"/>
        </w:rPr>
        <w:t xml:space="preserve">) </w:t>
      </w:r>
      <w:r w:rsidR="000D493D" w:rsidRPr="000D493D">
        <w:rPr>
          <w:rFonts w:ascii="Arial" w:hAnsi="Arial" w:cs="Arial"/>
          <w:sz w:val="22"/>
          <w:szCs w:val="22"/>
          <w:u w:val="single"/>
        </w:rPr>
        <w:t>Artículos que la Comisión Técnica dispuso que fueran conocidas por esta Comisión de Hacienda</w:t>
      </w:r>
      <w:r w:rsidR="000D493D">
        <w:rPr>
          <w:rFonts w:ascii="Arial" w:hAnsi="Arial" w:cs="Arial"/>
          <w:sz w:val="22"/>
          <w:szCs w:val="22"/>
          <w:u w:val="single"/>
        </w:rPr>
        <w:t>:</w:t>
      </w:r>
    </w:p>
    <w:bookmarkEnd w:id="9"/>
    <w:bookmarkEnd w:id="10"/>
    <w:bookmarkEnd w:id="11"/>
    <w:p w:rsidR="000D493D" w:rsidRDefault="000D493D" w:rsidP="00CB1C8E">
      <w:pPr>
        <w:spacing w:line="276" w:lineRule="auto"/>
        <w:ind w:right="-234" w:firstLine="1701"/>
        <w:jc w:val="both"/>
        <w:rPr>
          <w:rFonts w:ascii="Arial" w:hAnsi="Arial" w:cs="Arial"/>
          <w:sz w:val="22"/>
          <w:szCs w:val="22"/>
        </w:rPr>
      </w:pPr>
    </w:p>
    <w:p w:rsidR="009B48D6" w:rsidRDefault="00BE62B9" w:rsidP="00CB1C8E">
      <w:pPr>
        <w:pStyle w:val="Sinespaciado"/>
        <w:spacing w:line="276" w:lineRule="auto"/>
        <w:ind w:right="-234" w:firstLine="1701"/>
        <w:jc w:val="both"/>
        <w:rPr>
          <w:rFonts w:ascii="Arial" w:hAnsi="Arial" w:cs="Arial"/>
          <w:bCs/>
          <w:lang w:val="es-ES"/>
        </w:rPr>
      </w:pPr>
      <w:bookmarkStart w:id="12" w:name="_Toc408309929"/>
      <w:bookmarkStart w:id="13" w:name="_Toc409556912"/>
      <w:bookmarkStart w:id="14" w:name="_Toc499712184"/>
      <w:r w:rsidRPr="00BE62B9">
        <w:rPr>
          <w:rFonts w:ascii="Arial" w:hAnsi="Arial" w:cs="Arial"/>
          <w:bCs/>
          <w:lang w:val="es-ES"/>
        </w:rPr>
        <w:t xml:space="preserve">El artículo transitorio del proyecto de ley aprobado por la Comisión </w:t>
      </w:r>
      <w:r>
        <w:rPr>
          <w:rFonts w:ascii="Arial" w:hAnsi="Arial" w:cs="Arial"/>
          <w:bCs/>
          <w:lang w:val="es-ES"/>
        </w:rPr>
        <w:t xml:space="preserve">de Educación </w:t>
      </w:r>
      <w:r w:rsidRPr="00BE62B9">
        <w:rPr>
          <w:rFonts w:ascii="Arial" w:hAnsi="Arial" w:cs="Arial"/>
          <w:bCs/>
          <w:lang w:val="es-ES"/>
        </w:rPr>
        <w:t>requiere ser conocido por la Comisión de Hacienda, de conformidad con lo dispuesto por el artículo 226 del Reglamento de la Corporación.</w:t>
      </w:r>
    </w:p>
    <w:p w:rsidR="009B48D6" w:rsidRDefault="009B48D6" w:rsidP="00CB1C8E">
      <w:pPr>
        <w:pStyle w:val="Sinespaciado"/>
        <w:spacing w:line="276" w:lineRule="auto"/>
        <w:ind w:right="-234" w:firstLine="1701"/>
        <w:jc w:val="both"/>
        <w:rPr>
          <w:rFonts w:ascii="Arial" w:hAnsi="Arial" w:cs="Arial"/>
          <w:bCs/>
          <w:lang w:val="es-ES"/>
        </w:rPr>
      </w:pPr>
      <w:r>
        <w:rPr>
          <w:rFonts w:ascii="Arial" w:hAnsi="Arial" w:cs="Arial"/>
          <w:bCs/>
          <w:lang w:val="es-ES"/>
        </w:rPr>
        <w:t xml:space="preserve">5) </w:t>
      </w:r>
      <w:r w:rsidR="00BE62B9">
        <w:rPr>
          <w:rFonts w:ascii="Arial" w:hAnsi="Arial" w:cs="Arial"/>
          <w:bCs/>
          <w:lang w:val="es-ES"/>
        </w:rPr>
        <w:t>El artículo sometido a consideración fue</w:t>
      </w:r>
      <w:r>
        <w:rPr>
          <w:rFonts w:ascii="Arial" w:hAnsi="Arial" w:cs="Arial"/>
          <w:bCs/>
          <w:lang w:val="es-ES"/>
        </w:rPr>
        <w:t xml:space="preserve"> aprobados en los mismo</w:t>
      </w:r>
      <w:r w:rsidR="00122B84">
        <w:rPr>
          <w:rFonts w:ascii="Arial" w:hAnsi="Arial" w:cs="Arial"/>
          <w:bCs/>
          <w:lang w:val="es-ES"/>
        </w:rPr>
        <w:t>s</w:t>
      </w:r>
      <w:r>
        <w:rPr>
          <w:rFonts w:ascii="Arial" w:hAnsi="Arial" w:cs="Arial"/>
          <w:bCs/>
          <w:lang w:val="es-ES"/>
        </w:rPr>
        <w:t xml:space="preserve"> términos propuestos por la Comisión de Educación.</w:t>
      </w:r>
    </w:p>
    <w:p w:rsidR="009B48D6" w:rsidRDefault="009B48D6" w:rsidP="00CB1C8E">
      <w:pPr>
        <w:pStyle w:val="Sinespaciado"/>
        <w:spacing w:line="276" w:lineRule="auto"/>
        <w:ind w:right="-234" w:firstLine="1701"/>
        <w:jc w:val="both"/>
        <w:rPr>
          <w:rFonts w:ascii="Arial" w:hAnsi="Arial" w:cs="Arial"/>
          <w:bCs/>
          <w:lang w:val="es-ES"/>
        </w:rPr>
      </w:pPr>
    </w:p>
    <w:p w:rsidR="009B48D6" w:rsidRDefault="009B48D6" w:rsidP="00CB1C8E">
      <w:pPr>
        <w:pStyle w:val="Sinespaciado"/>
        <w:spacing w:line="276" w:lineRule="auto"/>
        <w:ind w:right="-234" w:firstLine="1701"/>
        <w:jc w:val="both"/>
        <w:rPr>
          <w:rFonts w:ascii="Arial" w:hAnsi="Arial" w:cs="Arial"/>
          <w:bCs/>
          <w:lang w:val="es-ES"/>
        </w:rPr>
      </w:pPr>
      <w:r>
        <w:rPr>
          <w:rFonts w:ascii="Arial" w:hAnsi="Arial" w:cs="Arial"/>
          <w:bCs/>
          <w:lang w:val="es-ES"/>
        </w:rPr>
        <w:t>6) No hubo indicaciones declaradas inadmisibles.</w:t>
      </w:r>
    </w:p>
    <w:p w:rsidR="00A25CC8" w:rsidRDefault="00A25CC8" w:rsidP="00CB1C8E">
      <w:pPr>
        <w:pStyle w:val="Sinespaciado"/>
        <w:spacing w:line="276" w:lineRule="auto"/>
        <w:ind w:right="-234" w:firstLine="1701"/>
        <w:jc w:val="both"/>
        <w:rPr>
          <w:rFonts w:ascii="Arial" w:hAnsi="Arial" w:cs="Arial"/>
          <w:bCs/>
          <w:lang w:val="es-ES"/>
        </w:rPr>
      </w:pPr>
    </w:p>
    <w:p w:rsidR="009D7161" w:rsidRPr="00A25CC8" w:rsidRDefault="009B48D6" w:rsidP="00CB1C8E">
      <w:pPr>
        <w:pStyle w:val="Sinespaciado"/>
        <w:spacing w:line="276" w:lineRule="auto"/>
        <w:ind w:right="-234" w:firstLine="1701"/>
        <w:jc w:val="both"/>
        <w:rPr>
          <w:rFonts w:ascii="Arial" w:hAnsi="Arial" w:cs="Arial"/>
          <w:b/>
          <w:i/>
        </w:rPr>
      </w:pPr>
      <w:r>
        <w:rPr>
          <w:rFonts w:ascii="Arial" w:hAnsi="Arial" w:cs="Arial"/>
        </w:rPr>
        <w:t>7</w:t>
      </w:r>
      <w:r w:rsidR="00293899" w:rsidRPr="00A25CC8">
        <w:rPr>
          <w:rFonts w:ascii="Arial" w:hAnsi="Arial" w:cs="Arial"/>
        </w:rPr>
        <w:t xml:space="preserve">) </w:t>
      </w:r>
      <w:r w:rsidR="00293899" w:rsidRPr="00A25CC8">
        <w:rPr>
          <w:rFonts w:ascii="Arial" w:hAnsi="Arial" w:cs="Arial"/>
          <w:u w:val="single"/>
        </w:rPr>
        <w:t>Diputado informante</w:t>
      </w:r>
      <w:r w:rsidR="000D493D" w:rsidRPr="00A25CC8">
        <w:rPr>
          <w:rFonts w:ascii="Arial" w:hAnsi="Arial" w:cs="Arial"/>
        </w:rPr>
        <w:t>:</w:t>
      </w:r>
      <w:bookmarkEnd w:id="12"/>
      <w:bookmarkEnd w:id="13"/>
      <w:bookmarkEnd w:id="14"/>
      <w:r w:rsidR="00D1299C" w:rsidRPr="00A25CC8">
        <w:rPr>
          <w:rFonts w:ascii="Arial" w:hAnsi="Arial" w:cs="Arial"/>
        </w:rPr>
        <w:t xml:space="preserve"> </w:t>
      </w:r>
      <w:r w:rsidR="00364A4A" w:rsidRPr="00A25CC8">
        <w:rPr>
          <w:rFonts w:ascii="Arial" w:hAnsi="Arial" w:cs="Arial"/>
        </w:rPr>
        <w:t>Se designó al señor</w:t>
      </w:r>
      <w:r w:rsidR="00DB4480" w:rsidRPr="00A25CC8">
        <w:rPr>
          <w:rFonts w:ascii="Arial" w:hAnsi="Arial" w:cs="Arial"/>
        </w:rPr>
        <w:t xml:space="preserve"> </w:t>
      </w:r>
      <w:bookmarkStart w:id="15" w:name="_Toc408309938"/>
      <w:bookmarkStart w:id="16" w:name="_Toc409556940"/>
      <w:bookmarkStart w:id="17" w:name="_Toc499712193"/>
      <w:r w:rsidR="0071636E">
        <w:rPr>
          <w:rFonts w:ascii="Arial" w:hAnsi="Arial" w:cs="Arial"/>
        </w:rPr>
        <w:t>Jaime Naranjo Ortiz, Presidente de la Comisión.</w:t>
      </w:r>
    </w:p>
    <w:p w:rsidR="005E538A" w:rsidRPr="00A25CC8" w:rsidRDefault="005E538A" w:rsidP="00CB1C8E">
      <w:pPr>
        <w:spacing w:line="276" w:lineRule="auto"/>
        <w:ind w:right="-234" w:firstLine="1701"/>
        <w:jc w:val="both"/>
        <w:rPr>
          <w:rFonts w:ascii="Arial" w:hAnsi="Arial" w:cs="Arial"/>
          <w:b/>
          <w:sz w:val="22"/>
          <w:szCs w:val="22"/>
        </w:rPr>
      </w:pPr>
    </w:p>
    <w:p w:rsidR="006803F9" w:rsidRPr="006803F9" w:rsidRDefault="006803F9" w:rsidP="00CB1C8E">
      <w:pPr>
        <w:spacing w:line="276" w:lineRule="auto"/>
        <w:ind w:right="-234" w:firstLine="1701"/>
        <w:jc w:val="both"/>
        <w:rPr>
          <w:rFonts w:ascii="Arial" w:eastAsia="Calibri" w:hAnsi="Arial" w:cs="Arial"/>
          <w:b/>
          <w:sz w:val="22"/>
          <w:szCs w:val="22"/>
          <w:lang w:eastAsia="en-US"/>
        </w:rPr>
      </w:pPr>
    </w:p>
    <w:p w:rsidR="008D6E6B" w:rsidRDefault="00122B84" w:rsidP="008D6E6B">
      <w:pPr>
        <w:spacing w:line="276" w:lineRule="auto"/>
        <w:ind w:right="-234"/>
        <w:jc w:val="both"/>
        <w:rPr>
          <w:rFonts w:ascii="Arial" w:eastAsia="Calibri" w:hAnsi="Arial" w:cs="Arial"/>
          <w:b/>
          <w:bCs/>
          <w:sz w:val="22"/>
          <w:szCs w:val="22"/>
          <w:lang w:val="es-ES_tradnl" w:eastAsia="en-US"/>
        </w:rPr>
      </w:pPr>
      <w:r>
        <w:rPr>
          <w:rFonts w:ascii="Arial" w:eastAsia="Calibri" w:hAnsi="Arial" w:cs="Arial"/>
          <w:b/>
          <w:sz w:val="22"/>
          <w:szCs w:val="22"/>
          <w:lang w:eastAsia="en-US"/>
        </w:rPr>
        <w:t>II.-</w:t>
      </w:r>
      <w:r w:rsidR="006803F9" w:rsidRPr="006803F9">
        <w:rPr>
          <w:rFonts w:ascii="Arial" w:eastAsia="Calibri" w:hAnsi="Arial" w:cs="Arial"/>
          <w:b/>
          <w:sz w:val="22"/>
          <w:szCs w:val="22"/>
          <w:lang w:eastAsia="en-US"/>
        </w:rPr>
        <w:t>.-</w:t>
      </w:r>
      <w:r w:rsidR="006803F9">
        <w:rPr>
          <w:rFonts w:ascii="Arial" w:eastAsia="Calibri" w:hAnsi="Arial" w:cs="Arial"/>
          <w:b/>
          <w:sz w:val="22"/>
          <w:szCs w:val="22"/>
          <w:lang w:eastAsia="en-US"/>
        </w:rPr>
        <w:t>CONTENIDO DEL TEXTO</w:t>
      </w:r>
      <w:r w:rsidR="006803F9" w:rsidRPr="006803F9">
        <w:rPr>
          <w:rFonts w:ascii="Arial" w:eastAsia="Calibri" w:hAnsi="Arial" w:cs="Arial"/>
          <w:b/>
          <w:bCs/>
          <w:sz w:val="22"/>
          <w:szCs w:val="22"/>
          <w:lang w:val="es-ES_tradnl" w:eastAsia="en-US"/>
        </w:rPr>
        <w:t xml:space="preserve"> APROBADO POR LA COMISIÓN DE EDUCACIÓN</w:t>
      </w:r>
      <w:r w:rsidR="008D6E6B">
        <w:rPr>
          <w:rFonts w:ascii="Arial" w:eastAsia="Calibri" w:hAnsi="Arial" w:cs="Arial"/>
          <w:b/>
          <w:bCs/>
          <w:sz w:val="22"/>
          <w:szCs w:val="22"/>
          <w:lang w:val="es-ES_tradnl" w:eastAsia="en-US"/>
        </w:rPr>
        <w:t xml:space="preserve"> DE COMPETENCIA DE LA COMISIÓN DE HACIENDA</w:t>
      </w:r>
      <w:r w:rsidR="006803F9" w:rsidRPr="006803F9">
        <w:rPr>
          <w:rFonts w:ascii="Arial" w:eastAsia="Calibri" w:hAnsi="Arial" w:cs="Arial"/>
          <w:b/>
          <w:bCs/>
          <w:sz w:val="22"/>
          <w:szCs w:val="22"/>
          <w:lang w:val="es-ES_tradnl" w:eastAsia="en-US"/>
        </w:rPr>
        <w:t>:</w:t>
      </w:r>
      <w:r w:rsidR="006803F9" w:rsidRPr="006803F9">
        <w:rPr>
          <w:rFonts w:ascii="Arial" w:eastAsia="Calibri" w:hAnsi="Arial" w:cs="Arial"/>
          <w:b/>
          <w:bCs/>
          <w:sz w:val="22"/>
          <w:szCs w:val="22"/>
          <w:lang w:val="es-ES_tradnl" w:eastAsia="en-US"/>
        </w:rPr>
        <w:tab/>
      </w:r>
    </w:p>
    <w:p w:rsidR="002A3BB4" w:rsidRDefault="002A3BB4" w:rsidP="008D6E6B">
      <w:pPr>
        <w:spacing w:line="276" w:lineRule="auto"/>
        <w:ind w:right="-234" w:firstLine="1701"/>
        <w:jc w:val="both"/>
        <w:rPr>
          <w:rFonts w:ascii="Arial" w:eastAsia="Calibri" w:hAnsi="Arial" w:cs="Arial"/>
          <w:bCs/>
          <w:sz w:val="22"/>
          <w:szCs w:val="22"/>
          <w:lang w:val="es-ES_tradnl" w:eastAsia="en-US"/>
        </w:rPr>
      </w:pPr>
    </w:p>
    <w:p w:rsidR="008D6E6B" w:rsidRPr="008D6E6B" w:rsidRDefault="008D6E6B" w:rsidP="008D6E6B">
      <w:pPr>
        <w:spacing w:line="276" w:lineRule="auto"/>
        <w:ind w:right="-234" w:firstLine="1701"/>
        <w:jc w:val="both"/>
        <w:rPr>
          <w:rFonts w:ascii="Arial" w:eastAsia="Calibri" w:hAnsi="Arial" w:cs="Arial"/>
          <w:bCs/>
          <w:sz w:val="22"/>
          <w:szCs w:val="22"/>
          <w:lang w:val="es-ES_tradnl" w:eastAsia="en-US"/>
        </w:rPr>
      </w:pPr>
      <w:r w:rsidRPr="008D6E6B">
        <w:rPr>
          <w:rFonts w:ascii="Arial" w:eastAsia="Calibri" w:hAnsi="Arial" w:cs="Arial"/>
          <w:bCs/>
          <w:sz w:val="22"/>
          <w:szCs w:val="22"/>
          <w:lang w:val="es-ES_tradnl" w:eastAsia="en-US"/>
        </w:rPr>
        <w:t xml:space="preserve">Por el artículo transitorio, se explicita que durante el primer año presupuestario de la entrada en vigencia de la ley, se financiará con cargo al presupuesto del Ministerio de Educación y que, en los años siguientes, se estará a lo que considere la Ley de Presupuestos respectiva. </w:t>
      </w:r>
    </w:p>
    <w:p w:rsidR="00122B84" w:rsidRDefault="00122B84" w:rsidP="00CB1C8E">
      <w:pPr>
        <w:spacing w:line="276" w:lineRule="auto"/>
        <w:ind w:right="-234" w:firstLine="1701"/>
        <w:jc w:val="both"/>
        <w:rPr>
          <w:rFonts w:ascii="Arial" w:eastAsia="Calibri" w:hAnsi="Arial" w:cs="Arial"/>
          <w:b/>
          <w:bCs/>
          <w:sz w:val="22"/>
          <w:szCs w:val="22"/>
          <w:lang w:val="es-ES_tradnl" w:eastAsia="en-US"/>
        </w:rPr>
      </w:pPr>
    </w:p>
    <w:p w:rsidR="006803F9" w:rsidRPr="006803F9" w:rsidRDefault="0019298E" w:rsidP="00CB1C8E">
      <w:pPr>
        <w:spacing w:line="276" w:lineRule="auto"/>
        <w:ind w:right="-234"/>
        <w:jc w:val="both"/>
        <w:rPr>
          <w:rFonts w:ascii="Arial" w:eastAsia="Calibri" w:hAnsi="Arial" w:cs="Arial"/>
          <w:b/>
          <w:bCs/>
          <w:sz w:val="22"/>
          <w:szCs w:val="22"/>
          <w:lang w:val="es-ES_tradnl" w:eastAsia="en-US"/>
        </w:rPr>
      </w:pPr>
      <w:r>
        <w:rPr>
          <w:rFonts w:ascii="Arial" w:eastAsia="Calibri" w:hAnsi="Arial" w:cs="Arial"/>
          <w:b/>
          <w:bCs/>
          <w:sz w:val="22"/>
          <w:szCs w:val="22"/>
          <w:lang w:val="es-ES_tradnl" w:eastAsia="en-US"/>
        </w:rPr>
        <w:t>III.-</w:t>
      </w:r>
      <w:r w:rsidR="006803F9" w:rsidRPr="006803F9">
        <w:rPr>
          <w:rFonts w:ascii="Arial" w:eastAsia="Calibri" w:hAnsi="Arial" w:cs="Arial"/>
          <w:b/>
          <w:bCs/>
          <w:sz w:val="22"/>
          <w:szCs w:val="22"/>
          <w:lang w:val="es-ES_tradnl" w:eastAsia="en-US"/>
        </w:rPr>
        <w:t xml:space="preserve"> INCIDENCIA FINANCIERA O PRESUPUESTARIA DEL ESTADO:</w:t>
      </w:r>
    </w:p>
    <w:p w:rsidR="006803F9" w:rsidRDefault="006803F9" w:rsidP="00CB1C8E">
      <w:pPr>
        <w:spacing w:line="276" w:lineRule="auto"/>
        <w:ind w:right="-234" w:firstLine="1701"/>
        <w:jc w:val="both"/>
        <w:rPr>
          <w:rFonts w:ascii="Arial" w:eastAsia="Calibri" w:hAnsi="Arial" w:cs="Arial"/>
          <w:b/>
          <w:bCs/>
          <w:sz w:val="22"/>
          <w:szCs w:val="22"/>
          <w:lang w:val="es-ES_tradnl" w:eastAsia="en-US"/>
        </w:rPr>
      </w:pPr>
    </w:p>
    <w:p w:rsidR="008B220F" w:rsidRDefault="008B220F" w:rsidP="00CB1C8E">
      <w:pPr>
        <w:spacing w:line="276" w:lineRule="auto"/>
        <w:ind w:right="-234" w:firstLine="1701"/>
        <w:jc w:val="both"/>
        <w:rPr>
          <w:rFonts w:ascii="Arial" w:eastAsia="Calibri" w:hAnsi="Arial" w:cs="Arial"/>
          <w:bCs/>
          <w:sz w:val="22"/>
          <w:szCs w:val="22"/>
          <w:lang w:val="es-ES_tradnl" w:eastAsia="en-US"/>
        </w:rPr>
      </w:pPr>
      <w:r w:rsidRPr="008B220F">
        <w:rPr>
          <w:rFonts w:ascii="Arial" w:eastAsia="Calibri" w:hAnsi="Arial" w:cs="Arial"/>
          <w:bCs/>
          <w:sz w:val="22"/>
          <w:szCs w:val="22"/>
          <w:lang w:val="es-ES_tradnl" w:eastAsia="en-US"/>
        </w:rPr>
        <w:t>El informe</w:t>
      </w:r>
      <w:r>
        <w:rPr>
          <w:rFonts w:ascii="Arial" w:eastAsia="Calibri" w:hAnsi="Arial" w:cs="Arial"/>
          <w:bCs/>
          <w:sz w:val="22"/>
          <w:szCs w:val="22"/>
          <w:lang w:val="es-ES_tradnl" w:eastAsia="en-US"/>
        </w:rPr>
        <w:t xml:space="preserve"> financiero N°041, ingresado el 10 de marzo de 2022, elaborado por la Dirección de Presupuestos del Ministerio de Hacienda, señala lo siguiente respecto de la incidencia financiera del proyecto:</w:t>
      </w:r>
    </w:p>
    <w:p w:rsidR="008B220F" w:rsidRDefault="008B220F" w:rsidP="008B220F">
      <w:pPr>
        <w:spacing w:line="276" w:lineRule="auto"/>
        <w:ind w:right="-234" w:firstLine="1701"/>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 xml:space="preserve"> </w:t>
      </w: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-E</w:t>
      </w:r>
      <w:r w:rsidRPr="008B220F">
        <w:rPr>
          <w:rFonts w:ascii="Arial" w:eastAsia="Calibri" w:hAnsi="Arial" w:cs="Arial"/>
          <w:bCs/>
          <w:sz w:val="22"/>
          <w:szCs w:val="22"/>
          <w:lang w:val="es-ES_tradnl" w:eastAsia="en-US"/>
        </w:rPr>
        <w:t>stablece un marco especial y específico para la Escuela de Gendarmería respecto al periodo previo al inicio de su proceso de acreditación. Además, otorga coherencia interna a la normativa que rige respecto a las personas que sean parte de Gendarmería de Chile y se modifican algunos requisitos de ingreso con la finalidad de adecuarlos a los requisitos de ingreso existentes para las instituciones de educación superior. Por último, se realizan adecuaciones de lenguaje inclusivo.</w:t>
      </w: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r w:rsidRPr="008B220F">
        <w:rPr>
          <w:rFonts w:ascii="Arial" w:eastAsia="Calibri" w:hAnsi="Arial" w:cs="Arial"/>
          <w:bCs/>
          <w:sz w:val="22"/>
          <w:szCs w:val="22"/>
          <w:lang w:val="es-ES_tradnl" w:eastAsia="en-US"/>
        </w:rPr>
        <w:t>En particular:</w:t>
      </w: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r w:rsidRPr="008B220F">
        <w:rPr>
          <w:rFonts w:ascii="Arial" w:eastAsia="Calibri" w:hAnsi="Arial" w:cs="Arial"/>
          <w:bCs/>
          <w:sz w:val="22"/>
          <w:szCs w:val="22"/>
          <w:lang w:val="es-ES_tradnl" w:eastAsia="en-US"/>
        </w:rPr>
        <w:t>a)</w:t>
      </w:r>
      <w:r w:rsidRPr="008B220F">
        <w:rPr>
          <w:rFonts w:ascii="Arial" w:eastAsia="Calibri" w:hAnsi="Arial" w:cs="Arial"/>
          <w:bCs/>
          <w:sz w:val="22"/>
          <w:szCs w:val="22"/>
          <w:lang w:val="es-ES_tradnl" w:eastAsia="en-US"/>
        </w:rPr>
        <w:tab/>
        <w:t>Se establece un plazo de 7 años para que la Escuela de Gendarmería de Chile comience su proceso de acreditación desde el momento en que ésta sea reconocida, en tanto existan a lo menos dos cohortes de alumnos que hubiesen egresado de ella.</w:t>
      </w: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r w:rsidRPr="008B220F">
        <w:rPr>
          <w:rFonts w:ascii="Arial" w:eastAsia="Calibri" w:hAnsi="Arial" w:cs="Arial"/>
          <w:bCs/>
          <w:sz w:val="22"/>
          <w:szCs w:val="22"/>
          <w:lang w:val="es-ES_tradnl" w:eastAsia="en-US"/>
        </w:rPr>
        <w:t>b)</w:t>
      </w:r>
      <w:r w:rsidRPr="008B220F">
        <w:rPr>
          <w:rFonts w:ascii="Arial" w:eastAsia="Calibri" w:hAnsi="Arial" w:cs="Arial"/>
          <w:bCs/>
          <w:sz w:val="22"/>
          <w:szCs w:val="22"/>
          <w:lang w:val="es-ES_tradnl" w:eastAsia="en-US"/>
        </w:rPr>
        <w:tab/>
        <w:t>Se establece un procedimiento de supervisión, a cargo del Consejo Nacional de Educación, que se desarrollará hasta que la Escuela de Gendarmería de Chile se presente al procedimiento de acreditación.</w:t>
      </w: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p>
    <w:p w:rsidR="008B220F" w:rsidRPr="008B220F" w:rsidRDefault="008B220F" w:rsidP="008B220F">
      <w:pPr>
        <w:spacing w:line="276" w:lineRule="auto"/>
        <w:ind w:right="-234" w:firstLine="1701"/>
        <w:jc w:val="both"/>
        <w:rPr>
          <w:rFonts w:ascii="Arial" w:eastAsia="Calibri" w:hAnsi="Arial" w:cs="Arial"/>
          <w:bCs/>
          <w:sz w:val="22"/>
          <w:szCs w:val="22"/>
          <w:lang w:val="es-ES_tradnl" w:eastAsia="en-US"/>
        </w:rPr>
      </w:pPr>
      <w:r w:rsidRPr="008B220F">
        <w:rPr>
          <w:rFonts w:ascii="Arial" w:eastAsia="Calibri" w:hAnsi="Arial" w:cs="Arial"/>
          <w:bCs/>
          <w:sz w:val="22"/>
          <w:szCs w:val="22"/>
          <w:lang w:val="es-ES_tradnl" w:eastAsia="en-US"/>
        </w:rPr>
        <w:t>c)</w:t>
      </w:r>
      <w:r w:rsidRPr="008B220F">
        <w:rPr>
          <w:rFonts w:ascii="Arial" w:eastAsia="Calibri" w:hAnsi="Arial" w:cs="Arial"/>
          <w:bCs/>
          <w:sz w:val="22"/>
          <w:szCs w:val="22"/>
          <w:lang w:val="es-ES_tradnl" w:eastAsia="en-US"/>
        </w:rPr>
        <w:tab/>
        <w:t>Se incorporan modificaciones al decreto con fuerza de ley Nºl.791, de 1979, del Ministerio de Justicia, que establece el Estatuto de Personal perteneciente a las Plantas I y II de Gendarmería de Chile, a fin de adecuar los requisitos de ingreso de la Escuela de Gendarmería de Chile a las normativas de educación superior, siendo ello necesario para la dictación del decreto señalado en el artículo cuadragésimo cuarto transitorio de la ley N°21.091.</w:t>
      </w:r>
    </w:p>
    <w:p w:rsidR="002A3BB4" w:rsidRPr="00B15760" w:rsidRDefault="002A3BB4" w:rsidP="002A3BB4">
      <w:pPr>
        <w:pStyle w:val="Textoindependiente"/>
        <w:spacing w:before="360" w:after="240" w:line="276" w:lineRule="auto"/>
        <w:ind w:right="565" w:firstLine="1701"/>
        <w:rPr>
          <w:b/>
          <w:szCs w:val="22"/>
          <w:lang w:eastAsia="es-CL"/>
        </w:rPr>
      </w:pPr>
      <w:r w:rsidRPr="00B15760">
        <w:rPr>
          <w:b/>
          <w:szCs w:val="22"/>
          <w:lang w:eastAsia="es-CL"/>
        </w:rPr>
        <w:t>Efecto del proyecto de ley sobre el Presupuesto Fiscal</w:t>
      </w:r>
    </w:p>
    <w:p w:rsidR="002A3BB4" w:rsidRPr="00D97AB2" w:rsidRDefault="002A3BB4" w:rsidP="002A3BB4">
      <w:pPr>
        <w:widowControl w:val="0"/>
        <w:autoSpaceDE w:val="0"/>
        <w:autoSpaceDN w:val="0"/>
        <w:spacing w:before="233" w:line="264" w:lineRule="auto"/>
        <w:ind w:right="565"/>
        <w:jc w:val="center"/>
        <w:outlineLvl w:val="0"/>
        <w:rPr>
          <w:rFonts w:ascii="Arial" w:eastAsia="Arial" w:hAnsi="Arial" w:cs="Arial"/>
          <w:b/>
          <w:bCs/>
          <w:color w:val="030303"/>
          <w:w w:val="110"/>
        </w:rPr>
      </w:pPr>
      <w:r w:rsidRPr="00B203A4">
        <w:rPr>
          <w:noProof/>
          <w:sz w:val="22"/>
          <w:szCs w:val="22"/>
          <w:lang w:val="es-CL" w:eastAsia="es-CL"/>
        </w:rPr>
        <w:drawing>
          <wp:anchor distT="0" distB="0" distL="0" distR="0" simplePos="0" relativeHeight="251659264" behindDoc="0" locked="0" layoutInCell="1" allowOverlap="1">
            <wp:simplePos x="0" y="0"/>
            <wp:positionH relativeFrom="page">
              <wp:posOffset>3089275</wp:posOffset>
            </wp:positionH>
            <wp:positionV relativeFrom="paragraph">
              <wp:posOffset>516890</wp:posOffset>
            </wp:positionV>
            <wp:extent cx="4102735" cy="68389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73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3A4">
        <w:rPr>
          <w:noProof/>
          <w:sz w:val="22"/>
          <w:szCs w:val="22"/>
          <w:lang w:val="es-CL" w:eastAsia="es-CL"/>
        </w:rPr>
        <mc:AlternateContent>
          <mc:Choice Requires="wps">
            <w:drawing>
              <wp:anchor distT="0" distB="0" distL="114300" distR="114300" simplePos="0" relativeHeight="251660288" behindDoc="0" locked="0" layoutInCell="1" allowOverlap="1">
                <wp:simplePos x="0" y="0"/>
                <wp:positionH relativeFrom="page">
                  <wp:posOffset>989330</wp:posOffset>
                </wp:positionH>
                <wp:positionV relativeFrom="paragraph">
                  <wp:posOffset>536575</wp:posOffset>
                </wp:positionV>
                <wp:extent cx="6185535" cy="1482090"/>
                <wp:effectExtent l="0" t="0" r="5715" b="381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48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5"/>
                              <w:gridCol w:w="1206"/>
                              <w:gridCol w:w="946"/>
                              <w:gridCol w:w="1561"/>
                              <w:gridCol w:w="1143"/>
                              <w:gridCol w:w="1278"/>
                              <w:gridCol w:w="1465"/>
                            </w:tblGrid>
                            <w:tr w:rsidR="002A3BB4" w:rsidTr="00440A4C">
                              <w:trPr>
                                <w:trHeight w:val="989"/>
                              </w:trPr>
                              <w:tc>
                                <w:tcPr>
                                  <w:tcW w:w="2115" w:type="dxa"/>
                                  <w:tcBorders>
                                    <w:left w:val="single" w:sz="8" w:space="0" w:color="000000"/>
                                  </w:tcBorders>
                                  <w:shd w:val="clear" w:color="auto" w:fill="auto"/>
                                </w:tcPr>
                                <w:p w:rsidR="002A3BB4" w:rsidRPr="00440A4C" w:rsidRDefault="002A3BB4" w:rsidP="00440A4C">
                                  <w:pPr>
                                    <w:pStyle w:val="TableParagraph"/>
                                    <w:spacing w:before="4" w:after="1"/>
                                    <w:rPr>
                                      <w:sz w:val="24"/>
                                    </w:rPr>
                                  </w:pPr>
                                </w:p>
                                <w:p w:rsidR="002A3BB4" w:rsidRPr="00440A4C" w:rsidRDefault="002A3BB4" w:rsidP="00440A4C">
                                  <w:pPr>
                                    <w:pStyle w:val="TableParagraph"/>
                                    <w:ind w:left="432"/>
                                    <w:rPr>
                                      <w:sz w:val="20"/>
                                    </w:rPr>
                                  </w:pPr>
                                  <w:r w:rsidRPr="00440A4C">
                                    <w:rPr>
                                      <w:noProof/>
                                      <w:sz w:val="20"/>
                                      <w:lang w:val="es-CL" w:eastAsia="es-CL"/>
                                    </w:rPr>
                                    <w:drawing>
                                      <wp:inline distT="0" distB="0" distL="0" distR="0">
                                        <wp:extent cx="795020" cy="29400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 cy="294005"/>
                                                </a:xfrm>
                                                <a:prstGeom prst="rect">
                                                  <a:avLst/>
                                                </a:prstGeom>
                                                <a:noFill/>
                                                <a:ln>
                                                  <a:noFill/>
                                                </a:ln>
                                              </pic:spPr>
                                            </pic:pic>
                                          </a:graphicData>
                                        </a:graphic>
                                      </wp:inline>
                                    </w:drawing>
                                  </w:r>
                                </w:p>
                              </w:tc>
                              <w:tc>
                                <w:tcPr>
                                  <w:tcW w:w="1206" w:type="dxa"/>
                                  <w:tcBorders>
                                    <w:right w:val="nil"/>
                                  </w:tcBorders>
                                  <w:shd w:val="clear" w:color="auto" w:fill="auto"/>
                                </w:tcPr>
                                <w:p w:rsidR="002A3BB4" w:rsidRPr="00440A4C" w:rsidRDefault="002A3BB4">
                                  <w:pPr>
                                    <w:pStyle w:val="TableParagraph"/>
                                    <w:rPr>
                                      <w:sz w:val="20"/>
                                    </w:rPr>
                                  </w:pPr>
                                </w:p>
                                <w:p w:rsidR="002A3BB4" w:rsidRPr="00440A4C" w:rsidRDefault="002A3BB4" w:rsidP="00440A4C">
                                  <w:pPr>
                                    <w:pStyle w:val="TableParagraph"/>
                                    <w:spacing w:before="5"/>
                                    <w:rPr>
                                      <w:sz w:val="14"/>
                                    </w:rPr>
                                  </w:pPr>
                                </w:p>
                                <w:p w:rsidR="002A3BB4" w:rsidRPr="00440A4C" w:rsidRDefault="002A3BB4" w:rsidP="00440A4C">
                                  <w:pPr>
                                    <w:pStyle w:val="TableParagraph"/>
                                    <w:spacing w:line="230" w:lineRule="exact"/>
                                    <w:ind w:left="204"/>
                                    <w:rPr>
                                      <w:sz w:val="20"/>
                                    </w:rPr>
                                  </w:pPr>
                                  <w:r w:rsidRPr="00440A4C">
                                    <w:rPr>
                                      <w:noProof/>
                                      <w:position w:val="-4"/>
                                      <w:sz w:val="20"/>
                                      <w:lang w:val="es-CL" w:eastAsia="es-CL"/>
                                    </w:rPr>
                                    <w:drawing>
                                      <wp:inline distT="0" distB="0" distL="0" distR="0">
                                        <wp:extent cx="508635" cy="142875"/>
                                        <wp:effectExtent l="0" t="0" r="571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 cy="142875"/>
                                                </a:xfrm>
                                                <a:prstGeom prst="rect">
                                                  <a:avLst/>
                                                </a:prstGeom>
                                                <a:noFill/>
                                                <a:ln>
                                                  <a:noFill/>
                                                </a:ln>
                                              </pic:spPr>
                                            </pic:pic>
                                          </a:graphicData>
                                        </a:graphic>
                                      </wp:inline>
                                    </w:drawing>
                                  </w:r>
                                </w:p>
                              </w:tc>
                              <w:tc>
                                <w:tcPr>
                                  <w:tcW w:w="6393" w:type="dxa"/>
                                  <w:gridSpan w:val="5"/>
                                  <w:tcBorders>
                                    <w:top w:val="nil"/>
                                    <w:left w:val="nil"/>
                                    <w:bottom w:val="nil"/>
                                    <w:right w:val="nil"/>
                                  </w:tcBorders>
                                  <w:shd w:val="clear" w:color="auto" w:fill="auto"/>
                                </w:tcPr>
                                <w:p w:rsidR="002A3BB4" w:rsidRPr="00440A4C" w:rsidRDefault="002A3BB4" w:rsidP="00440A4C">
                                  <w:pPr>
                                    <w:pStyle w:val="TableParagraph"/>
                                    <w:ind w:left="-14"/>
                                    <w:rPr>
                                      <w:sz w:val="20"/>
                                    </w:rPr>
                                  </w:pPr>
                                  <w:r w:rsidRPr="00440A4C">
                                    <w:rPr>
                                      <w:noProof/>
                                      <w:sz w:val="20"/>
                                      <w:lang w:val="es-CL" w:eastAsia="es-CL"/>
                                    </w:rPr>
                                    <w:drawing>
                                      <wp:inline distT="0" distB="0" distL="0" distR="0">
                                        <wp:extent cx="4023360" cy="6203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360" cy="620395"/>
                                                </a:xfrm>
                                                <a:prstGeom prst="rect">
                                                  <a:avLst/>
                                                </a:prstGeom>
                                                <a:noFill/>
                                                <a:ln>
                                                  <a:noFill/>
                                                </a:ln>
                                              </pic:spPr>
                                            </pic:pic>
                                          </a:graphicData>
                                        </a:graphic>
                                      </wp:inline>
                                    </w:drawing>
                                  </w:r>
                                </w:p>
                              </w:tc>
                            </w:tr>
                            <w:tr w:rsidR="002A3BB4" w:rsidTr="00440A4C">
                              <w:trPr>
                                <w:trHeight w:val="465"/>
                              </w:trPr>
                              <w:tc>
                                <w:tcPr>
                                  <w:tcW w:w="2115" w:type="dxa"/>
                                  <w:tcBorders>
                                    <w:left w:val="single" w:sz="8" w:space="0" w:color="000000"/>
                                  </w:tcBorders>
                                  <w:shd w:val="clear" w:color="auto" w:fill="auto"/>
                                </w:tcPr>
                                <w:p w:rsidR="002A3BB4" w:rsidRPr="00440A4C" w:rsidRDefault="002A3BB4" w:rsidP="00440A4C">
                                  <w:pPr>
                                    <w:pStyle w:val="TableParagraph"/>
                                    <w:spacing w:before="11"/>
                                    <w:ind w:left="70"/>
                                    <w:rPr>
                                      <w:sz w:val="20"/>
                                    </w:rPr>
                                  </w:pPr>
                                  <w:r w:rsidRPr="00440A4C">
                                    <w:rPr>
                                      <w:color w:val="030303"/>
                                      <w:w w:val="110"/>
                                      <w:sz w:val="20"/>
                                    </w:rPr>
                                    <w:t>Visi</w:t>
                                  </w:r>
                                  <w:r w:rsidRPr="00440A4C">
                                    <w:rPr>
                                      <w:color w:val="2D3136"/>
                                      <w:w w:val="110"/>
                                      <w:sz w:val="20"/>
                                    </w:rPr>
                                    <w:t>ta</w:t>
                                  </w:r>
                                  <w:r w:rsidRPr="00440A4C">
                                    <w:rPr>
                                      <w:color w:val="2D3136"/>
                                      <w:spacing w:val="21"/>
                                      <w:w w:val="110"/>
                                      <w:sz w:val="20"/>
                                    </w:rPr>
                                    <w:t xml:space="preserve"> </w:t>
                                  </w:r>
                                  <w:r w:rsidRPr="00440A4C">
                                    <w:rPr>
                                      <w:color w:val="030303"/>
                                      <w:spacing w:val="-5"/>
                                      <w:w w:val="110"/>
                                      <w:sz w:val="20"/>
                                    </w:rPr>
                                    <w:t>de</w:t>
                                  </w:r>
                                </w:p>
                                <w:p w:rsidR="002A3BB4" w:rsidRPr="00440A4C" w:rsidRDefault="002A3BB4" w:rsidP="00440A4C">
                                  <w:pPr>
                                    <w:pStyle w:val="TableParagraph"/>
                                    <w:spacing w:before="11" w:line="194" w:lineRule="exact"/>
                                    <w:ind w:left="69"/>
                                    <w:rPr>
                                      <w:sz w:val="20"/>
                                    </w:rPr>
                                  </w:pPr>
                                  <w:r w:rsidRPr="00440A4C">
                                    <w:rPr>
                                      <w:color w:val="1F2124"/>
                                      <w:w w:val="110"/>
                                      <w:sz w:val="20"/>
                                    </w:rPr>
                                    <w:t>acom</w:t>
                                  </w:r>
                                  <w:r w:rsidRPr="00440A4C">
                                    <w:rPr>
                                      <w:color w:val="1F2124"/>
                                      <w:spacing w:val="69"/>
                                      <w:w w:val="110"/>
                                      <w:sz w:val="20"/>
                                    </w:rPr>
                                    <w:t xml:space="preserve"> </w:t>
                                  </w:r>
                                  <w:r w:rsidRPr="00440A4C">
                                    <w:rPr>
                                      <w:color w:val="1F2124"/>
                                      <w:spacing w:val="-2"/>
                                      <w:w w:val="110"/>
                                      <w:sz w:val="20"/>
                                    </w:rPr>
                                    <w:t>a</w:t>
                                  </w:r>
                                  <w:r w:rsidRPr="00440A4C">
                                    <w:rPr>
                                      <w:color w:val="030303"/>
                                      <w:spacing w:val="-2"/>
                                      <w:w w:val="110"/>
                                      <w:sz w:val="20"/>
                                    </w:rPr>
                                    <w:t>ñamiento</w:t>
                                  </w:r>
                                </w:p>
                              </w:tc>
                              <w:tc>
                                <w:tcPr>
                                  <w:tcW w:w="1206" w:type="dxa"/>
                                  <w:shd w:val="clear" w:color="auto" w:fill="auto"/>
                                </w:tcPr>
                                <w:p w:rsidR="002A3BB4" w:rsidRPr="00440A4C" w:rsidRDefault="002A3BB4" w:rsidP="00440A4C">
                                  <w:pPr>
                                    <w:pStyle w:val="TableParagraph"/>
                                    <w:spacing w:before="131"/>
                                    <w:ind w:left="74"/>
                                    <w:rPr>
                                      <w:sz w:val="20"/>
                                    </w:rPr>
                                  </w:pPr>
                                  <w:r w:rsidRPr="00440A4C">
                                    <w:rPr>
                                      <w:color w:val="030303"/>
                                      <w:spacing w:val="-2"/>
                                      <w:w w:val="110"/>
                                      <w:sz w:val="20"/>
                                    </w:rPr>
                                    <w:t>Santiago</w:t>
                                  </w:r>
                                </w:p>
                              </w:tc>
                              <w:tc>
                                <w:tcPr>
                                  <w:tcW w:w="946" w:type="dxa"/>
                                  <w:tcBorders>
                                    <w:top w:val="nil"/>
                                  </w:tcBorders>
                                  <w:shd w:val="clear" w:color="auto" w:fill="auto"/>
                                </w:tcPr>
                                <w:p w:rsidR="002A3BB4" w:rsidRPr="00440A4C" w:rsidRDefault="002A3BB4" w:rsidP="00440A4C">
                                  <w:pPr>
                                    <w:pStyle w:val="TableParagraph"/>
                                    <w:spacing w:before="123"/>
                                    <w:ind w:left="17"/>
                                    <w:jc w:val="center"/>
                                    <w:rPr>
                                      <w:rFonts w:ascii="Times New Roman"/>
                                      <w:sz w:val="21"/>
                                    </w:rPr>
                                  </w:pPr>
                                  <w:r w:rsidRPr="00440A4C">
                                    <w:rPr>
                                      <w:rFonts w:ascii="Times New Roman"/>
                                      <w:color w:val="030303"/>
                                      <w:w w:val="110"/>
                                      <w:sz w:val="21"/>
                                    </w:rPr>
                                    <w:t>1</w:t>
                                  </w:r>
                                </w:p>
                              </w:tc>
                              <w:tc>
                                <w:tcPr>
                                  <w:tcW w:w="1561" w:type="dxa"/>
                                  <w:tcBorders>
                                    <w:top w:val="nil"/>
                                  </w:tcBorders>
                                  <w:shd w:val="clear" w:color="auto" w:fill="auto"/>
                                </w:tcPr>
                                <w:p w:rsidR="002A3BB4" w:rsidRPr="00440A4C" w:rsidRDefault="002A3BB4" w:rsidP="00440A4C">
                                  <w:pPr>
                                    <w:pStyle w:val="TableParagraph"/>
                                    <w:spacing w:before="131"/>
                                    <w:ind w:right="694"/>
                                    <w:jc w:val="right"/>
                                    <w:rPr>
                                      <w:sz w:val="20"/>
                                    </w:rPr>
                                  </w:pPr>
                                  <w:r w:rsidRPr="00440A4C">
                                    <w:rPr>
                                      <w:color w:val="030303"/>
                                      <w:w w:val="110"/>
                                      <w:sz w:val="20"/>
                                    </w:rPr>
                                    <w:t>3</w:t>
                                  </w:r>
                                </w:p>
                              </w:tc>
                              <w:tc>
                                <w:tcPr>
                                  <w:tcW w:w="1143" w:type="dxa"/>
                                  <w:tcBorders>
                                    <w:top w:val="nil"/>
                                  </w:tcBorders>
                                  <w:shd w:val="clear" w:color="auto" w:fill="auto"/>
                                </w:tcPr>
                                <w:p w:rsidR="002A3BB4" w:rsidRPr="00440A4C" w:rsidRDefault="002A3BB4" w:rsidP="00440A4C">
                                  <w:pPr>
                                    <w:pStyle w:val="TableParagraph"/>
                                    <w:spacing w:before="114"/>
                                    <w:ind w:left="435" w:right="409"/>
                                    <w:jc w:val="center"/>
                                    <w:rPr>
                                      <w:rFonts w:ascii="Times New Roman"/>
                                    </w:rPr>
                                  </w:pPr>
                                  <w:r w:rsidRPr="00440A4C">
                                    <w:rPr>
                                      <w:rFonts w:ascii="Times New Roman"/>
                                      <w:color w:val="030303"/>
                                      <w:spacing w:val="-5"/>
                                      <w:w w:val="110"/>
                                    </w:rPr>
                                    <w:t>15</w:t>
                                  </w:r>
                                </w:p>
                              </w:tc>
                              <w:tc>
                                <w:tcPr>
                                  <w:tcW w:w="1278" w:type="dxa"/>
                                  <w:tcBorders>
                                    <w:top w:val="nil"/>
                                  </w:tcBorders>
                                  <w:shd w:val="clear" w:color="auto" w:fill="auto"/>
                                </w:tcPr>
                                <w:p w:rsidR="002A3BB4" w:rsidRPr="00440A4C" w:rsidRDefault="002A3BB4" w:rsidP="00440A4C">
                                  <w:pPr>
                                    <w:pStyle w:val="TableParagraph"/>
                                    <w:spacing w:before="118"/>
                                    <w:ind w:left="223" w:right="190"/>
                                    <w:jc w:val="center"/>
                                    <w:rPr>
                                      <w:rFonts w:ascii="Times New Roman"/>
                                    </w:rPr>
                                  </w:pPr>
                                  <w:r w:rsidRPr="00440A4C">
                                    <w:rPr>
                                      <w:rFonts w:ascii="Times New Roman"/>
                                      <w:color w:val="030303"/>
                                      <w:spacing w:val="-2"/>
                                      <w:w w:val="115"/>
                                    </w:rPr>
                                    <w:t>833.055</w:t>
                                  </w:r>
                                </w:p>
                              </w:tc>
                              <w:tc>
                                <w:tcPr>
                                  <w:tcW w:w="1465" w:type="dxa"/>
                                  <w:tcBorders>
                                    <w:top w:val="nil"/>
                                  </w:tcBorders>
                                  <w:shd w:val="clear" w:color="auto" w:fill="auto"/>
                                </w:tcPr>
                                <w:p w:rsidR="002A3BB4" w:rsidRPr="00440A4C" w:rsidRDefault="002A3BB4" w:rsidP="00440A4C">
                                  <w:pPr>
                                    <w:pStyle w:val="TableParagraph"/>
                                    <w:spacing w:before="118"/>
                                    <w:ind w:right="42"/>
                                    <w:jc w:val="right"/>
                                    <w:rPr>
                                      <w:rFonts w:ascii="Times New Roman"/>
                                    </w:rPr>
                                  </w:pPr>
                                  <w:r w:rsidRPr="00440A4C">
                                    <w:rPr>
                                      <w:rFonts w:ascii="Times New Roman"/>
                                      <w:color w:val="030303"/>
                                      <w:spacing w:val="-2"/>
                                      <w:w w:val="115"/>
                                    </w:rPr>
                                    <w:t>2.499.165</w:t>
                                  </w:r>
                                </w:p>
                              </w:tc>
                            </w:tr>
                            <w:tr w:rsidR="002A3BB4" w:rsidTr="00440A4C">
                              <w:trPr>
                                <w:trHeight w:val="479"/>
                              </w:trPr>
                              <w:tc>
                                <w:tcPr>
                                  <w:tcW w:w="2115" w:type="dxa"/>
                                  <w:tcBorders>
                                    <w:left w:val="single" w:sz="8" w:space="0" w:color="000000"/>
                                  </w:tcBorders>
                                  <w:shd w:val="clear" w:color="auto" w:fill="auto"/>
                                </w:tcPr>
                                <w:p w:rsidR="002A3BB4" w:rsidRPr="00440A4C" w:rsidRDefault="002A3BB4" w:rsidP="00440A4C">
                                  <w:pPr>
                                    <w:pStyle w:val="TableParagraph"/>
                                    <w:spacing w:line="240" w:lineRule="atLeast"/>
                                    <w:ind w:left="69" w:right="82" w:firstLine="1"/>
                                    <w:rPr>
                                      <w:sz w:val="20"/>
                                    </w:rPr>
                                  </w:pPr>
                                  <w:r w:rsidRPr="00440A4C">
                                    <w:rPr>
                                      <w:color w:val="1F2124"/>
                                      <w:spacing w:val="-2"/>
                                      <w:w w:val="110"/>
                                      <w:sz w:val="20"/>
                                    </w:rPr>
                                    <w:t>Evalu</w:t>
                                  </w:r>
                                  <w:r w:rsidRPr="00440A4C">
                                    <w:rPr>
                                      <w:color w:val="030303"/>
                                      <w:spacing w:val="-2"/>
                                      <w:w w:val="110"/>
                                      <w:sz w:val="20"/>
                                    </w:rPr>
                                    <w:t>ación</w:t>
                                  </w:r>
                                  <w:r w:rsidRPr="00440A4C">
                                    <w:rPr>
                                      <w:color w:val="030303"/>
                                      <w:spacing w:val="40"/>
                                      <w:w w:val="110"/>
                                      <w:sz w:val="20"/>
                                    </w:rPr>
                                    <w:t xml:space="preserve"> </w:t>
                                  </w:r>
                                  <w:r w:rsidRPr="00440A4C">
                                    <w:rPr>
                                      <w:color w:val="1F2124"/>
                                      <w:w w:val="110"/>
                                      <w:sz w:val="20"/>
                                    </w:rPr>
                                    <w:t>a</w:t>
                                  </w:r>
                                  <w:r w:rsidRPr="00440A4C">
                                    <w:rPr>
                                      <w:color w:val="030303"/>
                                      <w:w w:val="110"/>
                                      <w:sz w:val="20"/>
                                    </w:rPr>
                                    <w:t>cciones</w:t>
                                  </w:r>
                                  <w:r w:rsidRPr="00440A4C">
                                    <w:rPr>
                                      <w:color w:val="030303"/>
                                      <w:spacing w:val="-11"/>
                                      <w:w w:val="110"/>
                                      <w:sz w:val="20"/>
                                    </w:rPr>
                                    <w:t xml:space="preserve"> </w:t>
                                  </w:r>
                                  <w:r w:rsidRPr="00440A4C">
                                    <w:rPr>
                                      <w:color w:val="030303"/>
                                      <w:w w:val="110"/>
                                      <w:sz w:val="20"/>
                                    </w:rPr>
                                    <w:t xml:space="preserve">de </w:t>
                                  </w:r>
                                  <w:r w:rsidRPr="00440A4C">
                                    <w:rPr>
                                      <w:color w:val="2D3136"/>
                                      <w:w w:val="110"/>
                                      <w:sz w:val="20"/>
                                    </w:rPr>
                                    <w:t>me</w:t>
                                  </w:r>
                                  <w:r w:rsidRPr="00440A4C">
                                    <w:rPr>
                                      <w:color w:val="464950"/>
                                      <w:w w:val="110"/>
                                      <w:sz w:val="20"/>
                                    </w:rPr>
                                    <w:t>·</w:t>
                                  </w:r>
                                  <w:r w:rsidRPr="00440A4C">
                                    <w:rPr>
                                      <w:color w:val="1F2124"/>
                                      <w:w w:val="110"/>
                                      <w:sz w:val="20"/>
                                    </w:rPr>
                                    <w:t>ora</w:t>
                                  </w:r>
                                </w:p>
                              </w:tc>
                              <w:tc>
                                <w:tcPr>
                                  <w:tcW w:w="1206" w:type="dxa"/>
                                  <w:shd w:val="clear" w:color="auto" w:fill="auto"/>
                                </w:tcPr>
                                <w:p w:rsidR="002A3BB4" w:rsidRPr="00440A4C" w:rsidRDefault="002A3BB4" w:rsidP="00440A4C">
                                  <w:pPr>
                                    <w:pStyle w:val="TableParagraph"/>
                                    <w:spacing w:before="146"/>
                                    <w:ind w:left="74"/>
                                    <w:rPr>
                                      <w:sz w:val="20"/>
                                    </w:rPr>
                                  </w:pPr>
                                  <w:r w:rsidRPr="00440A4C">
                                    <w:rPr>
                                      <w:color w:val="030303"/>
                                      <w:spacing w:val="-2"/>
                                      <w:w w:val="110"/>
                                      <w:sz w:val="20"/>
                                    </w:rPr>
                                    <w:t>Santiago</w:t>
                                  </w:r>
                                </w:p>
                              </w:tc>
                              <w:tc>
                                <w:tcPr>
                                  <w:tcW w:w="946" w:type="dxa"/>
                                  <w:shd w:val="clear" w:color="auto" w:fill="auto"/>
                                </w:tcPr>
                                <w:p w:rsidR="002A3BB4" w:rsidRPr="00440A4C" w:rsidRDefault="002A3BB4" w:rsidP="00440A4C">
                                  <w:pPr>
                                    <w:pStyle w:val="TableParagraph"/>
                                    <w:spacing w:before="80"/>
                                    <w:ind w:left="36"/>
                                    <w:jc w:val="center"/>
                                    <w:rPr>
                                      <w:sz w:val="27"/>
                                    </w:rPr>
                                  </w:pPr>
                                  <w:r w:rsidRPr="00440A4C">
                                    <w:rPr>
                                      <w:color w:val="030303"/>
                                      <w:w w:val="82"/>
                                      <w:sz w:val="27"/>
                                    </w:rPr>
                                    <w:t>o</w:t>
                                  </w:r>
                                </w:p>
                              </w:tc>
                              <w:tc>
                                <w:tcPr>
                                  <w:tcW w:w="1561" w:type="dxa"/>
                                  <w:shd w:val="clear" w:color="auto" w:fill="auto"/>
                                </w:tcPr>
                                <w:p w:rsidR="002A3BB4" w:rsidRPr="00440A4C" w:rsidRDefault="002A3BB4" w:rsidP="00440A4C">
                                  <w:pPr>
                                    <w:pStyle w:val="TableParagraph"/>
                                    <w:spacing w:before="146"/>
                                    <w:ind w:right="688"/>
                                    <w:jc w:val="right"/>
                                    <w:rPr>
                                      <w:sz w:val="20"/>
                                    </w:rPr>
                                  </w:pPr>
                                  <w:r w:rsidRPr="00440A4C">
                                    <w:rPr>
                                      <w:color w:val="030303"/>
                                      <w:w w:val="109"/>
                                      <w:sz w:val="20"/>
                                    </w:rPr>
                                    <w:t>2</w:t>
                                  </w:r>
                                </w:p>
                              </w:tc>
                              <w:tc>
                                <w:tcPr>
                                  <w:tcW w:w="1143" w:type="dxa"/>
                                  <w:shd w:val="clear" w:color="auto" w:fill="auto"/>
                                </w:tcPr>
                                <w:p w:rsidR="002A3BB4" w:rsidRPr="00440A4C" w:rsidRDefault="002A3BB4" w:rsidP="00440A4C">
                                  <w:pPr>
                                    <w:pStyle w:val="TableParagraph"/>
                                    <w:spacing w:before="128"/>
                                    <w:ind w:left="429" w:right="415"/>
                                    <w:jc w:val="center"/>
                                    <w:rPr>
                                      <w:rFonts w:ascii="Times New Roman"/>
                                    </w:rPr>
                                  </w:pPr>
                                  <w:r w:rsidRPr="00440A4C">
                                    <w:rPr>
                                      <w:rFonts w:ascii="Times New Roman"/>
                                      <w:color w:val="030303"/>
                                      <w:spacing w:val="-5"/>
                                      <w:w w:val="110"/>
                                    </w:rPr>
                                    <w:t>10</w:t>
                                  </w:r>
                                </w:p>
                              </w:tc>
                              <w:tc>
                                <w:tcPr>
                                  <w:tcW w:w="1278" w:type="dxa"/>
                                  <w:shd w:val="clear" w:color="auto" w:fill="auto"/>
                                </w:tcPr>
                                <w:p w:rsidR="002A3BB4" w:rsidRPr="00440A4C" w:rsidRDefault="002A3BB4" w:rsidP="00440A4C">
                                  <w:pPr>
                                    <w:pStyle w:val="TableParagraph"/>
                                    <w:spacing w:before="128"/>
                                    <w:ind w:left="223" w:right="190"/>
                                    <w:jc w:val="center"/>
                                    <w:rPr>
                                      <w:rFonts w:ascii="Times New Roman"/>
                                    </w:rPr>
                                  </w:pPr>
                                  <w:r w:rsidRPr="00440A4C">
                                    <w:rPr>
                                      <w:rFonts w:ascii="Times New Roman"/>
                                      <w:color w:val="030303"/>
                                      <w:spacing w:val="-2"/>
                                      <w:w w:val="115"/>
                                    </w:rPr>
                                    <w:t>555.370</w:t>
                                  </w:r>
                                </w:p>
                              </w:tc>
                              <w:tc>
                                <w:tcPr>
                                  <w:tcW w:w="1465" w:type="dxa"/>
                                  <w:shd w:val="clear" w:color="auto" w:fill="auto"/>
                                </w:tcPr>
                                <w:p w:rsidR="002A3BB4" w:rsidRPr="00440A4C" w:rsidRDefault="002A3BB4" w:rsidP="00440A4C">
                                  <w:pPr>
                                    <w:pStyle w:val="TableParagraph"/>
                                    <w:spacing w:before="128"/>
                                    <w:ind w:right="45"/>
                                    <w:jc w:val="right"/>
                                    <w:rPr>
                                      <w:rFonts w:ascii="Times New Roman"/>
                                    </w:rPr>
                                  </w:pPr>
                                  <w:r w:rsidRPr="00440A4C">
                                    <w:rPr>
                                      <w:rFonts w:ascii="Times New Roman"/>
                                      <w:color w:val="030303"/>
                                      <w:spacing w:val="-2"/>
                                      <w:w w:val="115"/>
                                    </w:rPr>
                                    <w:t>1.110.740</w:t>
                                  </w:r>
                                </w:p>
                              </w:tc>
                            </w:tr>
                            <w:tr w:rsidR="002A3BB4" w:rsidTr="00440A4C">
                              <w:trPr>
                                <w:trHeight w:val="326"/>
                              </w:trPr>
                              <w:tc>
                                <w:tcPr>
                                  <w:tcW w:w="8249" w:type="dxa"/>
                                  <w:gridSpan w:val="6"/>
                                  <w:tcBorders>
                                    <w:left w:val="single" w:sz="8" w:space="0" w:color="000000"/>
                                  </w:tcBorders>
                                  <w:shd w:val="clear" w:color="auto" w:fill="auto"/>
                                </w:tcPr>
                                <w:p w:rsidR="002A3BB4" w:rsidRPr="00440A4C" w:rsidRDefault="002A3BB4" w:rsidP="00440A4C">
                                  <w:pPr>
                                    <w:pStyle w:val="TableParagraph"/>
                                    <w:spacing w:before="50"/>
                                    <w:ind w:left="62"/>
                                    <w:rPr>
                                      <w:b/>
                                      <w:sz w:val="21"/>
                                    </w:rPr>
                                  </w:pPr>
                                  <w:r w:rsidRPr="00440A4C">
                                    <w:rPr>
                                      <w:b/>
                                      <w:color w:val="030303"/>
                                      <w:w w:val="115"/>
                                      <w:sz w:val="21"/>
                                    </w:rPr>
                                    <w:t>Tota</w:t>
                                  </w:r>
                                  <w:r w:rsidRPr="00440A4C">
                                    <w:rPr>
                                      <w:b/>
                                      <w:color w:val="2D3136"/>
                                      <w:w w:val="115"/>
                                      <w:sz w:val="21"/>
                                    </w:rPr>
                                    <w:t>l</w:t>
                                  </w:r>
                                  <w:r w:rsidRPr="00440A4C">
                                    <w:rPr>
                                      <w:b/>
                                      <w:color w:val="2D3136"/>
                                      <w:spacing w:val="-7"/>
                                      <w:w w:val="115"/>
                                      <w:sz w:val="21"/>
                                    </w:rPr>
                                    <w:t xml:space="preserve"> </w:t>
                                  </w:r>
                                  <w:r w:rsidRPr="00440A4C">
                                    <w:rPr>
                                      <w:b/>
                                      <w:color w:val="030303"/>
                                      <w:spacing w:val="-4"/>
                                      <w:w w:val="115"/>
                                      <w:sz w:val="21"/>
                                    </w:rPr>
                                    <w:t>anual</w:t>
                                  </w:r>
                                </w:p>
                              </w:tc>
                              <w:tc>
                                <w:tcPr>
                                  <w:tcW w:w="1465" w:type="dxa"/>
                                  <w:shd w:val="clear" w:color="auto" w:fill="auto"/>
                                </w:tcPr>
                                <w:p w:rsidR="002A3BB4" w:rsidRPr="00440A4C" w:rsidRDefault="002A3BB4" w:rsidP="00440A4C">
                                  <w:pPr>
                                    <w:pStyle w:val="TableParagraph"/>
                                    <w:spacing w:before="56" w:line="250" w:lineRule="exact"/>
                                    <w:ind w:right="51"/>
                                    <w:jc w:val="right"/>
                                    <w:rPr>
                                      <w:rFonts w:ascii="Times New Roman"/>
                                      <w:b/>
                                    </w:rPr>
                                  </w:pPr>
                                  <w:r w:rsidRPr="00440A4C">
                                    <w:rPr>
                                      <w:rFonts w:ascii="Times New Roman"/>
                                      <w:b/>
                                      <w:color w:val="030303"/>
                                      <w:spacing w:val="-2"/>
                                      <w:w w:val="130"/>
                                    </w:rPr>
                                    <w:t>3.609.905</w:t>
                                  </w:r>
                                </w:p>
                              </w:tc>
                            </w:tr>
                          </w:tbl>
                          <w:p w:rsidR="002A3BB4" w:rsidRDefault="002A3BB4" w:rsidP="002A3BB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77.9pt;margin-top:42.25pt;width:487.05pt;height:1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YZtQIAALEFAAAOAAAAZHJzL2Uyb0RvYy54bWysVNuOmzAQfa/Uf7D8zgJZyAJastqFUFXa&#10;XqRtP8DBJlgFm9pOyLbqv3dsQrKXl6otD9Zgj8+cmTme65tD36E9U5pLkePwIsCIiVpSLrY5/vql&#10;8hKMtCGCkk4KluNHpvHN6u2b63HI2EK2sqNMIQAROhuHHLfGDJnv67plPdEXcmACDhupemLgV219&#10;qsgI6H3nL4Jg6Y9S0UHJmmkNu+V0iFcOv2lYbT41jWYGdTkGbsatyq0bu/qra5JtFRlaXh9pkL9g&#10;0RMuIOgJqiSGoJ3ir6B6XiupZWMuatn7sml4zVwOkE0YvMjmoSUDc7lAcfRwKpP+f7D1x/1nhTjN&#10;MTRKkB5aVOwIVRJRhgw7GIkSW6Rx0Bn4PgzgbQ538gDNdgnr4V7W3zQSsmiJ2LJbpeTYMkKBZGhv&#10;+k+uTjjagmzGD5JCNLIz0gEdGtXbCkJNEKBDsx5PDQIeqIbNZZjE8WWMUQ1nYZQsgtS10CfZfH1Q&#10;2rxjskfWyLECBTh4sr/XxtIh2exiowlZ8a5zKujEsw1wnHYgOFy1Z5aGa+rPNEjXyTqJvGixXHtR&#10;UJbebVVE3rIKr+LysiyKMvxl44ZR1nJKmbBhZoGF0Z818Cj1SRoniWnZcWrhLCWttpuiU2hPQOCV&#10;+1zR4eTs5j+n4YoAubxIKVxEwd0i9aplcuVFVRR76VWQeEGY3qXLIEqjsnqe0j0X7N9TQmOO03gR&#10;T2o6k36RW+C+17mRrOcGRkjHe9DwyYlkVoNrQV1rDeHdZD8phaV/LgW0e260U6wV6SRXc9gcAMXK&#10;eCPpI2hXSVAWCBTmHhitVD8wGmGG5Fh/3xHFMOreC9C/HTizoWZjMxtE1HA1xwajySzMNJh2g+Lb&#10;FpCnFybkLbyRhjv1nlkcXxbMBZfEcYbZwfP033mdJ+3qNwAAAP//AwBQSwMEFAAGAAgAAAAhAK0C&#10;Y3bgAAAACwEAAA8AAABkcnMvZG93bnJldi54bWxMjzFPwzAUhHck/oP1kNiok0JKE+JUVdVOSIg0&#10;DIxO/JpYjZ/T2G3Dv8edYDzd6e67fDWZnl1wdNqSgHgWAUNqrNLUCviqdk9LYM5LUrK3hAJ+0MGq&#10;uL/LZabslUq87H3LQgm5TArovB8yzl3ToZFuZgek4B3saKQPcmy5GuU1lJuez6NowY3UFBY6OeCm&#10;w+a4PxsB628qt/r0UX+Wh1JXVRrR++IoxOPDtH4D5nHyf2G44Qd0KAJTbc+kHOuDTpKA7gUsXxJg&#10;t0A8T1NgtYDn+DUFXuT8/4fiFwAA//8DAFBLAQItABQABgAIAAAAIQC2gziS/gAAAOEBAAATAAAA&#10;AAAAAAAAAAAAAAAAAABbQ29udGVudF9UeXBlc10ueG1sUEsBAi0AFAAGAAgAAAAhADj9If/WAAAA&#10;lAEAAAsAAAAAAAAAAAAAAAAALwEAAF9yZWxzLy5yZWxzUEsBAi0AFAAGAAgAAAAhACHMVhm1AgAA&#10;sQUAAA4AAAAAAAAAAAAAAAAALgIAAGRycy9lMm9Eb2MueG1sUEsBAi0AFAAGAAgAAAAhAK0CY3bg&#10;AAAACwEAAA8AAAAAAAAAAAAAAAAADwUAAGRycy9kb3ducmV2LnhtbFBLBQYAAAAABAAEAPMAAAAc&#10;BgAAAAA=&#10;" filled="f" stroked="f">
                <v:textbox inset="0,0,0,0">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5"/>
                        <w:gridCol w:w="1206"/>
                        <w:gridCol w:w="946"/>
                        <w:gridCol w:w="1561"/>
                        <w:gridCol w:w="1143"/>
                        <w:gridCol w:w="1278"/>
                        <w:gridCol w:w="1465"/>
                      </w:tblGrid>
                      <w:tr w:rsidR="002A3BB4" w:rsidTr="00440A4C">
                        <w:trPr>
                          <w:trHeight w:val="989"/>
                        </w:trPr>
                        <w:tc>
                          <w:tcPr>
                            <w:tcW w:w="2115" w:type="dxa"/>
                            <w:tcBorders>
                              <w:left w:val="single" w:sz="8" w:space="0" w:color="000000"/>
                            </w:tcBorders>
                            <w:shd w:val="clear" w:color="auto" w:fill="auto"/>
                          </w:tcPr>
                          <w:p w:rsidR="002A3BB4" w:rsidRPr="00440A4C" w:rsidRDefault="002A3BB4" w:rsidP="00440A4C">
                            <w:pPr>
                              <w:pStyle w:val="TableParagraph"/>
                              <w:spacing w:before="4" w:after="1"/>
                              <w:rPr>
                                <w:sz w:val="24"/>
                              </w:rPr>
                            </w:pPr>
                          </w:p>
                          <w:p w:rsidR="002A3BB4" w:rsidRPr="00440A4C" w:rsidRDefault="002A3BB4" w:rsidP="00440A4C">
                            <w:pPr>
                              <w:pStyle w:val="TableParagraph"/>
                              <w:ind w:left="432"/>
                              <w:rPr>
                                <w:sz w:val="20"/>
                              </w:rPr>
                            </w:pPr>
                            <w:r w:rsidRPr="00440A4C">
                              <w:rPr>
                                <w:noProof/>
                                <w:sz w:val="20"/>
                                <w:lang w:val="es-CL" w:eastAsia="es-CL"/>
                              </w:rPr>
                              <w:drawing>
                                <wp:inline distT="0" distB="0" distL="0" distR="0">
                                  <wp:extent cx="795020" cy="29400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 cy="294005"/>
                                          </a:xfrm>
                                          <a:prstGeom prst="rect">
                                            <a:avLst/>
                                          </a:prstGeom>
                                          <a:noFill/>
                                          <a:ln>
                                            <a:noFill/>
                                          </a:ln>
                                        </pic:spPr>
                                      </pic:pic>
                                    </a:graphicData>
                                  </a:graphic>
                                </wp:inline>
                              </w:drawing>
                            </w:r>
                          </w:p>
                        </w:tc>
                        <w:tc>
                          <w:tcPr>
                            <w:tcW w:w="1206" w:type="dxa"/>
                            <w:tcBorders>
                              <w:right w:val="nil"/>
                            </w:tcBorders>
                            <w:shd w:val="clear" w:color="auto" w:fill="auto"/>
                          </w:tcPr>
                          <w:p w:rsidR="002A3BB4" w:rsidRPr="00440A4C" w:rsidRDefault="002A3BB4">
                            <w:pPr>
                              <w:pStyle w:val="TableParagraph"/>
                              <w:rPr>
                                <w:sz w:val="20"/>
                              </w:rPr>
                            </w:pPr>
                          </w:p>
                          <w:p w:rsidR="002A3BB4" w:rsidRPr="00440A4C" w:rsidRDefault="002A3BB4" w:rsidP="00440A4C">
                            <w:pPr>
                              <w:pStyle w:val="TableParagraph"/>
                              <w:spacing w:before="5"/>
                              <w:rPr>
                                <w:sz w:val="14"/>
                              </w:rPr>
                            </w:pPr>
                          </w:p>
                          <w:p w:rsidR="002A3BB4" w:rsidRPr="00440A4C" w:rsidRDefault="002A3BB4" w:rsidP="00440A4C">
                            <w:pPr>
                              <w:pStyle w:val="TableParagraph"/>
                              <w:spacing w:line="230" w:lineRule="exact"/>
                              <w:ind w:left="204"/>
                              <w:rPr>
                                <w:sz w:val="20"/>
                              </w:rPr>
                            </w:pPr>
                            <w:r w:rsidRPr="00440A4C">
                              <w:rPr>
                                <w:noProof/>
                                <w:position w:val="-4"/>
                                <w:sz w:val="20"/>
                                <w:lang w:val="es-CL" w:eastAsia="es-CL"/>
                              </w:rPr>
                              <w:drawing>
                                <wp:inline distT="0" distB="0" distL="0" distR="0">
                                  <wp:extent cx="508635" cy="142875"/>
                                  <wp:effectExtent l="0" t="0" r="571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 cy="142875"/>
                                          </a:xfrm>
                                          <a:prstGeom prst="rect">
                                            <a:avLst/>
                                          </a:prstGeom>
                                          <a:noFill/>
                                          <a:ln>
                                            <a:noFill/>
                                          </a:ln>
                                        </pic:spPr>
                                      </pic:pic>
                                    </a:graphicData>
                                  </a:graphic>
                                </wp:inline>
                              </w:drawing>
                            </w:r>
                          </w:p>
                        </w:tc>
                        <w:tc>
                          <w:tcPr>
                            <w:tcW w:w="6393" w:type="dxa"/>
                            <w:gridSpan w:val="5"/>
                            <w:tcBorders>
                              <w:top w:val="nil"/>
                              <w:left w:val="nil"/>
                              <w:bottom w:val="nil"/>
                              <w:right w:val="nil"/>
                            </w:tcBorders>
                            <w:shd w:val="clear" w:color="auto" w:fill="auto"/>
                          </w:tcPr>
                          <w:p w:rsidR="002A3BB4" w:rsidRPr="00440A4C" w:rsidRDefault="002A3BB4" w:rsidP="00440A4C">
                            <w:pPr>
                              <w:pStyle w:val="TableParagraph"/>
                              <w:ind w:left="-14"/>
                              <w:rPr>
                                <w:sz w:val="20"/>
                              </w:rPr>
                            </w:pPr>
                            <w:r w:rsidRPr="00440A4C">
                              <w:rPr>
                                <w:noProof/>
                                <w:sz w:val="20"/>
                                <w:lang w:val="es-CL" w:eastAsia="es-CL"/>
                              </w:rPr>
                              <w:drawing>
                                <wp:inline distT="0" distB="0" distL="0" distR="0">
                                  <wp:extent cx="4023360" cy="6203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360" cy="620395"/>
                                          </a:xfrm>
                                          <a:prstGeom prst="rect">
                                            <a:avLst/>
                                          </a:prstGeom>
                                          <a:noFill/>
                                          <a:ln>
                                            <a:noFill/>
                                          </a:ln>
                                        </pic:spPr>
                                      </pic:pic>
                                    </a:graphicData>
                                  </a:graphic>
                                </wp:inline>
                              </w:drawing>
                            </w:r>
                          </w:p>
                        </w:tc>
                      </w:tr>
                      <w:tr w:rsidR="002A3BB4" w:rsidTr="00440A4C">
                        <w:trPr>
                          <w:trHeight w:val="465"/>
                        </w:trPr>
                        <w:tc>
                          <w:tcPr>
                            <w:tcW w:w="2115" w:type="dxa"/>
                            <w:tcBorders>
                              <w:left w:val="single" w:sz="8" w:space="0" w:color="000000"/>
                            </w:tcBorders>
                            <w:shd w:val="clear" w:color="auto" w:fill="auto"/>
                          </w:tcPr>
                          <w:p w:rsidR="002A3BB4" w:rsidRPr="00440A4C" w:rsidRDefault="002A3BB4" w:rsidP="00440A4C">
                            <w:pPr>
                              <w:pStyle w:val="TableParagraph"/>
                              <w:spacing w:before="11"/>
                              <w:ind w:left="70"/>
                              <w:rPr>
                                <w:sz w:val="20"/>
                              </w:rPr>
                            </w:pPr>
                            <w:r w:rsidRPr="00440A4C">
                              <w:rPr>
                                <w:color w:val="030303"/>
                                <w:w w:val="110"/>
                                <w:sz w:val="20"/>
                              </w:rPr>
                              <w:t>Visi</w:t>
                            </w:r>
                            <w:r w:rsidRPr="00440A4C">
                              <w:rPr>
                                <w:color w:val="2D3136"/>
                                <w:w w:val="110"/>
                                <w:sz w:val="20"/>
                              </w:rPr>
                              <w:t>ta</w:t>
                            </w:r>
                            <w:r w:rsidRPr="00440A4C">
                              <w:rPr>
                                <w:color w:val="2D3136"/>
                                <w:spacing w:val="21"/>
                                <w:w w:val="110"/>
                                <w:sz w:val="20"/>
                              </w:rPr>
                              <w:t xml:space="preserve"> </w:t>
                            </w:r>
                            <w:r w:rsidRPr="00440A4C">
                              <w:rPr>
                                <w:color w:val="030303"/>
                                <w:spacing w:val="-5"/>
                                <w:w w:val="110"/>
                                <w:sz w:val="20"/>
                              </w:rPr>
                              <w:t>de</w:t>
                            </w:r>
                          </w:p>
                          <w:p w:rsidR="002A3BB4" w:rsidRPr="00440A4C" w:rsidRDefault="002A3BB4" w:rsidP="00440A4C">
                            <w:pPr>
                              <w:pStyle w:val="TableParagraph"/>
                              <w:spacing w:before="11" w:line="194" w:lineRule="exact"/>
                              <w:ind w:left="69"/>
                              <w:rPr>
                                <w:sz w:val="20"/>
                              </w:rPr>
                            </w:pPr>
                            <w:r w:rsidRPr="00440A4C">
                              <w:rPr>
                                <w:color w:val="1F2124"/>
                                <w:w w:val="110"/>
                                <w:sz w:val="20"/>
                              </w:rPr>
                              <w:t>acom</w:t>
                            </w:r>
                            <w:r w:rsidRPr="00440A4C">
                              <w:rPr>
                                <w:color w:val="1F2124"/>
                                <w:spacing w:val="69"/>
                                <w:w w:val="110"/>
                                <w:sz w:val="20"/>
                              </w:rPr>
                              <w:t xml:space="preserve"> </w:t>
                            </w:r>
                            <w:r w:rsidRPr="00440A4C">
                              <w:rPr>
                                <w:color w:val="1F2124"/>
                                <w:spacing w:val="-2"/>
                                <w:w w:val="110"/>
                                <w:sz w:val="20"/>
                              </w:rPr>
                              <w:t>a</w:t>
                            </w:r>
                            <w:r w:rsidRPr="00440A4C">
                              <w:rPr>
                                <w:color w:val="030303"/>
                                <w:spacing w:val="-2"/>
                                <w:w w:val="110"/>
                                <w:sz w:val="20"/>
                              </w:rPr>
                              <w:t>ñamiento</w:t>
                            </w:r>
                          </w:p>
                        </w:tc>
                        <w:tc>
                          <w:tcPr>
                            <w:tcW w:w="1206" w:type="dxa"/>
                            <w:shd w:val="clear" w:color="auto" w:fill="auto"/>
                          </w:tcPr>
                          <w:p w:rsidR="002A3BB4" w:rsidRPr="00440A4C" w:rsidRDefault="002A3BB4" w:rsidP="00440A4C">
                            <w:pPr>
                              <w:pStyle w:val="TableParagraph"/>
                              <w:spacing w:before="131"/>
                              <w:ind w:left="74"/>
                              <w:rPr>
                                <w:sz w:val="20"/>
                              </w:rPr>
                            </w:pPr>
                            <w:r w:rsidRPr="00440A4C">
                              <w:rPr>
                                <w:color w:val="030303"/>
                                <w:spacing w:val="-2"/>
                                <w:w w:val="110"/>
                                <w:sz w:val="20"/>
                              </w:rPr>
                              <w:t>Santiago</w:t>
                            </w:r>
                          </w:p>
                        </w:tc>
                        <w:tc>
                          <w:tcPr>
                            <w:tcW w:w="946" w:type="dxa"/>
                            <w:tcBorders>
                              <w:top w:val="nil"/>
                            </w:tcBorders>
                            <w:shd w:val="clear" w:color="auto" w:fill="auto"/>
                          </w:tcPr>
                          <w:p w:rsidR="002A3BB4" w:rsidRPr="00440A4C" w:rsidRDefault="002A3BB4" w:rsidP="00440A4C">
                            <w:pPr>
                              <w:pStyle w:val="TableParagraph"/>
                              <w:spacing w:before="123"/>
                              <w:ind w:left="17"/>
                              <w:jc w:val="center"/>
                              <w:rPr>
                                <w:rFonts w:ascii="Times New Roman"/>
                                <w:sz w:val="21"/>
                              </w:rPr>
                            </w:pPr>
                            <w:r w:rsidRPr="00440A4C">
                              <w:rPr>
                                <w:rFonts w:ascii="Times New Roman"/>
                                <w:color w:val="030303"/>
                                <w:w w:val="110"/>
                                <w:sz w:val="21"/>
                              </w:rPr>
                              <w:t>1</w:t>
                            </w:r>
                          </w:p>
                        </w:tc>
                        <w:tc>
                          <w:tcPr>
                            <w:tcW w:w="1561" w:type="dxa"/>
                            <w:tcBorders>
                              <w:top w:val="nil"/>
                            </w:tcBorders>
                            <w:shd w:val="clear" w:color="auto" w:fill="auto"/>
                          </w:tcPr>
                          <w:p w:rsidR="002A3BB4" w:rsidRPr="00440A4C" w:rsidRDefault="002A3BB4" w:rsidP="00440A4C">
                            <w:pPr>
                              <w:pStyle w:val="TableParagraph"/>
                              <w:spacing w:before="131"/>
                              <w:ind w:right="694"/>
                              <w:jc w:val="right"/>
                              <w:rPr>
                                <w:sz w:val="20"/>
                              </w:rPr>
                            </w:pPr>
                            <w:r w:rsidRPr="00440A4C">
                              <w:rPr>
                                <w:color w:val="030303"/>
                                <w:w w:val="110"/>
                                <w:sz w:val="20"/>
                              </w:rPr>
                              <w:t>3</w:t>
                            </w:r>
                          </w:p>
                        </w:tc>
                        <w:tc>
                          <w:tcPr>
                            <w:tcW w:w="1143" w:type="dxa"/>
                            <w:tcBorders>
                              <w:top w:val="nil"/>
                            </w:tcBorders>
                            <w:shd w:val="clear" w:color="auto" w:fill="auto"/>
                          </w:tcPr>
                          <w:p w:rsidR="002A3BB4" w:rsidRPr="00440A4C" w:rsidRDefault="002A3BB4" w:rsidP="00440A4C">
                            <w:pPr>
                              <w:pStyle w:val="TableParagraph"/>
                              <w:spacing w:before="114"/>
                              <w:ind w:left="435" w:right="409"/>
                              <w:jc w:val="center"/>
                              <w:rPr>
                                <w:rFonts w:ascii="Times New Roman"/>
                              </w:rPr>
                            </w:pPr>
                            <w:r w:rsidRPr="00440A4C">
                              <w:rPr>
                                <w:rFonts w:ascii="Times New Roman"/>
                                <w:color w:val="030303"/>
                                <w:spacing w:val="-5"/>
                                <w:w w:val="110"/>
                              </w:rPr>
                              <w:t>15</w:t>
                            </w:r>
                          </w:p>
                        </w:tc>
                        <w:tc>
                          <w:tcPr>
                            <w:tcW w:w="1278" w:type="dxa"/>
                            <w:tcBorders>
                              <w:top w:val="nil"/>
                            </w:tcBorders>
                            <w:shd w:val="clear" w:color="auto" w:fill="auto"/>
                          </w:tcPr>
                          <w:p w:rsidR="002A3BB4" w:rsidRPr="00440A4C" w:rsidRDefault="002A3BB4" w:rsidP="00440A4C">
                            <w:pPr>
                              <w:pStyle w:val="TableParagraph"/>
                              <w:spacing w:before="118"/>
                              <w:ind w:left="223" w:right="190"/>
                              <w:jc w:val="center"/>
                              <w:rPr>
                                <w:rFonts w:ascii="Times New Roman"/>
                              </w:rPr>
                            </w:pPr>
                            <w:r w:rsidRPr="00440A4C">
                              <w:rPr>
                                <w:rFonts w:ascii="Times New Roman"/>
                                <w:color w:val="030303"/>
                                <w:spacing w:val="-2"/>
                                <w:w w:val="115"/>
                              </w:rPr>
                              <w:t>833.055</w:t>
                            </w:r>
                          </w:p>
                        </w:tc>
                        <w:tc>
                          <w:tcPr>
                            <w:tcW w:w="1465" w:type="dxa"/>
                            <w:tcBorders>
                              <w:top w:val="nil"/>
                            </w:tcBorders>
                            <w:shd w:val="clear" w:color="auto" w:fill="auto"/>
                          </w:tcPr>
                          <w:p w:rsidR="002A3BB4" w:rsidRPr="00440A4C" w:rsidRDefault="002A3BB4" w:rsidP="00440A4C">
                            <w:pPr>
                              <w:pStyle w:val="TableParagraph"/>
                              <w:spacing w:before="118"/>
                              <w:ind w:right="42"/>
                              <w:jc w:val="right"/>
                              <w:rPr>
                                <w:rFonts w:ascii="Times New Roman"/>
                              </w:rPr>
                            </w:pPr>
                            <w:r w:rsidRPr="00440A4C">
                              <w:rPr>
                                <w:rFonts w:ascii="Times New Roman"/>
                                <w:color w:val="030303"/>
                                <w:spacing w:val="-2"/>
                                <w:w w:val="115"/>
                              </w:rPr>
                              <w:t>2.499.165</w:t>
                            </w:r>
                          </w:p>
                        </w:tc>
                      </w:tr>
                      <w:tr w:rsidR="002A3BB4" w:rsidTr="00440A4C">
                        <w:trPr>
                          <w:trHeight w:val="479"/>
                        </w:trPr>
                        <w:tc>
                          <w:tcPr>
                            <w:tcW w:w="2115" w:type="dxa"/>
                            <w:tcBorders>
                              <w:left w:val="single" w:sz="8" w:space="0" w:color="000000"/>
                            </w:tcBorders>
                            <w:shd w:val="clear" w:color="auto" w:fill="auto"/>
                          </w:tcPr>
                          <w:p w:rsidR="002A3BB4" w:rsidRPr="00440A4C" w:rsidRDefault="002A3BB4" w:rsidP="00440A4C">
                            <w:pPr>
                              <w:pStyle w:val="TableParagraph"/>
                              <w:spacing w:line="240" w:lineRule="atLeast"/>
                              <w:ind w:left="69" w:right="82" w:firstLine="1"/>
                              <w:rPr>
                                <w:sz w:val="20"/>
                              </w:rPr>
                            </w:pPr>
                            <w:r w:rsidRPr="00440A4C">
                              <w:rPr>
                                <w:color w:val="1F2124"/>
                                <w:spacing w:val="-2"/>
                                <w:w w:val="110"/>
                                <w:sz w:val="20"/>
                              </w:rPr>
                              <w:t>Evalu</w:t>
                            </w:r>
                            <w:r w:rsidRPr="00440A4C">
                              <w:rPr>
                                <w:color w:val="030303"/>
                                <w:spacing w:val="-2"/>
                                <w:w w:val="110"/>
                                <w:sz w:val="20"/>
                              </w:rPr>
                              <w:t>ación</w:t>
                            </w:r>
                            <w:r w:rsidRPr="00440A4C">
                              <w:rPr>
                                <w:color w:val="030303"/>
                                <w:spacing w:val="40"/>
                                <w:w w:val="110"/>
                                <w:sz w:val="20"/>
                              </w:rPr>
                              <w:t xml:space="preserve"> </w:t>
                            </w:r>
                            <w:r w:rsidRPr="00440A4C">
                              <w:rPr>
                                <w:color w:val="1F2124"/>
                                <w:w w:val="110"/>
                                <w:sz w:val="20"/>
                              </w:rPr>
                              <w:t>a</w:t>
                            </w:r>
                            <w:r w:rsidRPr="00440A4C">
                              <w:rPr>
                                <w:color w:val="030303"/>
                                <w:w w:val="110"/>
                                <w:sz w:val="20"/>
                              </w:rPr>
                              <w:t>cciones</w:t>
                            </w:r>
                            <w:r w:rsidRPr="00440A4C">
                              <w:rPr>
                                <w:color w:val="030303"/>
                                <w:spacing w:val="-11"/>
                                <w:w w:val="110"/>
                                <w:sz w:val="20"/>
                              </w:rPr>
                              <w:t xml:space="preserve"> </w:t>
                            </w:r>
                            <w:r w:rsidRPr="00440A4C">
                              <w:rPr>
                                <w:color w:val="030303"/>
                                <w:w w:val="110"/>
                                <w:sz w:val="20"/>
                              </w:rPr>
                              <w:t xml:space="preserve">de </w:t>
                            </w:r>
                            <w:r w:rsidRPr="00440A4C">
                              <w:rPr>
                                <w:color w:val="2D3136"/>
                                <w:w w:val="110"/>
                                <w:sz w:val="20"/>
                              </w:rPr>
                              <w:t>me</w:t>
                            </w:r>
                            <w:r w:rsidRPr="00440A4C">
                              <w:rPr>
                                <w:color w:val="464950"/>
                                <w:w w:val="110"/>
                                <w:sz w:val="20"/>
                              </w:rPr>
                              <w:t>·</w:t>
                            </w:r>
                            <w:r w:rsidRPr="00440A4C">
                              <w:rPr>
                                <w:color w:val="1F2124"/>
                                <w:w w:val="110"/>
                                <w:sz w:val="20"/>
                              </w:rPr>
                              <w:t>ora</w:t>
                            </w:r>
                          </w:p>
                        </w:tc>
                        <w:tc>
                          <w:tcPr>
                            <w:tcW w:w="1206" w:type="dxa"/>
                            <w:shd w:val="clear" w:color="auto" w:fill="auto"/>
                          </w:tcPr>
                          <w:p w:rsidR="002A3BB4" w:rsidRPr="00440A4C" w:rsidRDefault="002A3BB4" w:rsidP="00440A4C">
                            <w:pPr>
                              <w:pStyle w:val="TableParagraph"/>
                              <w:spacing w:before="146"/>
                              <w:ind w:left="74"/>
                              <w:rPr>
                                <w:sz w:val="20"/>
                              </w:rPr>
                            </w:pPr>
                            <w:r w:rsidRPr="00440A4C">
                              <w:rPr>
                                <w:color w:val="030303"/>
                                <w:spacing w:val="-2"/>
                                <w:w w:val="110"/>
                                <w:sz w:val="20"/>
                              </w:rPr>
                              <w:t>Santiago</w:t>
                            </w:r>
                          </w:p>
                        </w:tc>
                        <w:tc>
                          <w:tcPr>
                            <w:tcW w:w="946" w:type="dxa"/>
                            <w:shd w:val="clear" w:color="auto" w:fill="auto"/>
                          </w:tcPr>
                          <w:p w:rsidR="002A3BB4" w:rsidRPr="00440A4C" w:rsidRDefault="002A3BB4" w:rsidP="00440A4C">
                            <w:pPr>
                              <w:pStyle w:val="TableParagraph"/>
                              <w:spacing w:before="80"/>
                              <w:ind w:left="36"/>
                              <w:jc w:val="center"/>
                              <w:rPr>
                                <w:sz w:val="27"/>
                              </w:rPr>
                            </w:pPr>
                            <w:r w:rsidRPr="00440A4C">
                              <w:rPr>
                                <w:color w:val="030303"/>
                                <w:w w:val="82"/>
                                <w:sz w:val="27"/>
                              </w:rPr>
                              <w:t>o</w:t>
                            </w:r>
                          </w:p>
                        </w:tc>
                        <w:tc>
                          <w:tcPr>
                            <w:tcW w:w="1561" w:type="dxa"/>
                            <w:shd w:val="clear" w:color="auto" w:fill="auto"/>
                          </w:tcPr>
                          <w:p w:rsidR="002A3BB4" w:rsidRPr="00440A4C" w:rsidRDefault="002A3BB4" w:rsidP="00440A4C">
                            <w:pPr>
                              <w:pStyle w:val="TableParagraph"/>
                              <w:spacing w:before="146"/>
                              <w:ind w:right="688"/>
                              <w:jc w:val="right"/>
                              <w:rPr>
                                <w:sz w:val="20"/>
                              </w:rPr>
                            </w:pPr>
                            <w:r w:rsidRPr="00440A4C">
                              <w:rPr>
                                <w:color w:val="030303"/>
                                <w:w w:val="109"/>
                                <w:sz w:val="20"/>
                              </w:rPr>
                              <w:t>2</w:t>
                            </w:r>
                          </w:p>
                        </w:tc>
                        <w:tc>
                          <w:tcPr>
                            <w:tcW w:w="1143" w:type="dxa"/>
                            <w:shd w:val="clear" w:color="auto" w:fill="auto"/>
                          </w:tcPr>
                          <w:p w:rsidR="002A3BB4" w:rsidRPr="00440A4C" w:rsidRDefault="002A3BB4" w:rsidP="00440A4C">
                            <w:pPr>
                              <w:pStyle w:val="TableParagraph"/>
                              <w:spacing w:before="128"/>
                              <w:ind w:left="429" w:right="415"/>
                              <w:jc w:val="center"/>
                              <w:rPr>
                                <w:rFonts w:ascii="Times New Roman"/>
                              </w:rPr>
                            </w:pPr>
                            <w:r w:rsidRPr="00440A4C">
                              <w:rPr>
                                <w:rFonts w:ascii="Times New Roman"/>
                                <w:color w:val="030303"/>
                                <w:spacing w:val="-5"/>
                                <w:w w:val="110"/>
                              </w:rPr>
                              <w:t>10</w:t>
                            </w:r>
                          </w:p>
                        </w:tc>
                        <w:tc>
                          <w:tcPr>
                            <w:tcW w:w="1278" w:type="dxa"/>
                            <w:shd w:val="clear" w:color="auto" w:fill="auto"/>
                          </w:tcPr>
                          <w:p w:rsidR="002A3BB4" w:rsidRPr="00440A4C" w:rsidRDefault="002A3BB4" w:rsidP="00440A4C">
                            <w:pPr>
                              <w:pStyle w:val="TableParagraph"/>
                              <w:spacing w:before="128"/>
                              <w:ind w:left="223" w:right="190"/>
                              <w:jc w:val="center"/>
                              <w:rPr>
                                <w:rFonts w:ascii="Times New Roman"/>
                              </w:rPr>
                            </w:pPr>
                            <w:r w:rsidRPr="00440A4C">
                              <w:rPr>
                                <w:rFonts w:ascii="Times New Roman"/>
                                <w:color w:val="030303"/>
                                <w:spacing w:val="-2"/>
                                <w:w w:val="115"/>
                              </w:rPr>
                              <w:t>555.370</w:t>
                            </w:r>
                          </w:p>
                        </w:tc>
                        <w:tc>
                          <w:tcPr>
                            <w:tcW w:w="1465" w:type="dxa"/>
                            <w:shd w:val="clear" w:color="auto" w:fill="auto"/>
                          </w:tcPr>
                          <w:p w:rsidR="002A3BB4" w:rsidRPr="00440A4C" w:rsidRDefault="002A3BB4" w:rsidP="00440A4C">
                            <w:pPr>
                              <w:pStyle w:val="TableParagraph"/>
                              <w:spacing w:before="128"/>
                              <w:ind w:right="45"/>
                              <w:jc w:val="right"/>
                              <w:rPr>
                                <w:rFonts w:ascii="Times New Roman"/>
                              </w:rPr>
                            </w:pPr>
                            <w:r w:rsidRPr="00440A4C">
                              <w:rPr>
                                <w:rFonts w:ascii="Times New Roman"/>
                                <w:color w:val="030303"/>
                                <w:spacing w:val="-2"/>
                                <w:w w:val="115"/>
                              </w:rPr>
                              <w:t>1.110.740</w:t>
                            </w:r>
                          </w:p>
                        </w:tc>
                      </w:tr>
                      <w:tr w:rsidR="002A3BB4" w:rsidTr="00440A4C">
                        <w:trPr>
                          <w:trHeight w:val="326"/>
                        </w:trPr>
                        <w:tc>
                          <w:tcPr>
                            <w:tcW w:w="8249" w:type="dxa"/>
                            <w:gridSpan w:val="6"/>
                            <w:tcBorders>
                              <w:left w:val="single" w:sz="8" w:space="0" w:color="000000"/>
                            </w:tcBorders>
                            <w:shd w:val="clear" w:color="auto" w:fill="auto"/>
                          </w:tcPr>
                          <w:p w:rsidR="002A3BB4" w:rsidRPr="00440A4C" w:rsidRDefault="002A3BB4" w:rsidP="00440A4C">
                            <w:pPr>
                              <w:pStyle w:val="TableParagraph"/>
                              <w:spacing w:before="50"/>
                              <w:ind w:left="62"/>
                              <w:rPr>
                                <w:b/>
                                <w:sz w:val="21"/>
                              </w:rPr>
                            </w:pPr>
                            <w:r w:rsidRPr="00440A4C">
                              <w:rPr>
                                <w:b/>
                                <w:color w:val="030303"/>
                                <w:w w:val="115"/>
                                <w:sz w:val="21"/>
                              </w:rPr>
                              <w:t>Tota</w:t>
                            </w:r>
                            <w:r w:rsidRPr="00440A4C">
                              <w:rPr>
                                <w:b/>
                                <w:color w:val="2D3136"/>
                                <w:w w:val="115"/>
                                <w:sz w:val="21"/>
                              </w:rPr>
                              <w:t>l</w:t>
                            </w:r>
                            <w:r w:rsidRPr="00440A4C">
                              <w:rPr>
                                <w:b/>
                                <w:color w:val="2D3136"/>
                                <w:spacing w:val="-7"/>
                                <w:w w:val="115"/>
                                <w:sz w:val="21"/>
                              </w:rPr>
                              <w:t xml:space="preserve"> </w:t>
                            </w:r>
                            <w:r w:rsidRPr="00440A4C">
                              <w:rPr>
                                <w:b/>
                                <w:color w:val="030303"/>
                                <w:spacing w:val="-4"/>
                                <w:w w:val="115"/>
                                <w:sz w:val="21"/>
                              </w:rPr>
                              <w:t>anual</w:t>
                            </w:r>
                          </w:p>
                        </w:tc>
                        <w:tc>
                          <w:tcPr>
                            <w:tcW w:w="1465" w:type="dxa"/>
                            <w:shd w:val="clear" w:color="auto" w:fill="auto"/>
                          </w:tcPr>
                          <w:p w:rsidR="002A3BB4" w:rsidRPr="00440A4C" w:rsidRDefault="002A3BB4" w:rsidP="00440A4C">
                            <w:pPr>
                              <w:pStyle w:val="TableParagraph"/>
                              <w:spacing w:before="56" w:line="250" w:lineRule="exact"/>
                              <w:ind w:right="51"/>
                              <w:jc w:val="right"/>
                              <w:rPr>
                                <w:rFonts w:ascii="Times New Roman"/>
                                <w:b/>
                              </w:rPr>
                            </w:pPr>
                            <w:r w:rsidRPr="00440A4C">
                              <w:rPr>
                                <w:rFonts w:ascii="Times New Roman"/>
                                <w:b/>
                                <w:color w:val="030303"/>
                                <w:spacing w:val="-2"/>
                                <w:w w:val="130"/>
                              </w:rPr>
                              <w:t>3.609.905</w:t>
                            </w:r>
                          </w:p>
                        </w:tc>
                      </w:tr>
                    </w:tbl>
                    <w:p w:rsidR="002A3BB4" w:rsidRDefault="002A3BB4" w:rsidP="002A3BB4">
                      <w:pPr>
                        <w:pStyle w:val="Textoindependiente"/>
                      </w:pPr>
                    </w:p>
                  </w:txbxContent>
                </v:textbox>
                <w10:wrap anchorx="page"/>
              </v:shape>
            </w:pict>
          </mc:Fallback>
        </mc:AlternateContent>
      </w:r>
      <w:r w:rsidRPr="00B203A4">
        <w:rPr>
          <w:rFonts w:ascii="Arial" w:eastAsia="Arial" w:hAnsi="Arial" w:cs="Arial"/>
          <w:bCs/>
          <w:color w:val="030303"/>
          <w:spacing w:val="-2"/>
          <w:w w:val="110"/>
          <w:sz w:val="22"/>
          <w:szCs w:val="22"/>
        </w:rPr>
        <w:t>Tabla</w:t>
      </w:r>
      <w:r w:rsidRPr="00B203A4">
        <w:rPr>
          <w:rFonts w:ascii="Arial" w:eastAsia="Arial" w:hAnsi="Arial" w:cs="Arial"/>
          <w:bCs/>
          <w:color w:val="030303"/>
          <w:spacing w:val="-14"/>
          <w:w w:val="110"/>
          <w:sz w:val="22"/>
          <w:szCs w:val="22"/>
        </w:rPr>
        <w:t xml:space="preserve"> </w:t>
      </w:r>
      <w:r w:rsidRPr="00B203A4">
        <w:rPr>
          <w:rFonts w:ascii="Arial" w:eastAsia="Arial" w:hAnsi="Arial" w:cs="Arial"/>
          <w:bCs/>
          <w:color w:val="030303"/>
          <w:spacing w:val="-2"/>
          <w:w w:val="110"/>
          <w:sz w:val="22"/>
          <w:szCs w:val="22"/>
        </w:rPr>
        <w:t>1:</w:t>
      </w:r>
      <w:r w:rsidRPr="00B203A4">
        <w:rPr>
          <w:rFonts w:ascii="Arial" w:eastAsia="Arial" w:hAnsi="Arial" w:cs="Arial"/>
          <w:bCs/>
          <w:color w:val="030303"/>
          <w:spacing w:val="-9"/>
          <w:w w:val="110"/>
          <w:sz w:val="22"/>
          <w:szCs w:val="22"/>
        </w:rPr>
        <w:t xml:space="preserve"> </w:t>
      </w:r>
      <w:r w:rsidRPr="00B203A4">
        <w:rPr>
          <w:rFonts w:ascii="Arial" w:eastAsia="Arial" w:hAnsi="Arial" w:cs="Arial"/>
          <w:bCs/>
          <w:color w:val="030303"/>
          <w:spacing w:val="-2"/>
          <w:w w:val="110"/>
          <w:sz w:val="22"/>
          <w:szCs w:val="22"/>
        </w:rPr>
        <w:t>Costo</w:t>
      </w:r>
      <w:r w:rsidRPr="00B203A4">
        <w:rPr>
          <w:rFonts w:ascii="Arial" w:eastAsia="Arial" w:hAnsi="Arial" w:cs="Arial"/>
          <w:bCs/>
          <w:color w:val="030303"/>
          <w:spacing w:val="-9"/>
          <w:w w:val="110"/>
          <w:sz w:val="22"/>
          <w:szCs w:val="22"/>
        </w:rPr>
        <w:t xml:space="preserve"> </w:t>
      </w:r>
      <w:r w:rsidRPr="00B203A4">
        <w:rPr>
          <w:rFonts w:ascii="Arial" w:eastAsia="Arial" w:hAnsi="Arial" w:cs="Arial"/>
          <w:bCs/>
          <w:color w:val="030303"/>
          <w:spacing w:val="-2"/>
          <w:w w:val="110"/>
          <w:sz w:val="22"/>
          <w:szCs w:val="22"/>
        </w:rPr>
        <w:t>de</w:t>
      </w:r>
      <w:r w:rsidRPr="00B203A4">
        <w:rPr>
          <w:rFonts w:ascii="Arial" w:eastAsia="Arial" w:hAnsi="Arial" w:cs="Arial"/>
          <w:bCs/>
          <w:color w:val="030303"/>
          <w:spacing w:val="-17"/>
          <w:w w:val="110"/>
          <w:sz w:val="22"/>
          <w:szCs w:val="22"/>
        </w:rPr>
        <w:t xml:space="preserve"> </w:t>
      </w:r>
      <w:r w:rsidRPr="00B203A4">
        <w:rPr>
          <w:rFonts w:ascii="Arial" w:eastAsia="Arial" w:hAnsi="Arial" w:cs="Arial"/>
          <w:bCs/>
          <w:color w:val="030303"/>
          <w:spacing w:val="-2"/>
          <w:w w:val="110"/>
          <w:sz w:val="22"/>
          <w:szCs w:val="22"/>
        </w:rPr>
        <w:t>implementación</w:t>
      </w:r>
      <w:r w:rsidRPr="00B203A4">
        <w:rPr>
          <w:rFonts w:ascii="Arial" w:eastAsia="Arial" w:hAnsi="Arial" w:cs="Arial"/>
          <w:bCs/>
          <w:color w:val="030303"/>
          <w:spacing w:val="-19"/>
          <w:w w:val="110"/>
          <w:sz w:val="22"/>
          <w:szCs w:val="22"/>
        </w:rPr>
        <w:t xml:space="preserve"> </w:t>
      </w:r>
      <w:r w:rsidRPr="00B203A4">
        <w:rPr>
          <w:rFonts w:ascii="Arial" w:eastAsia="Arial" w:hAnsi="Arial" w:cs="Arial"/>
          <w:bCs/>
          <w:color w:val="030303"/>
          <w:spacing w:val="-2"/>
          <w:w w:val="110"/>
          <w:sz w:val="22"/>
          <w:szCs w:val="22"/>
        </w:rPr>
        <w:t>del</w:t>
      </w:r>
      <w:r w:rsidRPr="00B203A4">
        <w:rPr>
          <w:rFonts w:ascii="Arial" w:eastAsia="Arial" w:hAnsi="Arial" w:cs="Arial"/>
          <w:bCs/>
          <w:color w:val="030303"/>
          <w:spacing w:val="-17"/>
          <w:w w:val="110"/>
          <w:sz w:val="22"/>
          <w:szCs w:val="22"/>
        </w:rPr>
        <w:t xml:space="preserve"> </w:t>
      </w:r>
      <w:r w:rsidRPr="00B203A4">
        <w:rPr>
          <w:rFonts w:ascii="Arial" w:eastAsia="Arial" w:hAnsi="Arial" w:cs="Arial"/>
          <w:bCs/>
          <w:color w:val="030303"/>
          <w:spacing w:val="-2"/>
          <w:w w:val="110"/>
          <w:sz w:val="22"/>
          <w:szCs w:val="22"/>
        </w:rPr>
        <w:t>proceso</w:t>
      </w:r>
      <w:r w:rsidRPr="00B203A4">
        <w:rPr>
          <w:rFonts w:ascii="Arial" w:eastAsia="Arial" w:hAnsi="Arial" w:cs="Arial"/>
          <w:bCs/>
          <w:color w:val="030303"/>
          <w:spacing w:val="-6"/>
          <w:w w:val="110"/>
          <w:sz w:val="22"/>
          <w:szCs w:val="22"/>
        </w:rPr>
        <w:t xml:space="preserve"> </w:t>
      </w:r>
      <w:r w:rsidRPr="00B203A4">
        <w:rPr>
          <w:rFonts w:ascii="Arial" w:eastAsia="Arial" w:hAnsi="Arial" w:cs="Arial"/>
          <w:bCs/>
          <w:color w:val="030303"/>
          <w:spacing w:val="-2"/>
          <w:w w:val="110"/>
          <w:sz w:val="22"/>
          <w:szCs w:val="22"/>
        </w:rPr>
        <w:t>de</w:t>
      </w:r>
      <w:r w:rsidRPr="00B203A4">
        <w:rPr>
          <w:rFonts w:ascii="Arial" w:eastAsia="Arial" w:hAnsi="Arial" w:cs="Arial"/>
          <w:bCs/>
          <w:color w:val="030303"/>
          <w:spacing w:val="-9"/>
          <w:w w:val="110"/>
          <w:sz w:val="22"/>
          <w:szCs w:val="22"/>
        </w:rPr>
        <w:t xml:space="preserve"> </w:t>
      </w:r>
      <w:r w:rsidRPr="00B203A4">
        <w:rPr>
          <w:rFonts w:ascii="Arial" w:eastAsia="Arial" w:hAnsi="Arial" w:cs="Arial"/>
          <w:bCs/>
          <w:color w:val="030303"/>
          <w:spacing w:val="-2"/>
          <w:w w:val="110"/>
          <w:sz w:val="22"/>
          <w:szCs w:val="22"/>
        </w:rPr>
        <w:t>supervisión</w:t>
      </w:r>
      <w:r w:rsidRPr="00B203A4">
        <w:rPr>
          <w:rFonts w:ascii="Arial" w:eastAsia="Arial" w:hAnsi="Arial" w:cs="Arial"/>
          <w:bCs/>
          <w:color w:val="030303"/>
          <w:spacing w:val="-4"/>
          <w:w w:val="110"/>
          <w:sz w:val="22"/>
          <w:szCs w:val="22"/>
        </w:rPr>
        <w:t xml:space="preserve"> </w:t>
      </w:r>
      <w:r w:rsidRPr="00B203A4">
        <w:rPr>
          <w:rFonts w:ascii="Arial" w:eastAsia="Arial" w:hAnsi="Arial" w:cs="Arial"/>
          <w:bCs/>
          <w:color w:val="030303"/>
          <w:spacing w:val="-2"/>
          <w:w w:val="110"/>
          <w:sz w:val="22"/>
          <w:szCs w:val="22"/>
        </w:rPr>
        <w:t>de</w:t>
      </w:r>
      <w:r w:rsidRPr="00B203A4">
        <w:rPr>
          <w:rFonts w:ascii="Arial" w:eastAsia="Arial" w:hAnsi="Arial" w:cs="Arial"/>
          <w:bCs/>
          <w:color w:val="030303"/>
          <w:spacing w:val="-17"/>
          <w:w w:val="110"/>
          <w:sz w:val="22"/>
          <w:szCs w:val="22"/>
        </w:rPr>
        <w:t xml:space="preserve"> </w:t>
      </w:r>
      <w:r w:rsidRPr="00B203A4">
        <w:rPr>
          <w:rFonts w:ascii="Arial" w:eastAsia="Arial" w:hAnsi="Arial" w:cs="Arial"/>
          <w:bCs/>
          <w:color w:val="030303"/>
          <w:spacing w:val="-2"/>
          <w:w w:val="110"/>
          <w:sz w:val="22"/>
          <w:szCs w:val="22"/>
        </w:rPr>
        <w:t>la</w:t>
      </w:r>
      <w:r w:rsidRPr="00B203A4">
        <w:rPr>
          <w:rFonts w:ascii="Arial" w:eastAsia="Arial" w:hAnsi="Arial" w:cs="Arial"/>
          <w:bCs/>
          <w:color w:val="030303"/>
          <w:spacing w:val="-15"/>
          <w:w w:val="110"/>
          <w:sz w:val="22"/>
          <w:szCs w:val="22"/>
        </w:rPr>
        <w:t xml:space="preserve"> </w:t>
      </w:r>
      <w:r w:rsidRPr="00B203A4">
        <w:rPr>
          <w:rFonts w:ascii="Arial" w:eastAsia="Arial" w:hAnsi="Arial" w:cs="Arial"/>
          <w:bCs/>
          <w:color w:val="030303"/>
          <w:spacing w:val="-2"/>
          <w:w w:val="110"/>
          <w:sz w:val="22"/>
          <w:szCs w:val="22"/>
        </w:rPr>
        <w:t xml:space="preserve">Escuela de </w:t>
      </w:r>
      <w:r w:rsidRPr="00B203A4">
        <w:rPr>
          <w:rFonts w:ascii="Arial" w:eastAsia="Arial" w:hAnsi="Arial" w:cs="Arial"/>
          <w:bCs/>
          <w:color w:val="030303"/>
          <w:w w:val="110"/>
          <w:sz w:val="22"/>
          <w:szCs w:val="22"/>
        </w:rPr>
        <w:t>Gendarmería</w:t>
      </w:r>
      <w:r>
        <w:rPr>
          <w:rFonts w:ascii="Arial" w:eastAsia="Arial" w:hAnsi="Arial" w:cs="Arial"/>
          <w:bCs/>
          <w:color w:val="030303"/>
          <w:w w:val="110"/>
          <w:sz w:val="22"/>
          <w:szCs w:val="22"/>
        </w:rPr>
        <w:t xml:space="preserve"> </w:t>
      </w:r>
      <w:r w:rsidRPr="00B203A4">
        <w:rPr>
          <w:rFonts w:ascii="Arial" w:eastAsia="Arial" w:hAnsi="Arial" w:cs="Arial"/>
          <w:bCs/>
          <w:color w:val="1F2124"/>
          <w:w w:val="110"/>
          <w:sz w:val="22"/>
          <w:szCs w:val="22"/>
        </w:rPr>
        <w:t xml:space="preserve">($ </w:t>
      </w:r>
      <w:r w:rsidRPr="00B203A4">
        <w:rPr>
          <w:rFonts w:ascii="Arial" w:eastAsia="Arial" w:hAnsi="Arial" w:cs="Arial"/>
          <w:bCs/>
          <w:color w:val="030303"/>
          <w:w w:val="110"/>
          <w:sz w:val="22"/>
          <w:szCs w:val="22"/>
        </w:rPr>
        <w:t>2022</w:t>
      </w:r>
      <w:r w:rsidRPr="00D97AB2">
        <w:rPr>
          <w:rFonts w:ascii="Arial" w:eastAsia="Arial" w:hAnsi="Arial" w:cs="Arial"/>
          <w:b/>
          <w:bCs/>
          <w:color w:val="030303"/>
          <w:w w:val="110"/>
        </w:rPr>
        <w:t>)</w:t>
      </w:r>
    </w:p>
    <w:p w:rsidR="002A3BB4" w:rsidRPr="00D97AB2" w:rsidRDefault="002A3BB4" w:rsidP="002A3BB4">
      <w:pPr>
        <w:widowControl w:val="0"/>
        <w:autoSpaceDE w:val="0"/>
        <w:autoSpaceDN w:val="0"/>
        <w:spacing w:before="233" w:line="264" w:lineRule="auto"/>
        <w:ind w:left="3705" w:right="565" w:hanging="3446"/>
        <w:outlineLvl w:val="0"/>
        <w:rPr>
          <w:rFonts w:ascii="Arial" w:eastAsia="Arial" w:hAnsi="Arial" w:cs="Arial"/>
          <w:b/>
          <w:bCs/>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autoSpaceDE w:val="0"/>
        <w:autoSpaceDN w:val="0"/>
        <w:ind w:right="565"/>
        <w:rPr>
          <w:rFonts w:ascii="Arial" w:eastAsia="Arial" w:hAnsi="Arial" w:cs="Arial"/>
          <w:b/>
          <w:sz w:val="26"/>
          <w:szCs w:val="23"/>
        </w:rPr>
      </w:pPr>
    </w:p>
    <w:p w:rsidR="002A3BB4" w:rsidRPr="00D97AB2" w:rsidRDefault="002A3BB4" w:rsidP="002A3BB4">
      <w:pPr>
        <w:widowControl w:val="0"/>
        <w:tabs>
          <w:tab w:val="left" w:pos="8505"/>
        </w:tabs>
        <w:autoSpaceDE w:val="0"/>
        <w:autoSpaceDN w:val="0"/>
        <w:spacing w:before="180" w:line="252" w:lineRule="auto"/>
        <w:ind w:left="216" w:right="565" w:firstLine="7"/>
        <w:jc w:val="both"/>
        <w:rPr>
          <w:rFonts w:ascii="Arial" w:eastAsia="Arial" w:hAnsi="Arial" w:cs="Arial"/>
          <w:sz w:val="18"/>
          <w:szCs w:val="18"/>
        </w:rPr>
      </w:pPr>
      <w:r w:rsidRPr="00D97AB2">
        <w:rPr>
          <w:rFonts w:ascii="Arial" w:eastAsia="Arial" w:hAnsi="Arial" w:cs="Arial"/>
          <w:color w:val="030303"/>
          <w:w w:val="105"/>
          <w:sz w:val="18"/>
          <w:szCs w:val="18"/>
        </w:rPr>
        <w:t>*</w:t>
      </w:r>
      <w:r w:rsidRPr="00D97AB2">
        <w:rPr>
          <w:rFonts w:ascii="Arial" w:eastAsia="Arial" w:hAnsi="Arial" w:cs="Arial"/>
          <w:color w:val="030303"/>
          <w:spacing w:val="-20"/>
          <w:w w:val="105"/>
          <w:sz w:val="18"/>
          <w:szCs w:val="18"/>
        </w:rPr>
        <w:t xml:space="preserve"> </w:t>
      </w:r>
      <w:r w:rsidRPr="00D97AB2">
        <w:rPr>
          <w:rFonts w:ascii="Arial" w:eastAsia="Arial" w:hAnsi="Arial" w:cs="Arial"/>
          <w:color w:val="030303"/>
          <w:w w:val="105"/>
          <w:sz w:val="18"/>
          <w:szCs w:val="18"/>
        </w:rPr>
        <w:t>Para</w:t>
      </w:r>
      <w:r w:rsidRPr="00D97AB2">
        <w:rPr>
          <w:rFonts w:ascii="Arial" w:eastAsia="Arial" w:hAnsi="Arial" w:cs="Arial"/>
          <w:color w:val="030303"/>
          <w:spacing w:val="18"/>
          <w:w w:val="105"/>
          <w:sz w:val="18"/>
          <w:szCs w:val="18"/>
        </w:rPr>
        <w:t xml:space="preserve"> </w:t>
      </w:r>
      <w:r w:rsidRPr="00D97AB2">
        <w:rPr>
          <w:rFonts w:ascii="Arial" w:eastAsia="Arial" w:hAnsi="Arial" w:cs="Arial"/>
          <w:color w:val="030303"/>
          <w:w w:val="105"/>
          <w:sz w:val="18"/>
          <w:szCs w:val="18"/>
        </w:rPr>
        <w:t>e</w:t>
      </w:r>
      <w:r w:rsidRPr="00D97AB2">
        <w:rPr>
          <w:rFonts w:ascii="Arial" w:eastAsia="Arial" w:hAnsi="Arial" w:cs="Arial"/>
          <w:color w:val="2D3136"/>
          <w:w w:val="105"/>
          <w:sz w:val="18"/>
          <w:szCs w:val="18"/>
        </w:rPr>
        <w:t>l</w:t>
      </w:r>
      <w:r w:rsidRPr="00D97AB2">
        <w:rPr>
          <w:rFonts w:ascii="Arial" w:eastAsia="Arial" w:hAnsi="Arial" w:cs="Arial"/>
          <w:color w:val="2D3136"/>
          <w:spacing w:val="-6"/>
          <w:w w:val="105"/>
          <w:sz w:val="18"/>
          <w:szCs w:val="18"/>
        </w:rPr>
        <w:t xml:space="preserve"> </w:t>
      </w:r>
      <w:r w:rsidRPr="00D97AB2">
        <w:rPr>
          <w:rFonts w:ascii="Arial" w:eastAsia="Arial" w:hAnsi="Arial" w:cs="Arial"/>
          <w:color w:val="2D3136"/>
          <w:w w:val="105"/>
          <w:sz w:val="18"/>
          <w:szCs w:val="18"/>
        </w:rPr>
        <w:t>cálc</w:t>
      </w:r>
      <w:r w:rsidRPr="00D97AB2">
        <w:rPr>
          <w:rFonts w:ascii="Arial" w:eastAsia="Arial" w:hAnsi="Arial" w:cs="Arial"/>
          <w:color w:val="030303"/>
          <w:w w:val="105"/>
          <w:sz w:val="18"/>
          <w:szCs w:val="18"/>
        </w:rPr>
        <w:t>u</w:t>
      </w:r>
      <w:r w:rsidRPr="00D97AB2">
        <w:rPr>
          <w:rFonts w:ascii="Arial" w:eastAsia="Arial" w:hAnsi="Arial" w:cs="Arial"/>
          <w:color w:val="606770"/>
          <w:w w:val="105"/>
          <w:sz w:val="18"/>
          <w:szCs w:val="18"/>
        </w:rPr>
        <w:t>l</w:t>
      </w:r>
      <w:r w:rsidRPr="00D97AB2">
        <w:rPr>
          <w:rFonts w:ascii="Arial" w:eastAsia="Arial" w:hAnsi="Arial" w:cs="Arial"/>
          <w:color w:val="030303"/>
          <w:w w:val="105"/>
          <w:sz w:val="18"/>
          <w:szCs w:val="18"/>
        </w:rPr>
        <w:t xml:space="preserve">o </w:t>
      </w:r>
      <w:r w:rsidRPr="00D97AB2">
        <w:rPr>
          <w:rFonts w:ascii="Arial" w:eastAsia="Arial" w:hAnsi="Arial" w:cs="Arial"/>
          <w:color w:val="1F2124"/>
          <w:w w:val="105"/>
          <w:sz w:val="18"/>
          <w:szCs w:val="18"/>
        </w:rPr>
        <w:t xml:space="preserve">del </w:t>
      </w:r>
      <w:r w:rsidRPr="00D97AB2">
        <w:rPr>
          <w:rFonts w:ascii="Arial" w:eastAsia="Arial" w:hAnsi="Arial" w:cs="Arial"/>
          <w:color w:val="030303"/>
          <w:w w:val="105"/>
          <w:sz w:val="18"/>
          <w:szCs w:val="18"/>
        </w:rPr>
        <w:t>mon</w:t>
      </w:r>
      <w:r w:rsidRPr="00D97AB2">
        <w:rPr>
          <w:rFonts w:ascii="Arial" w:eastAsia="Arial" w:hAnsi="Arial" w:cs="Arial"/>
          <w:color w:val="1F2124"/>
          <w:w w:val="105"/>
          <w:sz w:val="18"/>
          <w:szCs w:val="18"/>
        </w:rPr>
        <w:t xml:space="preserve">to </w:t>
      </w:r>
      <w:r w:rsidRPr="00D97AB2">
        <w:rPr>
          <w:rFonts w:ascii="Arial" w:eastAsia="Arial" w:hAnsi="Arial" w:cs="Arial"/>
          <w:color w:val="030303"/>
          <w:w w:val="105"/>
          <w:sz w:val="18"/>
          <w:szCs w:val="18"/>
        </w:rPr>
        <w:t>unitario, en pesos, se</w:t>
      </w:r>
      <w:r w:rsidRPr="00D97AB2">
        <w:rPr>
          <w:rFonts w:ascii="Arial" w:eastAsia="Arial" w:hAnsi="Arial" w:cs="Arial"/>
          <w:color w:val="030303"/>
          <w:spacing w:val="-7"/>
          <w:w w:val="105"/>
          <w:sz w:val="18"/>
          <w:szCs w:val="18"/>
        </w:rPr>
        <w:t xml:space="preserve"> </w:t>
      </w:r>
      <w:r w:rsidRPr="00D97AB2">
        <w:rPr>
          <w:rFonts w:ascii="Arial" w:eastAsia="Arial" w:hAnsi="Arial" w:cs="Arial"/>
          <w:color w:val="030303"/>
          <w:w w:val="105"/>
          <w:sz w:val="18"/>
          <w:szCs w:val="18"/>
        </w:rPr>
        <w:t>cons</w:t>
      </w:r>
      <w:r w:rsidRPr="00D97AB2">
        <w:rPr>
          <w:rFonts w:ascii="Arial" w:eastAsia="Arial" w:hAnsi="Arial" w:cs="Arial"/>
          <w:color w:val="1F2124"/>
          <w:w w:val="105"/>
          <w:sz w:val="18"/>
          <w:szCs w:val="18"/>
        </w:rPr>
        <w:t>i</w:t>
      </w:r>
      <w:r w:rsidRPr="00D97AB2">
        <w:rPr>
          <w:rFonts w:ascii="Arial" w:eastAsia="Arial" w:hAnsi="Arial" w:cs="Arial"/>
          <w:color w:val="030303"/>
          <w:w w:val="105"/>
          <w:sz w:val="18"/>
          <w:szCs w:val="18"/>
        </w:rPr>
        <w:t>dera e</w:t>
      </w:r>
      <w:r w:rsidRPr="00D97AB2">
        <w:rPr>
          <w:rFonts w:ascii="Arial" w:eastAsia="Arial" w:hAnsi="Arial" w:cs="Arial"/>
          <w:color w:val="2D3136"/>
          <w:w w:val="105"/>
          <w:sz w:val="18"/>
          <w:szCs w:val="18"/>
        </w:rPr>
        <w:t xml:space="preserve">l </w:t>
      </w:r>
      <w:r w:rsidRPr="00D97AB2">
        <w:rPr>
          <w:rFonts w:ascii="Arial" w:eastAsia="Arial" w:hAnsi="Arial" w:cs="Arial"/>
          <w:color w:val="1F2124"/>
          <w:w w:val="105"/>
          <w:sz w:val="18"/>
          <w:szCs w:val="18"/>
        </w:rPr>
        <w:t xml:space="preserve">valor de </w:t>
      </w:r>
      <w:r w:rsidRPr="00D97AB2">
        <w:rPr>
          <w:rFonts w:ascii="Arial" w:eastAsia="Arial" w:hAnsi="Arial" w:cs="Arial"/>
          <w:color w:val="464950"/>
          <w:w w:val="105"/>
          <w:sz w:val="18"/>
          <w:szCs w:val="18"/>
        </w:rPr>
        <w:t>l</w:t>
      </w:r>
      <w:r w:rsidRPr="00D97AB2">
        <w:rPr>
          <w:rFonts w:ascii="Arial" w:eastAsia="Arial" w:hAnsi="Arial" w:cs="Arial"/>
          <w:color w:val="1F2124"/>
          <w:w w:val="105"/>
          <w:sz w:val="18"/>
          <w:szCs w:val="18"/>
        </w:rPr>
        <w:t>a</w:t>
      </w:r>
      <w:r w:rsidRPr="00D97AB2">
        <w:rPr>
          <w:rFonts w:ascii="Arial" w:eastAsia="Arial" w:hAnsi="Arial" w:cs="Arial"/>
          <w:color w:val="1F2124"/>
          <w:spacing w:val="-3"/>
          <w:w w:val="105"/>
          <w:sz w:val="18"/>
          <w:szCs w:val="18"/>
        </w:rPr>
        <w:t xml:space="preserve"> </w:t>
      </w:r>
      <w:r w:rsidRPr="00D97AB2">
        <w:rPr>
          <w:rFonts w:ascii="Arial" w:eastAsia="Arial" w:hAnsi="Arial" w:cs="Arial"/>
          <w:color w:val="2D3136"/>
          <w:w w:val="105"/>
          <w:sz w:val="18"/>
          <w:szCs w:val="18"/>
        </w:rPr>
        <w:t>UT</w:t>
      </w:r>
      <w:r w:rsidRPr="00D97AB2">
        <w:rPr>
          <w:rFonts w:ascii="Arial" w:eastAsia="Arial" w:hAnsi="Arial" w:cs="Arial"/>
          <w:color w:val="464950"/>
          <w:w w:val="105"/>
          <w:sz w:val="18"/>
          <w:szCs w:val="18"/>
        </w:rPr>
        <w:t>M</w:t>
      </w:r>
      <w:r w:rsidRPr="00D97AB2">
        <w:rPr>
          <w:rFonts w:ascii="Arial" w:eastAsia="Arial" w:hAnsi="Arial" w:cs="Arial"/>
          <w:color w:val="464950"/>
          <w:spacing w:val="-13"/>
          <w:w w:val="105"/>
          <w:sz w:val="18"/>
          <w:szCs w:val="18"/>
        </w:rPr>
        <w:t xml:space="preserve"> </w:t>
      </w:r>
      <w:r w:rsidRPr="00D97AB2">
        <w:rPr>
          <w:rFonts w:ascii="Arial" w:eastAsia="Arial" w:hAnsi="Arial" w:cs="Arial"/>
          <w:color w:val="030303"/>
          <w:w w:val="105"/>
          <w:sz w:val="18"/>
          <w:szCs w:val="18"/>
        </w:rPr>
        <w:t>proporcionado</w:t>
      </w:r>
      <w:r w:rsidRPr="00D97AB2">
        <w:rPr>
          <w:rFonts w:ascii="Arial" w:eastAsia="Arial" w:hAnsi="Arial" w:cs="Arial"/>
          <w:color w:val="030303"/>
          <w:spacing w:val="27"/>
          <w:w w:val="105"/>
          <w:sz w:val="18"/>
          <w:szCs w:val="18"/>
        </w:rPr>
        <w:t xml:space="preserve"> </w:t>
      </w:r>
      <w:r w:rsidRPr="00D97AB2">
        <w:rPr>
          <w:rFonts w:ascii="Arial" w:eastAsia="Arial" w:hAnsi="Arial" w:cs="Arial"/>
          <w:color w:val="030303"/>
          <w:w w:val="105"/>
          <w:sz w:val="18"/>
          <w:szCs w:val="18"/>
        </w:rPr>
        <w:t>por el</w:t>
      </w:r>
      <w:r w:rsidRPr="00D97AB2">
        <w:rPr>
          <w:rFonts w:ascii="Arial" w:eastAsia="Arial" w:hAnsi="Arial" w:cs="Arial"/>
          <w:color w:val="030303"/>
          <w:spacing w:val="-1"/>
          <w:w w:val="105"/>
          <w:sz w:val="18"/>
          <w:szCs w:val="18"/>
        </w:rPr>
        <w:t xml:space="preserve"> </w:t>
      </w:r>
      <w:r w:rsidRPr="00D97AB2">
        <w:rPr>
          <w:rFonts w:ascii="Arial" w:eastAsia="Arial" w:hAnsi="Arial" w:cs="Arial"/>
          <w:color w:val="030303"/>
          <w:w w:val="105"/>
          <w:sz w:val="18"/>
          <w:szCs w:val="18"/>
        </w:rPr>
        <w:t>Servicio de Impuestos</w:t>
      </w:r>
      <w:r w:rsidRPr="00D97AB2">
        <w:rPr>
          <w:rFonts w:ascii="Arial" w:eastAsia="Arial" w:hAnsi="Arial" w:cs="Arial"/>
          <w:color w:val="030303"/>
          <w:spacing w:val="33"/>
          <w:w w:val="105"/>
          <w:sz w:val="18"/>
          <w:szCs w:val="18"/>
        </w:rPr>
        <w:t xml:space="preserve"> </w:t>
      </w:r>
      <w:r w:rsidRPr="00D97AB2">
        <w:rPr>
          <w:rFonts w:ascii="Arial" w:eastAsia="Arial" w:hAnsi="Arial" w:cs="Arial"/>
          <w:color w:val="1F2124"/>
          <w:w w:val="105"/>
          <w:sz w:val="18"/>
          <w:szCs w:val="18"/>
        </w:rPr>
        <w:t>I</w:t>
      </w:r>
      <w:r w:rsidRPr="00D97AB2">
        <w:rPr>
          <w:rFonts w:ascii="Arial" w:eastAsia="Arial" w:hAnsi="Arial" w:cs="Arial"/>
          <w:color w:val="030303"/>
          <w:w w:val="105"/>
          <w:sz w:val="18"/>
          <w:szCs w:val="18"/>
        </w:rPr>
        <w:t>nternos para</w:t>
      </w:r>
      <w:r w:rsidRPr="00D97AB2">
        <w:rPr>
          <w:rFonts w:ascii="Arial" w:eastAsia="Arial" w:hAnsi="Arial" w:cs="Arial"/>
          <w:color w:val="030303"/>
          <w:spacing w:val="37"/>
          <w:w w:val="105"/>
          <w:sz w:val="18"/>
          <w:szCs w:val="18"/>
        </w:rPr>
        <w:t xml:space="preserve"> </w:t>
      </w:r>
      <w:r w:rsidRPr="00D97AB2">
        <w:rPr>
          <w:rFonts w:ascii="Arial" w:eastAsia="Arial" w:hAnsi="Arial" w:cs="Arial"/>
          <w:color w:val="030303"/>
          <w:w w:val="105"/>
          <w:sz w:val="18"/>
          <w:szCs w:val="18"/>
        </w:rPr>
        <w:t>el mes de</w:t>
      </w:r>
      <w:r w:rsidRPr="00D97AB2">
        <w:rPr>
          <w:rFonts w:ascii="Arial" w:eastAsia="Arial" w:hAnsi="Arial" w:cs="Arial"/>
          <w:color w:val="030303"/>
          <w:spacing w:val="33"/>
          <w:w w:val="105"/>
          <w:sz w:val="18"/>
          <w:szCs w:val="18"/>
        </w:rPr>
        <w:t xml:space="preserve"> </w:t>
      </w:r>
      <w:r w:rsidRPr="00D97AB2">
        <w:rPr>
          <w:rFonts w:ascii="Arial" w:eastAsia="Arial" w:hAnsi="Arial" w:cs="Arial"/>
          <w:color w:val="030303"/>
          <w:w w:val="105"/>
          <w:sz w:val="18"/>
          <w:szCs w:val="18"/>
        </w:rPr>
        <w:t>marzo</w:t>
      </w:r>
      <w:r w:rsidRPr="00D97AB2">
        <w:rPr>
          <w:rFonts w:ascii="Arial" w:eastAsia="Arial" w:hAnsi="Arial" w:cs="Arial"/>
          <w:color w:val="030303"/>
          <w:spacing w:val="36"/>
          <w:w w:val="105"/>
          <w:sz w:val="18"/>
          <w:szCs w:val="18"/>
        </w:rPr>
        <w:t xml:space="preserve"> </w:t>
      </w:r>
      <w:r w:rsidRPr="00D97AB2">
        <w:rPr>
          <w:rFonts w:ascii="Arial" w:eastAsia="Arial" w:hAnsi="Arial" w:cs="Arial"/>
          <w:color w:val="030303"/>
          <w:w w:val="105"/>
          <w:sz w:val="18"/>
          <w:szCs w:val="18"/>
        </w:rPr>
        <w:t>de 2022:</w:t>
      </w:r>
      <w:r w:rsidRPr="00D97AB2">
        <w:rPr>
          <w:rFonts w:ascii="Arial" w:eastAsia="Arial" w:hAnsi="Arial" w:cs="Arial"/>
          <w:color w:val="030303"/>
          <w:spacing w:val="40"/>
          <w:w w:val="105"/>
          <w:sz w:val="18"/>
          <w:szCs w:val="18"/>
        </w:rPr>
        <w:t xml:space="preserve"> </w:t>
      </w:r>
      <w:r w:rsidRPr="00D97AB2">
        <w:rPr>
          <w:rFonts w:ascii="Arial" w:eastAsia="Arial" w:hAnsi="Arial" w:cs="Arial"/>
          <w:color w:val="030303"/>
          <w:w w:val="105"/>
          <w:sz w:val="18"/>
          <w:szCs w:val="18"/>
        </w:rPr>
        <w:t>1</w:t>
      </w:r>
      <w:r w:rsidRPr="00D97AB2">
        <w:rPr>
          <w:rFonts w:ascii="Arial" w:eastAsia="Arial" w:hAnsi="Arial" w:cs="Arial"/>
          <w:color w:val="030303"/>
          <w:spacing w:val="30"/>
          <w:w w:val="105"/>
          <w:sz w:val="18"/>
          <w:szCs w:val="18"/>
        </w:rPr>
        <w:t xml:space="preserve"> </w:t>
      </w:r>
      <w:r w:rsidRPr="00D97AB2">
        <w:rPr>
          <w:rFonts w:ascii="Arial" w:eastAsia="Arial" w:hAnsi="Arial" w:cs="Arial"/>
          <w:color w:val="030303"/>
          <w:w w:val="105"/>
          <w:sz w:val="18"/>
          <w:szCs w:val="18"/>
        </w:rPr>
        <w:t>UTM=SS</w:t>
      </w:r>
      <w:r w:rsidRPr="00D97AB2">
        <w:rPr>
          <w:rFonts w:ascii="Arial" w:eastAsia="Arial" w:hAnsi="Arial" w:cs="Arial"/>
          <w:color w:val="1F2124"/>
          <w:w w:val="105"/>
          <w:sz w:val="18"/>
          <w:szCs w:val="18"/>
        </w:rPr>
        <w:t>.</w:t>
      </w:r>
      <w:r w:rsidRPr="00D97AB2">
        <w:rPr>
          <w:rFonts w:ascii="Arial" w:eastAsia="Arial" w:hAnsi="Arial" w:cs="Arial"/>
          <w:color w:val="030303"/>
          <w:w w:val="105"/>
          <w:sz w:val="18"/>
          <w:szCs w:val="18"/>
        </w:rPr>
        <w:t>53</w:t>
      </w:r>
      <w:r w:rsidRPr="00D97AB2">
        <w:rPr>
          <w:rFonts w:ascii="Arial" w:eastAsia="Arial" w:hAnsi="Arial" w:cs="Arial"/>
          <w:color w:val="1F2124"/>
          <w:w w:val="105"/>
          <w:sz w:val="18"/>
          <w:szCs w:val="18"/>
        </w:rPr>
        <w:t>7</w:t>
      </w:r>
      <w:r w:rsidRPr="00D97AB2">
        <w:rPr>
          <w:rFonts w:ascii="Arial" w:eastAsia="Arial" w:hAnsi="Arial" w:cs="Arial"/>
          <w:color w:val="1F2124"/>
          <w:spacing w:val="30"/>
          <w:w w:val="105"/>
          <w:sz w:val="18"/>
          <w:szCs w:val="18"/>
        </w:rPr>
        <w:t xml:space="preserve"> </w:t>
      </w:r>
      <w:r w:rsidRPr="00D97AB2">
        <w:rPr>
          <w:rFonts w:ascii="Arial" w:eastAsia="Arial" w:hAnsi="Arial" w:cs="Arial"/>
          <w:color w:val="030303"/>
          <w:w w:val="105"/>
          <w:sz w:val="18"/>
          <w:szCs w:val="18"/>
        </w:rPr>
        <w:t>pesos.</w:t>
      </w:r>
    </w:p>
    <w:p w:rsidR="002A3BB4" w:rsidRPr="00D97AB2" w:rsidRDefault="002A3BB4" w:rsidP="002A3BB4">
      <w:pPr>
        <w:widowControl w:val="0"/>
        <w:autoSpaceDE w:val="0"/>
        <w:autoSpaceDN w:val="0"/>
        <w:spacing w:before="6"/>
        <w:ind w:right="565"/>
        <w:rPr>
          <w:rFonts w:ascii="Arial" w:eastAsia="Arial" w:hAnsi="Arial" w:cs="Arial"/>
          <w:sz w:val="21"/>
          <w:szCs w:val="23"/>
        </w:rPr>
      </w:pPr>
    </w:p>
    <w:p w:rsidR="000B55CE" w:rsidRDefault="002A3BB4" w:rsidP="008B220F">
      <w:pPr>
        <w:pStyle w:val="Sinespaciado"/>
        <w:spacing w:line="276" w:lineRule="auto"/>
        <w:ind w:right="-234" w:firstLine="1701"/>
        <w:jc w:val="both"/>
        <w:rPr>
          <w:rFonts w:ascii="Arial" w:hAnsi="Arial" w:cs="Arial"/>
          <w:bCs/>
          <w:lang w:val="es-ES_tradnl"/>
        </w:rPr>
      </w:pPr>
      <w:r w:rsidRPr="00D97AB2">
        <w:rPr>
          <w:rFonts w:ascii="Arial" w:hAnsi="Arial" w:cs="Arial"/>
          <w:bCs/>
          <w:lang w:val="es-ES_tradnl"/>
        </w:rPr>
        <w:t xml:space="preserve">Dicho proceso de supervisión anual tendrá foco en el acompañamiento y mejora institucional, requiriendo recursos según lo expuesto en la Tabla 1. </w:t>
      </w:r>
    </w:p>
    <w:p w:rsidR="000B55CE" w:rsidRDefault="000B55CE" w:rsidP="008B220F">
      <w:pPr>
        <w:pStyle w:val="Sinespaciado"/>
        <w:spacing w:line="276" w:lineRule="auto"/>
        <w:ind w:right="-234" w:firstLine="1701"/>
        <w:jc w:val="both"/>
        <w:rPr>
          <w:rFonts w:ascii="Arial" w:hAnsi="Arial" w:cs="Arial"/>
          <w:bCs/>
          <w:lang w:val="es-ES_tradnl"/>
        </w:rPr>
      </w:pPr>
    </w:p>
    <w:p w:rsidR="002A3BB4" w:rsidRDefault="002A3BB4" w:rsidP="008B220F">
      <w:pPr>
        <w:pStyle w:val="Sinespaciado"/>
        <w:spacing w:line="276" w:lineRule="auto"/>
        <w:ind w:right="-234" w:firstLine="1701"/>
        <w:jc w:val="both"/>
        <w:rPr>
          <w:rFonts w:ascii="Arial" w:hAnsi="Arial" w:cs="Arial"/>
          <w:bCs/>
          <w:lang w:val="es-ES_tradnl"/>
        </w:rPr>
      </w:pPr>
      <w:r w:rsidRPr="00D97AB2">
        <w:rPr>
          <w:rFonts w:ascii="Arial" w:hAnsi="Arial" w:cs="Arial"/>
          <w:bCs/>
          <w:lang w:val="es-ES_tradnl"/>
        </w:rPr>
        <w:t>La visita de acompañamiento corresponde a una actividad de acompañamiento realizada por un equipo de pares evaluadores expertos en gestión institucional, académica y financiera para evaluar in situ a la institución de educación superior. Esta actividad podrá ser realizada presencialmente o virtualmente si las condiciones sanitarias lo ameritan. El equipo de pares evaluadores será acompañado por profesionales de la Secretaría Técnica del Consejo Nacional de Educación. Cada año en que se realicen actividades de acompañamiento se podrán levantar acciones de mejora que la institución deberá cumplir o ejecutar, las que luego se evaluarán por consultores expertos según la materia evaluada.</w:t>
      </w:r>
    </w:p>
    <w:p w:rsidR="000B55CE" w:rsidRDefault="000B55CE" w:rsidP="008B220F">
      <w:pPr>
        <w:pStyle w:val="Sinespaciado"/>
        <w:spacing w:line="276" w:lineRule="auto"/>
        <w:ind w:right="-234" w:firstLine="1701"/>
        <w:jc w:val="both"/>
        <w:rPr>
          <w:rFonts w:ascii="Arial" w:hAnsi="Arial" w:cs="Arial"/>
          <w:b/>
          <w:bCs/>
          <w:lang w:val="es-ES_tradnl"/>
        </w:rPr>
      </w:pPr>
    </w:p>
    <w:p w:rsidR="002A3BB4" w:rsidRPr="000003D7" w:rsidRDefault="002A3BB4" w:rsidP="008B220F">
      <w:pPr>
        <w:pStyle w:val="Sinespaciado"/>
        <w:spacing w:line="276" w:lineRule="auto"/>
        <w:ind w:right="-234" w:firstLine="1701"/>
        <w:jc w:val="both"/>
        <w:rPr>
          <w:rFonts w:ascii="Arial" w:hAnsi="Arial" w:cs="Arial"/>
          <w:b/>
          <w:bCs/>
          <w:lang w:val="es-ES_tradnl"/>
        </w:rPr>
      </w:pPr>
      <w:r w:rsidRPr="000003D7">
        <w:rPr>
          <w:rFonts w:ascii="Arial" w:hAnsi="Arial" w:cs="Arial"/>
          <w:b/>
          <w:bCs/>
          <w:lang w:val="es-ES_tradnl"/>
        </w:rPr>
        <w:t>Fuente de los recursos</w:t>
      </w:r>
    </w:p>
    <w:p w:rsidR="002A3BB4" w:rsidRPr="00E23C7C" w:rsidRDefault="002A3BB4" w:rsidP="008B220F">
      <w:pPr>
        <w:pStyle w:val="Sinespaciado"/>
        <w:spacing w:line="276" w:lineRule="auto"/>
        <w:ind w:right="-234" w:firstLine="1701"/>
        <w:jc w:val="both"/>
        <w:rPr>
          <w:rFonts w:ascii="Arial" w:hAnsi="Arial" w:cs="Arial"/>
          <w:bCs/>
          <w:lang w:val="es-ES_tradnl"/>
        </w:rPr>
      </w:pPr>
      <w:r w:rsidRPr="00E23C7C">
        <w:rPr>
          <w:rFonts w:ascii="Arial" w:hAnsi="Arial" w:cs="Arial"/>
          <w:bCs/>
          <w:lang w:val="es-ES_tradnl"/>
        </w:rPr>
        <w:t>El mayor gasto fiscal que represente la aplicación de esta ley durante el primer año presupuestario de su entrada en vigencia se financiará con cargo al presupuesto del Ministerio de Educación. En los años siguientes se estará a lo que considere la Ley de Presupuestos respectiva.</w:t>
      </w:r>
    </w:p>
    <w:p w:rsidR="002A3BB4" w:rsidRPr="00E23C7C" w:rsidRDefault="002A3BB4" w:rsidP="008B220F">
      <w:pPr>
        <w:pStyle w:val="Sinespaciado"/>
        <w:spacing w:line="276" w:lineRule="auto"/>
        <w:ind w:right="-234" w:firstLine="1701"/>
        <w:jc w:val="both"/>
        <w:rPr>
          <w:rFonts w:ascii="Arial" w:hAnsi="Arial" w:cs="Arial"/>
          <w:bCs/>
          <w:lang w:val="es-ES_tradnl"/>
        </w:rPr>
      </w:pPr>
    </w:p>
    <w:p w:rsidR="0019298E" w:rsidRPr="0019298E" w:rsidRDefault="0019298E" w:rsidP="005E1812">
      <w:pPr>
        <w:pStyle w:val="Textoindependiente"/>
        <w:tabs>
          <w:tab w:val="left" w:pos="8789"/>
        </w:tabs>
        <w:spacing w:line="276" w:lineRule="auto"/>
        <w:ind w:right="-234"/>
        <w:jc w:val="both"/>
        <w:rPr>
          <w:b/>
          <w:bCs/>
          <w:szCs w:val="22"/>
        </w:rPr>
      </w:pPr>
      <w:r w:rsidRPr="0019298E">
        <w:rPr>
          <w:b/>
          <w:bCs/>
          <w:szCs w:val="22"/>
        </w:rPr>
        <w:t>IV.-</w:t>
      </w:r>
      <w:r w:rsidR="005E1812">
        <w:rPr>
          <w:b/>
          <w:bCs/>
          <w:szCs w:val="22"/>
        </w:rPr>
        <w:t xml:space="preserve">SÍNTESIS DE LA DISCUSIÓN EN LA COMISIÓN Y </w:t>
      </w:r>
      <w:r w:rsidR="005E1812" w:rsidRPr="0019298E">
        <w:rPr>
          <w:b/>
          <w:bCs/>
          <w:szCs w:val="22"/>
        </w:rPr>
        <w:t>ACUERDOS ADOPTADOS</w:t>
      </w:r>
    </w:p>
    <w:p w:rsidR="000B55CE" w:rsidRDefault="000B55CE" w:rsidP="000B55CE">
      <w:pPr>
        <w:spacing w:line="276" w:lineRule="auto"/>
        <w:ind w:right="-234" w:firstLine="1701"/>
        <w:jc w:val="both"/>
        <w:rPr>
          <w:rFonts w:ascii="Arial" w:eastAsia="Calibri" w:hAnsi="Arial" w:cs="Arial"/>
          <w:sz w:val="22"/>
          <w:szCs w:val="22"/>
          <w:lang w:eastAsia="en-US"/>
        </w:rPr>
      </w:pPr>
    </w:p>
    <w:p w:rsidR="000B55CE" w:rsidRDefault="000B55CE" w:rsidP="000B55CE">
      <w:pPr>
        <w:spacing w:line="276" w:lineRule="auto"/>
        <w:ind w:right="-234" w:firstLine="1701"/>
        <w:jc w:val="both"/>
        <w:rPr>
          <w:rFonts w:ascii="Arial" w:eastAsia="Calibri" w:hAnsi="Arial" w:cs="Arial"/>
          <w:b/>
          <w:sz w:val="22"/>
          <w:szCs w:val="22"/>
          <w:lang w:eastAsia="en-US"/>
        </w:rPr>
      </w:pPr>
      <w:r w:rsidRPr="000B55CE">
        <w:rPr>
          <w:rFonts w:ascii="Arial" w:eastAsia="Calibri" w:hAnsi="Arial" w:cs="Arial"/>
          <w:b/>
          <w:sz w:val="22"/>
          <w:szCs w:val="22"/>
          <w:lang w:eastAsia="en-US"/>
        </w:rPr>
        <w:t>La Comisión recibió al subsecretario de Justicia, señor Jaime Gajardo</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E</w:t>
      </w:r>
      <w:r w:rsidRPr="000B55CE">
        <w:rPr>
          <w:rFonts w:ascii="Arial" w:eastAsia="Calibri" w:hAnsi="Arial" w:cs="Arial"/>
          <w:sz w:val="22"/>
          <w:szCs w:val="22"/>
          <w:lang w:eastAsia="en-US"/>
        </w:rPr>
        <w:t>xplicó que este proyecto de ley permite la incorporación de la Escuela de Gendarmería a las instituciones de educación superior acreditadas. En mayo de 2018, se promulgó la ley N° 21.091, fijando en el DFL 2-2010, del Ministerio de Educación el texto refundido, coordinado y sistematizado de la Ley N° 20.370 General de Educación, mediante la cual se incluyó, en su artículo 52, a la Escuela de Gendarmería de Chile dentro de aquellas instituciones de educación superior reconocidas oficialmente por el Estado.</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Ahora bien, el artículo cuadragésimo cuarto de las disposiciones transitorias de la Ley N° 21.091, estableció que todas aquellas modificaciones incorporadas al DFL 2-2010 relacionadas con la Escuela de Gendarmería, y por tanto el reconocimiento como institución de educación superior de la misma, “entrarán en vigencia una vez que la Escuela de Gendarmería de Chile adecue sus requisitos de ingreso, planes y programas a las normativas de educación superior. Este requisito se verificará fundadamente a través de un decreto del Ministerio de Justicia y Derechos Humanos, con la firma del ministro o ministra de Educación, previo informe favorable de la Subsecretaría de Educación Superior.</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En razón de lo anterior, el reconocimiento de la Escuela queda supeditado a la dictación de ese decreto y al informe favorable de la Subsecretaría de Educación Superior, siendo necesario por tanto modificar los requisitos de ingreso a la Escuela con las normativas de educación superior. En tal sentido, la adecuación de los requisitos de ingreso a la Escuela con las normativas de educación superior, requieren necesariamente de un proyecto de ley que establezca como requisito para los gendarmes alumnos el contar con licencia de enseñanza media, toda vez que actualmente el DFL 1791, Estatuto de personal perteneciente a las plantas I y II de Gendarmería de Chile, tan solo exige contar con el segundo año de enseñanza media. Se replica en parte la fórmula que fue utilizada en las leyes que crearon los CFT estatales y las universidades estatales de las regiones de O'Higgins y Aysén (plazo especial de acreditación y una instancia de supervisión).</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El proyecto tiene por objetivo efectuar las modificaciones necesarias para adecuar los requisitos de ingreso a la Escuela de Gendarmería a aquellos establecidos en la normativa de educación superior, así como también establecer un marco especial y específico para la Escuela de Gendarmería respecto al periodo previo al inicio de su proceso de acreditación.</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1. Se establece un plazo de 7 años para que la Escuela de Gendarmería de Chile comience su proceso de acreditación desde el momento en que ésta sea reconocida, en tanto existan a lo menos dos cohortes de alumnos que hubiesen egresado de ella.</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2. Se establece un procedimiento de supervisión, a cargo del CNED, que se desarrollará hasta que la Escuela de Gendarmería de Chile se presente al procedimiento de acreditación.</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3. Se incorporan modificaciones al DFL N° 1791, que establece el Estatuto de Personal perteneciente a las Plantas I y II de Gendarmería de Chile, incorporando o modificando los requisitos de ingreso:</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o Tener licencia de educación media.</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o No haber sido condenado por crimen o simple delito.</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o Haber rendido la prueba de selección universitaria o cualquier otro instrumento de acceso a la educación superior que la reemplace.</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4. Finalmente, en el artículo transitorio, y en el entendido que el proceso de supervisión anual que realizará el Consejo Nacional de Educación podría irrogar un mayor gasto fiscal, se explicita qué durante el primer año presupuestario de la entrada en vigencia de la ley, se financiará con cargo al presupuesto del Ministerio de Educación y que, en los años siguientes, se estará a lo que considere la Ley de Presupuestos respectiva</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El Informe Financiero N° 041, de fecha 10 de marzo de 2022, señala que la aplicación del presente proyecto de ley irrogará mayores gastos producto del procedimiento de supervisión que administrará el CNED, el que se desarrollará hasta que esta se presente al procedimiento de acreditación de acuerdo con la ley N° 20.129. Dicho proceso de supervisión anual tendrá foco en el acompañamiento y mejora institucional, requiriendo recursos por un monto anual de $3.609.905, destinados íntegramente a gastos en que incurriría el CNED en el procedimiento de supervisión. El artículo transitorio del proyecto dispone que “El mayor gasto fiscal que represente la aplicación de esta ley durante el primer año presupuestario de su entrada en vigencia, se financiará con cargo al presupuesto del Ministerio de Educación. En los años siguientes se estará a lo que considere la Ley de Presupuestos respectiva”.</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La aprobación de este proyecto de ley, tal como indica su título, no tendrá como efecto el que la Escuela de Gendarmería de Chile sea reconocida automáticamente como una institución de educación superior. Pero este cambio es necesario para que ello ocurra, ya que la adecuación de los requisitos de ingreso a la normativa de educación superior, junto con la adecuación de los planes y programas, permite la dictación del Decreto que si produciría dicho reconocimiento.</w:t>
      </w:r>
    </w:p>
    <w:p w:rsidR="000B55CE" w:rsidRDefault="000B55CE" w:rsidP="000B55CE">
      <w:pPr>
        <w:spacing w:line="276" w:lineRule="auto"/>
        <w:ind w:right="-234" w:firstLine="1701"/>
        <w:jc w:val="both"/>
        <w:rPr>
          <w:rFonts w:ascii="Arial" w:eastAsia="Calibri" w:hAnsi="Arial" w:cs="Arial"/>
          <w:b/>
          <w:sz w:val="22"/>
          <w:szCs w:val="22"/>
          <w:lang w:val="es-ES_tradnl" w:eastAsia="en-US"/>
        </w:rPr>
      </w:pPr>
    </w:p>
    <w:p w:rsidR="000B55CE" w:rsidRPr="000B55CE" w:rsidRDefault="000B55CE" w:rsidP="000B55CE">
      <w:pPr>
        <w:spacing w:line="276" w:lineRule="auto"/>
        <w:ind w:right="-234" w:firstLine="1701"/>
        <w:jc w:val="both"/>
        <w:rPr>
          <w:rFonts w:ascii="Arial" w:eastAsia="Calibri" w:hAnsi="Arial" w:cs="Arial"/>
          <w:sz w:val="22"/>
          <w:szCs w:val="22"/>
          <w:lang w:eastAsia="en-US"/>
        </w:rPr>
      </w:pPr>
      <w:r>
        <w:rPr>
          <w:rFonts w:ascii="Arial" w:eastAsia="Calibri" w:hAnsi="Arial" w:cs="Arial"/>
          <w:b/>
          <w:sz w:val="22"/>
          <w:szCs w:val="22"/>
          <w:lang w:val="es-ES_tradnl" w:eastAsia="en-US"/>
        </w:rPr>
        <w:t xml:space="preserve">La </w:t>
      </w:r>
      <w:r w:rsidRPr="000B55CE">
        <w:rPr>
          <w:rFonts w:ascii="Arial" w:eastAsia="Calibri" w:hAnsi="Arial" w:cs="Arial"/>
          <w:b/>
          <w:sz w:val="22"/>
          <w:szCs w:val="22"/>
          <w:lang w:val="es-ES_tradnl" w:eastAsia="en-US"/>
        </w:rPr>
        <w:t>señora Macarena Cortés Camus, Jefa de la División Reinserción Social,</w:t>
      </w:r>
      <w:r>
        <w:rPr>
          <w:rFonts w:ascii="Arial" w:eastAsia="Calibri" w:hAnsi="Arial" w:cs="Arial"/>
          <w:b/>
          <w:sz w:val="22"/>
          <w:szCs w:val="22"/>
          <w:lang w:val="es-ES_tradnl" w:eastAsia="en-US"/>
        </w:rPr>
        <w:t xml:space="preserve"> </w:t>
      </w:r>
      <w:r w:rsidRPr="000B55CE">
        <w:rPr>
          <w:rFonts w:ascii="Arial" w:eastAsia="Calibri" w:hAnsi="Arial" w:cs="Arial"/>
          <w:sz w:val="22"/>
          <w:szCs w:val="22"/>
          <w:lang w:eastAsia="en-US"/>
        </w:rPr>
        <w:t xml:space="preserve">destacó la importancia de contar con la calidad que el proyecto de ley busca brindar a esta institución, tanto por la capacitación académica y profesional, como por el reconocimiento que el Estado brinda a los años de formación. Permitirá igualar el nivel de otros organismos penitenciarios a nivel internacional. </w:t>
      </w:r>
    </w:p>
    <w:p w:rsidR="000B55CE" w:rsidRDefault="000B55CE" w:rsidP="000B55CE">
      <w:pPr>
        <w:spacing w:line="276" w:lineRule="auto"/>
        <w:ind w:right="-234" w:firstLine="1701"/>
        <w:jc w:val="both"/>
        <w:rPr>
          <w:rFonts w:ascii="Arial" w:eastAsia="Calibri" w:hAnsi="Arial" w:cs="Arial"/>
          <w:b/>
          <w:sz w:val="22"/>
          <w:szCs w:val="22"/>
          <w:lang w:eastAsia="en-US"/>
        </w:rPr>
      </w:pP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b/>
          <w:sz w:val="22"/>
          <w:szCs w:val="22"/>
          <w:lang w:eastAsia="en-US"/>
        </w:rPr>
        <w:t>El diputado Von Mühlenbrock</w:t>
      </w:r>
      <w:r w:rsidRPr="000B55CE">
        <w:rPr>
          <w:rFonts w:ascii="Arial" w:eastAsia="Calibri" w:hAnsi="Arial" w:cs="Arial"/>
          <w:sz w:val="22"/>
          <w:szCs w:val="22"/>
          <w:lang w:eastAsia="en-US"/>
        </w:rPr>
        <w:t xml:space="preserve"> planteó que sería importante recoger la opinión del Consejo Nacional de Educación. </w:t>
      </w:r>
    </w:p>
    <w:p w:rsidR="000B55CE" w:rsidRDefault="000B55CE" w:rsidP="000B55CE">
      <w:pPr>
        <w:spacing w:line="276" w:lineRule="auto"/>
        <w:ind w:right="-234" w:firstLine="1701"/>
        <w:jc w:val="both"/>
        <w:rPr>
          <w:rFonts w:ascii="Arial" w:eastAsia="Calibri" w:hAnsi="Arial" w:cs="Arial"/>
          <w:sz w:val="22"/>
          <w:szCs w:val="22"/>
          <w:lang w:eastAsia="en-US"/>
        </w:rPr>
      </w:pP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b/>
          <w:sz w:val="22"/>
          <w:szCs w:val="22"/>
          <w:lang w:eastAsia="en-US"/>
        </w:rPr>
        <w:t>El diputado Sáez</w:t>
      </w:r>
      <w:r w:rsidRPr="000B55CE">
        <w:rPr>
          <w:rFonts w:ascii="Arial" w:eastAsia="Calibri" w:hAnsi="Arial" w:cs="Arial"/>
          <w:sz w:val="22"/>
          <w:szCs w:val="22"/>
          <w:lang w:eastAsia="en-US"/>
        </w:rPr>
        <w:t xml:space="preserve"> explicó que este proyecto fue debatido en profundidad y aprobado con holgura en la Comisión de Educación. Agregó que las mejoras que se introducen en el ámbito académico de Gendarmería también deberían redundar en mejoras salariales y de condiciones laborales. </w:t>
      </w:r>
    </w:p>
    <w:p w:rsidR="000B55CE" w:rsidRDefault="000B55CE" w:rsidP="000B55CE">
      <w:pPr>
        <w:spacing w:line="276" w:lineRule="auto"/>
        <w:ind w:right="-234" w:firstLine="1701"/>
        <w:jc w:val="both"/>
        <w:rPr>
          <w:rFonts w:ascii="Arial" w:eastAsia="Calibri" w:hAnsi="Arial" w:cs="Arial"/>
          <w:sz w:val="22"/>
          <w:szCs w:val="22"/>
          <w:lang w:eastAsia="en-US"/>
        </w:rPr>
      </w:pP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b/>
          <w:sz w:val="22"/>
          <w:szCs w:val="22"/>
          <w:lang w:eastAsia="en-US"/>
        </w:rPr>
        <w:t>El diputado Von Mühlenbrock</w:t>
      </w:r>
      <w:r w:rsidRPr="000B55CE">
        <w:rPr>
          <w:rFonts w:ascii="Arial" w:eastAsia="Calibri" w:hAnsi="Arial" w:cs="Arial"/>
          <w:sz w:val="22"/>
          <w:szCs w:val="22"/>
          <w:lang w:eastAsia="en-US"/>
        </w:rPr>
        <w:t xml:space="preserve"> manifestó su completo acuerdo con los objetivos del proyecto de ley. </w:t>
      </w:r>
    </w:p>
    <w:p w:rsidR="000B55CE" w:rsidRPr="000B55CE" w:rsidRDefault="000B55CE" w:rsidP="000B55CE">
      <w:pPr>
        <w:spacing w:line="276" w:lineRule="auto"/>
        <w:ind w:right="-234" w:firstLine="1701"/>
        <w:jc w:val="both"/>
        <w:rPr>
          <w:rFonts w:ascii="Arial" w:eastAsia="Calibri" w:hAnsi="Arial" w:cs="Arial"/>
          <w:sz w:val="22"/>
          <w:szCs w:val="22"/>
          <w:lang w:eastAsia="en-US"/>
        </w:rPr>
      </w:pPr>
    </w:p>
    <w:p w:rsidR="000B55CE" w:rsidRPr="0019298E" w:rsidRDefault="000B55CE" w:rsidP="000B55CE">
      <w:pPr>
        <w:spacing w:line="276" w:lineRule="auto"/>
        <w:ind w:right="-234" w:firstLine="1701"/>
        <w:jc w:val="both"/>
        <w:rPr>
          <w:rFonts w:ascii="Arial" w:eastAsia="Calibri" w:hAnsi="Arial" w:cs="Arial"/>
          <w:b/>
          <w:sz w:val="22"/>
          <w:szCs w:val="22"/>
          <w:lang w:eastAsia="en-US"/>
        </w:rPr>
      </w:pPr>
      <w:r w:rsidRPr="0019298E">
        <w:rPr>
          <w:rFonts w:ascii="Arial" w:eastAsia="Calibri" w:hAnsi="Arial" w:cs="Arial"/>
          <w:b/>
          <w:sz w:val="22"/>
          <w:szCs w:val="22"/>
          <w:lang w:eastAsia="en-US"/>
        </w:rPr>
        <w:t>VOTACIÓN</w:t>
      </w:r>
    </w:p>
    <w:p w:rsidR="000B55CE" w:rsidRPr="000B55CE" w:rsidRDefault="000B55CE" w:rsidP="000B55CE">
      <w:pPr>
        <w:spacing w:line="276" w:lineRule="auto"/>
        <w:ind w:right="-234" w:firstLine="1701"/>
        <w:jc w:val="both"/>
        <w:rPr>
          <w:rFonts w:ascii="Arial" w:eastAsia="Calibri" w:hAnsi="Arial" w:cs="Arial"/>
          <w:sz w:val="22"/>
          <w:szCs w:val="22"/>
          <w:lang w:eastAsia="en-US"/>
        </w:rPr>
      </w:pPr>
      <w:r w:rsidRPr="000B55CE">
        <w:rPr>
          <w:rFonts w:ascii="Arial" w:eastAsia="Calibri" w:hAnsi="Arial" w:cs="Arial"/>
          <w:sz w:val="22"/>
          <w:szCs w:val="22"/>
          <w:lang w:eastAsia="en-US"/>
        </w:rPr>
        <w:t xml:space="preserve">Puesto en votación el artículo sometido a conocimiento de la Comisión de Hacienda, a saber, el artículo transitorio, resultó aprobado por la unanimidad de los nueve diputados presentes señores </w:t>
      </w:r>
      <w:r>
        <w:rPr>
          <w:rFonts w:ascii="Arial" w:eastAsia="Calibri" w:hAnsi="Arial" w:cs="Arial"/>
          <w:sz w:val="22"/>
          <w:szCs w:val="22"/>
          <w:lang w:eastAsia="en-US"/>
        </w:rPr>
        <w:t xml:space="preserve">Boris </w:t>
      </w:r>
      <w:r w:rsidRPr="000B55CE">
        <w:rPr>
          <w:rFonts w:ascii="Arial" w:eastAsia="Calibri" w:hAnsi="Arial" w:cs="Arial"/>
          <w:sz w:val="22"/>
          <w:szCs w:val="22"/>
          <w:lang w:eastAsia="en-US"/>
        </w:rPr>
        <w:t xml:space="preserve">Barrera, </w:t>
      </w:r>
      <w:r>
        <w:rPr>
          <w:rFonts w:ascii="Arial" w:eastAsia="Calibri" w:hAnsi="Arial" w:cs="Arial"/>
          <w:sz w:val="22"/>
          <w:szCs w:val="22"/>
          <w:lang w:eastAsia="en-US"/>
        </w:rPr>
        <w:t xml:space="preserve">Alejandro </w:t>
      </w:r>
      <w:r w:rsidRPr="000B55CE">
        <w:rPr>
          <w:rFonts w:ascii="Arial" w:eastAsia="Calibri" w:hAnsi="Arial" w:cs="Arial"/>
          <w:sz w:val="22"/>
          <w:szCs w:val="22"/>
          <w:lang w:eastAsia="en-US"/>
        </w:rPr>
        <w:t xml:space="preserve">Bernales, </w:t>
      </w:r>
      <w:r>
        <w:rPr>
          <w:rFonts w:ascii="Arial" w:eastAsia="Calibri" w:hAnsi="Arial" w:cs="Arial"/>
          <w:sz w:val="22"/>
          <w:szCs w:val="22"/>
          <w:lang w:eastAsia="en-US"/>
        </w:rPr>
        <w:t xml:space="preserve">Miguel </w:t>
      </w:r>
      <w:r w:rsidRPr="000B55CE">
        <w:rPr>
          <w:rFonts w:ascii="Arial" w:eastAsia="Calibri" w:hAnsi="Arial" w:cs="Arial"/>
          <w:sz w:val="22"/>
          <w:szCs w:val="22"/>
          <w:lang w:eastAsia="en-US"/>
        </w:rPr>
        <w:t xml:space="preserve">Mellado, </w:t>
      </w:r>
      <w:r>
        <w:rPr>
          <w:rFonts w:ascii="Arial" w:eastAsia="Calibri" w:hAnsi="Arial" w:cs="Arial"/>
          <w:sz w:val="22"/>
          <w:szCs w:val="22"/>
          <w:lang w:eastAsia="en-US"/>
        </w:rPr>
        <w:t xml:space="preserve">Jaime </w:t>
      </w:r>
      <w:r w:rsidRPr="000B55CE">
        <w:rPr>
          <w:rFonts w:ascii="Arial" w:eastAsia="Calibri" w:hAnsi="Arial" w:cs="Arial"/>
          <w:sz w:val="22"/>
          <w:szCs w:val="22"/>
          <w:lang w:eastAsia="en-US"/>
        </w:rPr>
        <w:t>Naranjo</w:t>
      </w:r>
      <w:r>
        <w:rPr>
          <w:rFonts w:ascii="Arial" w:eastAsia="Calibri" w:hAnsi="Arial" w:cs="Arial"/>
          <w:sz w:val="22"/>
          <w:szCs w:val="22"/>
          <w:lang w:eastAsia="en-US"/>
        </w:rPr>
        <w:t xml:space="preserve"> (Presidente)</w:t>
      </w:r>
      <w:r w:rsidRPr="000B55CE">
        <w:rPr>
          <w:rFonts w:ascii="Arial" w:eastAsia="Calibri" w:hAnsi="Arial" w:cs="Arial"/>
          <w:sz w:val="22"/>
          <w:szCs w:val="22"/>
          <w:lang w:eastAsia="en-US"/>
        </w:rPr>
        <w:t xml:space="preserve">, </w:t>
      </w:r>
      <w:r>
        <w:rPr>
          <w:rFonts w:ascii="Arial" w:eastAsia="Calibri" w:hAnsi="Arial" w:cs="Arial"/>
          <w:sz w:val="22"/>
          <w:szCs w:val="22"/>
          <w:lang w:eastAsia="en-US"/>
        </w:rPr>
        <w:t xml:space="preserve">Guillermo </w:t>
      </w:r>
      <w:r w:rsidRPr="000B55CE">
        <w:rPr>
          <w:rFonts w:ascii="Arial" w:eastAsia="Calibri" w:hAnsi="Arial" w:cs="Arial"/>
          <w:sz w:val="22"/>
          <w:szCs w:val="22"/>
          <w:lang w:eastAsia="en-US"/>
        </w:rPr>
        <w:t xml:space="preserve">Ramírez, </w:t>
      </w:r>
      <w:r>
        <w:rPr>
          <w:rFonts w:ascii="Arial" w:eastAsia="Calibri" w:hAnsi="Arial" w:cs="Arial"/>
          <w:sz w:val="22"/>
          <w:szCs w:val="22"/>
          <w:lang w:eastAsia="en-US"/>
        </w:rPr>
        <w:t xml:space="preserve">Agustín </w:t>
      </w:r>
      <w:r w:rsidRPr="000B55CE">
        <w:rPr>
          <w:rFonts w:ascii="Arial" w:eastAsia="Calibri" w:hAnsi="Arial" w:cs="Arial"/>
          <w:sz w:val="22"/>
          <w:szCs w:val="22"/>
          <w:lang w:eastAsia="en-US"/>
        </w:rPr>
        <w:t xml:space="preserve">Romero, </w:t>
      </w:r>
      <w:r>
        <w:rPr>
          <w:rFonts w:ascii="Arial" w:eastAsia="Calibri" w:hAnsi="Arial" w:cs="Arial"/>
          <w:sz w:val="22"/>
          <w:szCs w:val="22"/>
          <w:lang w:eastAsia="en-US"/>
        </w:rPr>
        <w:t xml:space="preserve">Jaime </w:t>
      </w:r>
      <w:r w:rsidRPr="000B55CE">
        <w:rPr>
          <w:rFonts w:ascii="Arial" w:eastAsia="Calibri" w:hAnsi="Arial" w:cs="Arial"/>
          <w:sz w:val="22"/>
          <w:szCs w:val="22"/>
          <w:lang w:eastAsia="en-US"/>
        </w:rPr>
        <w:t xml:space="preserve">Sáez, </w:t>
      </w:r>
      <w:r>
        <w:rPr>
          <w:rFonts w:ascii="Arial" w:eastAsia="Calibri" w:hAnsi="Arial" w:cs="Arial"/>
          <w:sz w:val="22"/>
          <w:szCs w:val="22"/>
          <w:lang w:eastAsia="en-US"/>
        </w:rPr>
        <w:t xml:space="preserve">Gastón </w:t>
      </w:r>
      <w:r w:rsidRPr="000B55CE">
        <w:rPr>
          <w:rFonts w:ascii="Arial" w:eastAsia="Calibri" w:hAnsi="Arial" w:cs="Arial"/>
          <w:sz w:val="22"/>
          <w:szCs w:val="22"/>
          <w:lang w:eastAsia="en-US"/>
        </w:rPr>
        <w:t xml:space="preserve">Von Mühlenbrock y </w:t>
      </w:r>
      <w:r>
        <w:rPr>
          <w:rFonts w:ascii="Arial" w:eastAsia="Calibri" w:hAnsi="Arial" w:cs="Arial"/>
          <w:sz w:val="22"/>
          <w:szCs w:val="22"/>
          <w:lang w:eastAsia="en-US"/>
        </w:rPr>
        <w:t xml:space="preserve">diputada señorita Gael </w:t>
      </w:r>
      <w:r w:rsidRPr="000B55CE">
        <w:rPr>
          <w:rFonts w:ascii="Arial" w:eastAsia="Calibri" w:hAnsi="Arial" w:cs="Arial"/>
          <w:sz w:val="22"/>
          <w:szCs w:val="22"/>
          <w:lang w:eastAsia="en-US"/>
        </w:rPr>
        <w:t xml:space="preserve">Yeomans. </w:t>
      </w:r>
    </w:p>
    <w:p w:rsidR="000B55CE" w:rsidRDefault="000B55CE" w:rsidP="000B55CE">
      <w:pPr>
        <w:spacing w:line="276" w:lineRule="auto"/>
        <w:ind w:right="-234" w:firstLine="1701"/>
        <w:jc w:val="both"/>
        <w:rPr>
          <w:rFonts w:ascii="Arial" w:eastAsia="Calibri" w:hAnsi="Arial" w:cs="Arial"/>
          <w:b/>
          <w:sz w:val="22"/>
          <w:szCs w:val="22"/>
          <w:lang w:eastAsia="en-US"/>
        </w:rPr>
      </w:pPr>
    </w:p>
    <w:bookmarkEnd w:id="15"/>
    <w:bookmarkEnd w:id="16"/>
    <w:bookmarkEnd w:id="17"/>
    <w:p w:rsidR="00096D45" w:rsidRPr="00096D45" w:rsidRDefault="002E498A" w:rsidP="00CB1C8E">
      <w:pPr>
        <w:tabs>
          <w:tab w:val="left" w:pos="1427"/>
        </w:tabs>
        <w:spacing w:after="160" w:line="276" w:lineRule="auto"/>
        <w:ind w:right="-234"/>
        <w:jc w:val="center"/>
        <w:rPr>
          <w:rFonts w:ascii="Arial" w:eastAsia="Calibri" w:hAnsi="Arial" w:cs="Arial"/>
          <w:sz w:val="22"/>
          <w:szCs w:val="20"/>
          <w:lang w:eastAsia="en-US"/>
        </w:rPr>
      </w:pPr>
      <w:r>
        <w:rPr>
          <w:rFonts w:ascii="Arial" w:eastAsia="Calibri" w:hAnsi="Arial" w:cs="Arial"/>
          <w:sz w:val="22"/>
          <w:szCs w:val="20"/>
          <w:lang w:eastAsia="en-US"/>
        </w:rPr>
        <w:t>*******</w:t>
      </w:r>
    </w:p>
    <w:p w:rsidR="00251CF8" w:rsidRDefault="00251CF8" w:rsidP="00CB1C8E">
      <w:pPr>
        <w:spacing w:after="160" w:line="276" w:lineRule="auto"/>
        <w:ind w:right="-234" w:firstLine="1701"/>
        <w:jc w:val="both"/>
        <w:rPr>
          <w:rFonts w:ascii="Arial" w:eastAsia="Calibri" w:hAnsi="Arial" w:cs="Arial"/>
          <w:sz w:val="22"/>
          <w:szCs w:val="22"/>
          <w:lang w:val="es-CL" w:eastAsia="es-CL"/>
        </w:rPr>
      </w:pPr>
      <w:r>
        <w:rPr>
          <w:rFonts w:ascii="Arial" w:eastAsia="Calibri" w:hAnsi="Arial" w:cs="Arial"/>
          <w:sz w:val="22"/>
          <w:szCs w:val="22"/>
          <w:lang w:val="es-CL" w:eastAsia="es-CL"/>
        </w:rPr>
        <w:t xml:space="preserve">En consecuencia, la Comisión de Hacienda recomienda aprobar </w:t>
      </w:r>
      <w:r w:rsidR="0071636E">
        <w:rPr>
          <w:rFonts w:ascii="Arial" w:eastAsia="Calibri" w:hAnsi="Arial" w:cs="Arial"/>
          <w:sz w:val="22"/>
          <w:szCs w:val="22"/>
          <w:lang w:val="es-CL" w:eastAsia="es-CL"/>
        </w:rPr>
        <w:t xml:space="preserve">el artículo sometido a su conocimiento, </w:t>
      </w:r>
      <w:r>
        <w:rPr>
          <w:rFonts w:ascii="Arial" w:eastAsia="Calibri" w:hAnsi="Arial" w:cs="Arial"/>
          <w:sz w:val="22"/>
          <w:szCs w:val="22"/>
          <w:lang w:val="es-CL" w:eastAsia="es-CL"/>
        </w:rPr>
        <w:t>en la forma explicada.</w:t>
      </w:r>
    </w:p>
    <w:p w:rsidR="00251CF8" w:rsidRDefault="00251CF8" w:rsidP="00CB1C8E">
      <w:pPr>
        <w:spacing w:after="160" w:line="276" w:lineRule="auto"/>
        <w:ind w:right="-234"/>
        <w:jc w:val="center"/>
        <w:rPr>
          <w:rFonts w:ascii="Arial" w:eastAsia="Calibri" w:hAnsi="Arial" w:cs="Arial"/>
          <w:sz w:val="22"/>
          <w:szCs w:val="22"/>
          <w:lang w:val="es-CL" w:eastAsia="es-CL"/>
        </w:rPr>
      </w:pPr>
      <w:r>
        <w:rPr>
          <w:rFonts w:ascii="Arial" w:eastAsia="Calibri" w:hAnsi="Arial" w:cs="Arial"/>
          <w:sz w:val="22"/>
          <w:szCs w:val="22"/>
          <w:lang w:val="es-CL" w:eastAsia="es-CL"/>
        </w:rPr>
        <w:t>*********</w:t>
      </w:r>
    </w:p>
    <w:p w:rsidR="00BE62B9" w:rsidRPr="00D33B2C" w:rsidRDefault="00BE62B9" w:rsidP="00BE62B9">
      <w:pPr>
        <w:spacing w:line="276" w:lineRule="auto"/>
        <w:ind w:firstLine="1701"/>
        <w:jc w:val="both"/>
        <w:rPr>
          <w:rFonts w:ascii="Arial" w:hAnsi="Arial" w:cs="Arial"/>
          <w:sz w:val="22"/>
          <w:szCs w:val="22"/>
          <w:lang w:val="es-ES_tradnl"/>
        </w:rPr>
      </w:pPr>
      <w:r w:rsidRPr="00D33B2C">
        <w:rPr>
          <w:rFonts w:ascii="Arial" w:hAnsi="Arial" w:cs="Arial"/>
          <w:sz w:val="22"/>
          <w:szCs w:val="22"/>
          <w:lang w:val="es-ES_tradnl"/>
        </w:rPr>
        <w:t>Tratado y acordado en la sesión especial celebrada el martes 3 de enero del año en curso, con la asistencia presencial o remota, de los diputados señores Alejandro Bernales Maldonado,</w:t>
      </w:r>
      <w:r w:rsidRPr="00D33B2C">
        <w:rPr>
          <w:rFonts w:ascii="Verdana" w:hAnsi="Verdana"/>
          <w:color w:val="0E538C"/>
          <w:sz w:val="21"/>
          <w:szCs w:val="21"/>
          <w:bdr w:val="none" w:sz="0" w:space="0" w:color="auto" w:frame="1"/>
          <w:shd w:val="clear" w:color="auto" w:fill="FFFFFF"/>
          <w:lang w:val="es-ES_tradnl"/>
        </w:rPr>
        <w:t xml:space="preserve"> </w:t>
      </w:r>
      <w:r w:rsidRPr="00D33B2C">
        <w:rPr>
          <w:rFonts w:ascii="Arial" w:hAnsi="Arial" w:cs="Arial"/>
          <w:sz w:val="22"/>
          <w:szCs w:val="22"/>
          <w:lang w:val="es-ES_tradnl"/>
        </w:rPr>
        <w:t xml:space="preserve">Miguel Mellado Suazo, Jaime Naranjo Ortiz (Presidente), Guillermo Ramírez Diez, Agustín Romero Leiva, Jaime Sáez Quiroz, Raúl Soto Mardones y Gastón Von Mühlenbrock Zamora y señora Gael Yeomans Araya. </w:t>
      </w:r>
    </w:p>
    <w:p w:rsidR="0019298E" w:rsidRPr="0019298E" w:rsidRDefault="0019298E" w:rsidP="0019298E">
      <w:pPr>
        <w:spacing w:line="276" w:lineRule="auto"/>
        <w:ind w:firstLine="1701"/>
        <w:jc w:val="both"/>
        <w:rPr>
          <w:rFonts w:ascii="Arial" w:hAnsi="Arial" w:cs="Arial"/>
          <w:sz w:val="22"/>
          <w:szCs w:val="22"/>
          <w:lang w:val="es-ES_tradnl"/>
        </w:rPr>
      </w:pPr>
    </w:p>
    <w:p w:rsidR="0019298E" w:rsidRPr="0019298E" w:rsidRDefault="0019298E" w:rsidP="0019298E">
      <w:pPr>
        <w:spacing w:line="276" w:lineRule="auto"/>
        <w:ind w:firstLine="1701"/>
        <w:jc w:val="both"/>
        <w:rPr>
          <w:rFonts w:ascii="Arial" w:hAnsi="Arial" w:cs="Arial"/>
          <w:sz w:val="22"/>
          <w:szCs w:val="22"/>
          <w:lang w:val="es-ES_tradnl"/>
        </w:rPr>
      </w:pPr>
    </w:p>
    <w:p w:rsidR="00185BD9" w:rsidRPr="006A20D4" w:rsidRDefault="00655FE8" w:rsidP="0019298E">
      <w:pPr>
        <w:spacing w:line="276" w:lineRule="auto"/>
        <w:ind w:right="-234"/>
        <w:jc w:val="right"/>
        <w:rPr>
          <w:rFonts w:ascii="Arial" w:eastAsia="Calibri" w:hAnsi="Arial" w:cs="Arial"/>
          <w:sz w:val="22"/>
          <w:szCs w:val="22"/>
          <w:lang w:val="es-CL" w:eastAsia="es-CL"/>
        </w:rPr>
      </w:pPr>
      <w:r w:rsidRPr="006A20D4">
        <w:rPr>
          <w:rFonts w:ascii="Arial" w:eastAsia="Calibri" w:hAnsi="Arial" w:cs="Arial"/>
          <w:sz w:val="22"/>
          <w:szCs w:val="22"/>
          <w:lang w:val="es-CL" w:eastAsia="es-CL"/>
        </w:rPr>
        <w:t xml:space="preserve">Sala de la Comisión, a </w:t>
      </w:r>
      <w:r w:rsidR="00BE62B9">
        <w:rPr>
          <w:rFonts w:ascii="Arial" w:eastAsia="Calibri" w:hAnsi="Arial" w:cs="Arial"/>
          <w:sz w:val="22"/>
          <w:szCs w:val="22"/>
          <w:lang w:val="es-CL" w:eastAsia="es-CL"/>
        </w:rPr>
        <w:t xml:space="preserve">4 de enero </w:t>
      </w:r>
      <w:r w:rsidR="00225851">
        <w:rPr>
          <w:rFonts w:ascii="Arial" w:eastAsia="Calibri" w:hAnsi="Arial" w:cs="Arial"/>
          <w:sz w:val="22"/>
          <w:szCs w:val="22"/>
          <w:lang w:val="es-CL" w:eastAsia="es-CL"/>
        </w:rPr>
        <w:t xml:space="preserve"> de 202</w:t>
      </w:r>
      <w:r w:rsidR="00BE62B9">
        <w:rPr>
          <w:rFonts w:ascii="Arial" w:eastAsia="Calibri" w:hAnsi="Arial" w:cs="Arial"/>
          <w:sz w:val="22"/>
          <w:szCs w:val="22"/>
          <w:lang w:val="es-CL" w:eastAsia="es-CL"/>
        </w:rPr>
        <w:t>3.</w:t>
      </w:r>
    </w:p>
    <w:p w:rsidR="00655FE8" w:rsidRPr="006A20D4" w:rsidRDefault="00655FE8" w:rsidP="0019298E">
      <w:pPr>
        <w:tabs>
          <w:tab w:val="left" w:pos="709"/>
        </w:tabs>
        <w:spacing w:line="276" w:lineRule="auto"/>
        <w:ind w:right="-234" w:firstLine="1701"/>
        <w:rPr>
          <w:rFonts w:ascii="Arial" w:eastAsia="Calibri" w:hAnsi="Arial" w:cs="Arial"/>
          <w:sz w:val="22"/>
          <w:szCs w:val="22"/>
          <w:lang w:val="es-CL" w:eastAsia="es-CL"/>
        </w:rPr>
      </w:pPr>
    </w:p>
    <w:p w:rsidR="00B23756" w:rsidRDefault="00B23756" w:rsidP="00CB1C8E">
      <w:pPr>
        <w:tabs>
          <w:tab w:val="left" w:pos="709"/>
        </w:tabs>
        <w:spacing w:line="276" w:lineRule="auto"/>
        <w:ind w:right="-234" w:firstLine="1701"/>
        <w:jc w:val="center"/>
        <w:rPr>
          <w:rFonts w:ascii="Arial" w:eastAsia="Calibri" w:hAnsi="Arial" w:cs="Arial"/>
          <w:sz w:val="22"/>
          <w:szCs w:val="22"/>
          <w:lang w:val="es-CL" w:eastAsia="es-CL"/>
        </w:rPr>
      </w:pPr>
    </w:p>
    <w:p w:rsidR="00655FE8" w:rsidRPr="00A25137" w:rsidRDefault="00655FE8" w:rsidP="00CB1C8E">
      <w:pPr>
        <w:tabs>
          <w:tab w:val="left" w:pos="709"/>
        </w:tabs>
        <w:spacing w:line="276" w:lineRule="auto"/>
        <w:ind w:right="-234" w:firstLine="1701"/>
        <w:jc w:val="center"/>
        <w:rPr>
          <w:rFonts w:ascii="Arial" w:eastAsia="Calibri" w:hAnsi="Arial" w:cs="Arial"/>
          <w:b/>
          <w:sz w:val="22"/>
          <w:szCs w:val="22"/>
          <w:lang w:val="es-CL" w:eastAsia="es-CL"/>
        </w:rPr>
      </w:pPr>
    </w:p>
    <w:p w:rsidR="00185BD9" w:rsidRPr="00A25137" w:rsidRDefault="0021585A" w:rsidP="00CB1C8E">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MARÍA EUGENIA SILVA FERRER</w:t>
      </w:r>
    </w:p>
    <w:p w:rsidR="00F746CE" w:rsidRPr="00A25137" w:rsidRDefault="00F746CE" w:rsidP="00CB1C8E">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Abogad</w:t>
      </w:r>
      <w:r w:rsidR="0021585A" w:rsidRPr="00A25137">
        <w:rPr>
          <w:rFonts w:ascii="Arial" w:eastAsia="Calibri" w:hAnsi="Arial" w:cs="Arial"/>
          <w:b/>
          <w:sz w:val="22"/>
          <w:szCs w:val="22"/>
          <w:lang w:val="es-CL" w:eastAsia="es-CL"/>
        </w:rPr>
        <w:t>o</w:t>
      </w:r>
      <w:r w:rsidRPr="00A25137">
        <w:rPr>
          <w:rFonts w:ascii="Arial" w:eastAsia="Calibri" w:hAnsi="Arial" w:cs="Arial"/>
          <w:b/>
          <w:sz w:val="22"/>
          <w:szCs w:val="22"/>
          <w:lang w:val="es-CL" w:eastAsia="es-CL"/>
        </w:rPr>
        <w:t xml:space="preserve"> Secretaria de </w:t>
      </w:r>
      <w:r w:rsidR="00BE62B9">
        <w:rPr>
          <w:rFonts w:ascii="Arial" w:eastAsia="Calibri" w:hAnsi="Arial" w:cs="Arial"/>
          <w:b/>
          <w:sz w:val="22"/>
          <w:szCs w:val="22"/>
          <w:lang w:val="es-CL" w:eastAsia="es-CL"/>
        </w:rPr>
        <w:t>la Comisión</w:t>
      </w:r>
    </w:p>
    <w:sectPr w:rsidR="00F746CE" w:rsidRPr="00A25137" w:rsidSect="006803F9">
      <w:headerReference w:type="even" r:id="rId15"/>
      <w:headerReference w:type="default" r:id="rId16"/>
      <w:pgSz w:w="12240" w:h="20160" w:code="5"/>
      <w:pgMar w:top="2269"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BB" w:rsidRDefault="001869BB" w:rsidP="00F746CE">
      <w:pPr>
        <w:pStyle w:val="Textoindependiente"/>
      </w:pPr>
      <w:r>
        <w:separator/>
      </w:r>
    </w:p>
  </w:endnote>
  <w:endnote w:type="continuationSeparator" w:id="0">
    <w:p w:rsidR="001869BB" w:rsidRDefault="001869BB"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BB" w:rsidRDefault="001869BB" w:rsidP="00F746CE">
      <w:pPr>
        <w:pStyle w:val="Textoindependiente"/>
      </w:pPr>
      <w:r>
        <w:separator/>
      </w:r>
    </w:p>
  </w:footnote>
  <w:footnote w:type="continuationSeparator" w:id="0">
    <w:p w:rsidR="001869BB" w:rsidRDefault="001869BB"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F9" w:rsidRDefault="006803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03F9" w:rsidRDefault="006803F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F9" w:rsidRDefault="006803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3F04">
      <w:rPr>
        <w:rStyle w:val="Nmerodepgina"/>
        <w:noProof/>
      </w:rPr>
      <w:t>5</w:t>
    </w:r>
    <w:r>
      <w:rPr>
        <w:rStyle w:val="Nmerodepgina"/>
      </w:rPr>
      <w:fldChar w:fldCharType="end"/>
    </w:r>
  </w:p>
  <w:p w:rsidR="006803F9" w:rsidRDefault="006803F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C78CA"/>
    <w:multiLevelType w:val="hybridMultilevel"/>
    <w:tmpl w:val="45FC219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3E3328"/>
    <w:multiLevelType w:val="hybridMultilevel"/>
    <w:tmpl w:val="AA7CE8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34A6"/>
    <w:rsid w:val="00034AFD"/>
    <w:rsid w:val="0003642C"/>
    <w:rsid w:val="00037879"/>
    <w:rsid w:val="00037E91"/>
    <w:rsid w:val="00040B4B"/>
    <w:rsid w:val="000425F4"/>
    <w:rsid w:val="00043B08"/>
    <w:rsid w:val="0004491C"/>
    <w:rsid w:val="00044D05"/>
    <w:rsid w:val="00051C6D"/>
    <w:rsid w:val="00052706"/>
    <w:rsid w:val="000527BF"/>
    <w:rsid w:val="00054C9D"/>
    <w:rsid w:val="00056AFD"/>
    <w:rsid w:val="00057973"/>
    <w:rsid w:val="00057BCD"/>
    <w:rsid w:val="00060F6E"/>
    <w:rsid w:val="00062504"/>
    <w:rsid w:val="00065AED"/>
    <w:rsid w:val="00067CA1"/>
    <w:rsid w:val="00070E5F"/>
    <w:rsid w:val="0007103D"/>
    <w:rsid w:val="000712D1"/>
    <w:rsid w:val="00072B9B"/>
    <w:rsid w:val="00074B63"/>
    <w:rsid w:val="00076351"/>
    <w:rsid w:val="000771A8"/>
    <w:rsid w:val="000824FA"/>
    <w:rsid w:val="00085694"/>
    <w:rsid w:val="00085DC0"/>
    <w:rsid w:val="00086A01"/>
    <w:rsid w:val="00087447"/>
    <w:rsid w:val="00087A84"/>
    <w:rsid w:val="0009254C"/>
    <w:rsid w:val="0009308D"/>
    <w:rsid w:val="00093CDA"/>
    <w:rsid w:val="000944AB"/>
    <w:rsid w:val="0009559B"/>
    <w:rsid w:val="00096D45"/>
    <w:rsid w:val="0009764F"/>
    <w:rsid w:val="000A0900"/>
    <w:rsid w:val="000A5135"/>
    <w:rsid w:val="000A5DC6"/>
    <w:rsid w:val="000A647D"/>
    <w:rsid w:val="000A6BE6"/>
    <w:rsid w:val="000B00ED"/>
    <w:rsid w:val="000B03DA"/>
    <w:rsid w:val="000B07C2"/>
    <w:rsid w:val="000B238E"/>
    <w:rsid w:val="000B2A99"/>
    <w:rsid w:val="000B55CE"/>
    <w:rsid w:val="000B5DC5"/>
    <w:rsid w:val="000B6677"/>
    <w:rsid w:val="000B7411"/>
    <w:rsid w:val="000B7D3A"/>
    <w:rsid w:val="000C02CC"/>
    <w:rsid w:val="000C49AE"/>
    <w:rsid w:val="000C5321"/>
    <w:rsid w:val="000C5384"/>
    <w:rsid w:val="000C7124"/>
    <w:rsid w:val="000C7DA1"/>
    <w:rsid w:val="000D0F07"/>
    <w:rsid w:val="000D2B0F"/>
    <w:rsid w:val="000D328C"/>
    <w:rsid w:val="000D493D"/>
    <w:rsid w:val="000D5486"/>
    <w:rsid w:val="000D5A97"/>
    <w:rsid w:val="000D5AB6"/>
    <w:rsid w:val="000D5E8D"/>
    <w:rsid w:val="000D5EB4"/>
    <w:rsid w:val="000D6EF9"/>
    <w:rsid w:val="000D71CB"/>
    <w:rsid w:val="000D729B"/>
    <w:rsid w:val="000D7736"/>
    <w:rsid w:val="000E0CE2"/>
    <w:rsid w:val="000E10B3"/>
    <w:rsid w:val="000E3749"/>
    <w:rsid w:val="000E59C4"/>
    <w:rsid w:val="000E7187"/>
    <w:rsid w:val="000E7FFA"/>
    <w:rsid w:val="000F1654"/>
    <w:rsid w:val="000F1A8E"/>
    <w:rsid w:val="000F2652"/>
    <w:rsid w:val="000F2653"/>
    <w:rsid w:val="000F310F"/>
    <w:rsid w:val="000F5B43"/>
    <w:rsid w:val="00103562"/>
    <w:rsid w:val="00103603"/>
    <w:rsid w:val="00106E74"/>
    <w:rsid w:val="00113501"/>
    <w:rsid w:val="0011525A"/>
    <w:rsid w:val="00115CE8"/>
    <w:rsid w:val="001162CB"/>
    <w:rsid w:val="00117C57"/>
    <w:rsid w:val="00122B84"/>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7EE7"/>
    <w:rsid w:val="00150D25"/>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3FBF"/>
    <w:rsid w:val="00185BD9"/>
    <w:rsid w:val="001869BB"/>
    <w:rsid w:val="0018702E"/>
    <w:rsid w:val="00191A4A"/>
    <w:rsid w:val="0019298E"/>
    <w:rsid w:val="00193E90"/>
    <w:rsid w:val="0019447D"/>
    <w:rsid w:val="001955B6"/>
    <w:rsid w:val="00195F9A"/>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2B2"/>
    <w:rsid w:val="001E63F2"/>
    <w:rsid w:val="001F072B"/>
    <w:rsid w:val="001F2947"/>
    <w:rsid w:val="001F420D"/>
    <w:rsid w:val="001F446D"/>
    <w:rsid w:val="001F5028"/>
    <w:rsid w:val="00200FED"/>
    <w:rsid w:val="002020D3"/>
    <w:rsid w:val="002027C8"/>
    <w:rsid w:val="00205C20"/>
    <w:rsid w:val="00205E76"/>
    <w:rsid w:val="00206486"/>
    <w:rsid w:val="0020792F"/>
    <w:rsid w:val="00210B74"/>
    <w:rsid w:val="00212FE8"/>
    <w:rsid w:val="002156B1"/>
    <w:rsid w:val="0021585A"/>
    <w:rsid w:val="002172E8"/>
    <w:rsid w:val="0021762B"/>
    <w:rsid w:val="00217A99"/>
    <w:rsid w:val="00217E87"/>
    <w:rsid w:val="002222F4"/>
    <w:rsid w:val="00225851"/>
    <w:rsid w:val="00227253"/>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1CF8"/>
    <w:rsid w:val="002520B9"/>
    <w:rsid w:val="0025620D"/>
    <w:rsid w:val="00257EC9"/>
    <w:rsid w:val="00261122"/>
    <w:rsid w:val="00261B29"/>
    <w:rsid w:val="00265791"/>
    <w:rsid w:val="002670AE"/>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3BB4"/>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BAE"/>
    <w:rsid w:val="002D083B"/>
    <w:rsid w:val="002D2706"/>
    <w:rsid w:val="002D2F59"/>
    <w:rsid w:val="002D2FB0"/>
    <w:rsid w:val="002D38EC"/>
    <w:rsid w:val="002D3CF0"/>
    <w:rsid w:val="002D60B9"/>
    <w:rsid w:val="002D73C5"/>
    <w:rsid w:val="002D76DE"/>
    <w:rsid w:val="002E0AA5"/>
    <w:rsid w:val="002E1C21"/>
    <w:rsid w:val="002E252E"/>
    <w:rsid w:val="002E498A"/>
    <w:rsid w:val="002E673A"/>
    <w:rsid w:val="002E6F9E"/>
    <w:rsid w:val="002F18F5"/>
    <w:rsid w:val="002F2366"/>
    <w:rsid w:val="002F50CC"/>
    <w:rsid w:val="002F52B8"/>
    <w:rsid w:val="002F6037"/>
    <w:rsid w:val="0030688A"/>
    <w:rsid w:val="0031045B"/>
    <w:rsid w:val="00314C84"/>
    <w:rsid w:val="00315124"/>
    <w:rsid w:val="0031780F"/>
    <w:rsid w:val="00320914"/>
    <w:rsid w:val="00320B85"/>
    <w:rsid w:val="00322646"/>
    <w:rsid w:val="003226FE"/>
    <w:rsid w:val="003248FA"/>
    <w:rsid w:val="00330B0E"/>
    <w:rsid w:val="003322B1"/>
    <w:rsid w:val="00334763"/>
    <w:rsid w:val="00334D2C"/>
    <w:rsid w:val="00337C85"/>
    <w:rsid w:val="00340E7A"/>
    <w:rsid w:val="003424CA"/>
    <w:rsid w:val="00342B3D"/>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1A60"/>
    <w:rsid w:val="003B407B"/>
    <w:rsid w:val="003B4616"/>
    <w:rsid w:val="003B48E5"/>
    <w:rsid w:val="003B4A12"/>
    <w:rsid w:val="003B5A31"/>
    <w:rsid w:val="003B631D"/>
    <w:rsid w:val="003B7303"/>
    <w:rsid w:val="003B7D73"/>
    <w:rsid w:val="003B7E40"/>
    <w:rsid w:val="003C0181"/>
    <w:rsid w:val="003C1A73"/>
    <w:rsid w:val="003C2132"/>
    <w:rsid w:val="003C2961"/>
    <w:rsid w:val="003C56FB"/>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A87"/>
    <w:rsid w:val="003F4B10"/>
    <w:rsid w:val="00404303"/>
    <w:rsid w:val="00405927"/>
    <w:rsid w:val="004073B3"/>
    <w:rsid w:val="00407A6E"/>
    <w:rsid w:val="00407B38"/>
    <w:rsid w:val="00410683"/>
    <w:rsid w:val="004106D8"/>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2E7"/>
    <w:rsid w:val="00432383"/>
    <w:rsid w:val="00432821"/>
    <w:rsid w:val="00432C6A"/>
    <w:rsid w:val="00441417"/>
    <w:rsid w:val="00444F6D"/>
    <w:rsid w:val="004452F6"/>
    <w:rsid w:val="004458C4"/>
    <w:rsid w:val="00446C3C"/>
    <w:rsid w:val="00451396"/>
    <w:rsid w:val="00451B87"/>
    <w:rsid w:val="00454FDF"/>
    <w:rsid w:val="00460070"/>
    <w:rsid w:val="00460668"/>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155"/>
    <w:rsid w:val="0047775E"/>
    <w:rsid w:val="00482528"/>
    <w:rsid w:val="00482B19"/>
    <w:rsid w:val="004833DA"/>
    <w:rsid w:val="00484795"/>
    <w:rsid w:val="00484B19"/>
    <w:rsid w:val="00486452"/>
    <w:rsid w:val="004868A9"/>
    <w:rsid w:val="00486E2A"/>
    <w:rsid w:val="00493AA1"/>
    <w:rsid w:val="00497551"/>
    <w:rsid w:val="00497598"/>
    <w:rsid w:val="004A087A"/>
    <w:rsid w:val="004A1A16"/>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4306"/>
    <w:rsid w:val="00517A05"/>
    <w:rsid w:val="005206BC"/>
    <w:rsid w:val="0052111C"/>
    <w:rsid w:val="005217C0"/>
    <w:rsid w:val="00523189"/>
    <w:rsid w:val="00524880"/>
    <w:rsid w:val="00526478"/>
    <w:rsid w:val="0052677A"/>
    <w:rsid w:val="00527454"/>
    <w:rsid w:val="00527D2B"/>
    <w:rsid w:val="00530065"/>
    <w:rsid w:val="00530AC5"/>
    <w:rsid w:val="0053293C"/>
    <w:rsid w:val="00535006"/>
    <w:rsid w:val="005359D9"/>
    <w:rsid w:val="00535DD9"/>
    <w:rsid w:val="005360D8"/>
    <w:rsid w:val="00536214"/>
    <w:rsid w:val="005368B1"/>
    <w:rsid w:val="005369A1"/>
    <w:rsid w:val="00536C07"/>
    <w:rsid w:val="005376BC"/>
    <w:rsid w:val="00540756"/>
    <w:rsid w:val="005446CC"/>
    <w:rsid w:val="00545300"/>
    <w:rsid w:val="0055097C"/>
    <w:rsid w:val="00551D17"/>
    <w:rsid w:val="00553329"/>
    <w:rsid w:val="005538BC"/>
    <w:rsid w:val="00554036"/>
    <w:rsid w:val="005550FD"/>
    <w:rsid w:val="00555519"/>
    <w:rsid w:val="005570A4"/>
    <w:rsid w:val="0055724A"/>
    <w:rsid w:val="005600FF"/>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32FB"/>
    <w:rsid w:val="005B4839"/>
    <w:rsid w:val="005B5078"/>
    <w:rsid w:val="005B542B"/>
    <w:rsid w:val="005C05A7"/>
    <w:rsid w:val="005C2765"/>
    <w:rsid w:val="005C314A"/>
    <w:rsid w:val="005C3AB5"/>
    <w:rsid w:val="005C4B4A"/>
    <w:rsid w:val="005C55AC"/>
    <w:rsid w:val="005C6897"/>
    <w:rsid w:val="005C7726"/>
    <w:rsid w:val="005D00D8"/>
    <w:rsid w:val="005D1153"/>
    <w:rsid w:val="005D2FDB"/>
    <w:rsid w:val="005D78C7"/>
    <w:rsid w:val="005E1812"/>
    <w:rsid w:val="005E4997"/>
    <w:rsid w:val="005E538A"/>
    <w:rsid w:val="005E7D6F"/>
    <w:rsid w:val="005F1CD0"/>
    <w:rsid w:val="005F411B"/>
    <w:rsid w:val="005F572F"/>
    <w:rsid w:val="0060077B"/>
    <w:rsid w:val="00601B98"/>
    <w:rsid w:val="00601FDF"/>
    <w:rsid w:val="006021D1"/>
    <w:rsid w:val="00603760"/>
    <w:rsid w:val="006074A5"/>
    <w:rsid w:val="006104F1"/>
    <w:rsid w:val="006107AF"/>
    <w:rsid w:val="00610C78"/>
    <w:rsid w:val="00610FF1"/>
    <w:rsid w:val="00611E50"/>
    <w:rsid w:val="00614B78"/>
    <w:rsid w:val="00614C93"/>
    <w:rsid w:val="00617046"/>
    <w:rsid w:val="00617329"/>
    <w:rsid w:val="00621954"/>
    <w:rsid w:val="00622575"/>
    <w:rsid w:val="00622D58"/>
    <w:rsid w:val="006256D3"/>
    <w:rsid w:val="00631A76"/>
    <w:rsid w:val="006326DA"/>
    <w:rsid w:val="00633B05"/>
    <w:rsid w:val="006347C5"/>
    <w:rsid w:val="00634B44"/>
    <w:rsid w:val="006361AF"/>
    <w:rsid w:val="00642A6D"/>
    <w:rsid w:val="00645565"/>
    <w:rsid w:val="006457C8"/>
    <w:rsid w:val="00646EC1"/>
    <w:rsid w:val="00650B49"/>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4EF"/>
    <w:rsid w:val="00674689"/>
    <w:rsid w:val="006746C7"/>
    <w:rsid w:val="006769E9"/>
    <w:rsid w:val="00680282"/>
    <w:rsid w:val="0068031E"/>
    <w:rsid w:val="006803F9"/>
    <w:rsid w:val="00681D60"/>
    <w:rsid w:val="00682814"/>
    <w:rsid w:val="006853A8"/>
    <w:rsid w:val="0068552B"/>
    <w:rsid w:val="00686FBD"/>
    <w:rsid w:val="0068754E"/>
    <w:rsid w:val="00687797"/>
    <w:rsid w:val="006900D5"/>
    <w:rsid w:val="00691436"/>
    <w:rsid w:val="00691850"/>
    <w:rsid w:val="0069284C"/>
    <w:rsid w:val="0069445D"/>
    <w:rsid w:val="00695DF8"/>
    <w:rsid w:val="00696BA9"/>
    <w:rsid w:val="00697070"/>
    <w:rsid w:val="0069727E"/>
    <w:rsid w:val="006A20D4"/>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636E"/>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57E"/>
    <w:rsid w:val="0076607D"/>
    <w:rsid w:val="00774A5E"/>
    <w:rsid w:val="00774B69"/>
    <w:rsid w:val="007754C0"/>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007"/>
    <w:rsid w:val="007B21F1"/>
    <w:rsid w:val="007B29EB"/>
    <w:rsid w:val="007B3DB3"/>
    <w:rsid w:val="007B4B0C"/>
    <w:rsid w:val="007B516B"/>
    <w:rsid w:val="007B5218"/>
    <w:rsid w:val="007B5CE6"/>
    <w:rsid w:val="007B6200"/>
    <w:rsid w:val="007B7236"/>
    <w:rsid w:val="007C03D4"/>
    <w:rsid w:val="007C201F"/>
    <w:rsid w:val="007C53AA"/>
    <w:rsid w:val="007C7EF4"/>
    <w:rsid w:val="007D04B3"/>
    <w:rsid w:val="007D0FBB"/>
    <w:rsid w:val="007D38F9"/>
    <w:rsid w:val="007D412B"/>
    <w:rsid w:val="007D487C"/>
    <w:rsid w:val="007D4DFA"/>
    <w:rsid w:val="007D5CF6"/>
    <w:rsid w:val="007D65CB"/>
    <w:rsid w:val="007D6A0A"/>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1D08"/>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678"/>
    <w:rsid w:val="00835B9F"/>
    <w:rsid w:val="0083732E"/>
    <w:rsid w:val="0084054A"/>
    <w:rsid w:val="00840AF5"/>
    <w:rsid w:val="008422D0"/>
    <w:rsid w:val="00843E66"/>
    <w:rsid w:val="008469CA"/>
    <w:rsid w:val="00847FF2"/>
    <w:rsid w:val="00850133"/>
    <w:rsid w:val="00850816"/>
    <w:rsid w:val="00854849"/>
    <w:rsid w:val="008574F8"/>
    <w:rsid w:val="008607AC"/>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20F"/>
    <w:rsid w:val="008B27A9"/>
    <w:rsid w:val="008B28A9"/>
    <w:rsid w:val="008B30D0"/>
    <w:rsid w:val="008B32E0"/>
    <w:rsid w:val="008C12C5"/>
    <w:rsid w:val="008C141B"/>
    <w:rsid w:val="008C4611"/>
    <w:rsid w:val="008C5B5D"/>
    <w:rsid w:val="008C6683"/>
    <w:rsid w:val="008C6E8B"/>
    <w:rsid w:val="008D086B"/>
    <w:rsid w:val="008D1331"/>
    <w:rsid w:val="008D17E6"/>
    <w:rsid w:val="008D2079"/>
    <w:rsid w:val="008D2B10"/>
    <w:rsid w:val="008D5703"/>
    <w:rsid w:val="008D6E6B"/>
    <w:rsid w:val="008E3337"/>
    <w:rsid w:val="008E4880"/>
    <w:rsid w:val="008E6B23"/>
    <w:rsid w:val="008F06A4"/>
    <w:rsid w:val="008F0F98"/>
    <w:rsid w:val="008F26BF"/>
    <w:rsid w:val="008F29D2"/>
    <w:rsid w:val="008F2D7F"/>
    <w:rsid w:val="008F4EB8"/>
    <w:rsid w:val="008F5A2A"/>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5D51"/>
    <w:rsid w:val="0093711C"/>
    <w:rsid w:val="0093750E"/>
    <w:rsid w:val="009378FE"/>
    <w:rsid w:val="009404FC"/>
    <w:rsid w:val="0094361B"/>
    <w:rsid w:val="0094438E"/>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7FB2"/>
    <w:rsid w:val="009B1312"/>
    <w:rsid w:val="009B2512"/>
    <w:rsid w:val="009B3250"/>
    <w:rsid w:val="009B3894"/>
    <w:rsid w:val="009B437C"/>
    <w:rsid w:val="009B48D6"/>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1C38"/>
    <w:rsid w:val="009E2236"/>
    <w:rsid w:val="009E2361"/>
    <w:rsid w:val="009E2DB2"/>
    <w:rsid w:val="009E339E"/>
    <w:rsid w:val="009E59A7"/>
    <w:rsid w:val="009E6DA0"/>
    <w:rsid w:val="009F0437"/>
    <w:rsid w:val="009F07BF"/>
    <w:rsid w:val="009F17A7"/>
    <w:rsid w:val="009F214B"/>
    <w:rsid w:val="009F262D"/>
    <w:rsid w:val="009F342F"/>
    <w:rsid w:val="009F3C50"/>
    <w:rsid w:val="009F4242"/>
    <w:rsid w:val="009F4276"/>
    <w:rsid w:val="009F5F0C"/>
    <w:rsid w:val="009F6DDE"/>
    <w:rsid w:val="00A00210"/>
    <w:rsid w:val="00A02383"/>
    <w:rsid w:val="00A026AA"/>
    <w:rsid w:val="00A0291C"/>
    <w:rsid w:val="00A02D05"/>
    <w:rsid w:val="00A02DAC"/>
    <w:rsid w:val="00A04F77"/>
    <w:rsid w:val="00A05512"/>
    <w:rsid w:val="00A075D3"/>
    <w:rsid w:val="00A10714"/>
    <w:rsid w:val="00A10F2F"/>
    <w:rsid w:val="00A12F07"/>
    <w:rsid w:val="00A130E0"/>
    <w:rsid w:val="00A134E6"/>
    <w:rsid w:val="00A161CF"/>
    <w:rsid w:val="00A20D5A"/>
    <w:rsid w:val="00A21209"/>
    <w:rsid w:val="00A2198E"/>
    <w:rsid w:val="00A227D9"/>
    <w:rsid w:val="00A25137"/>
    <w:rsid w:val="00A25198"/>
    <w:rsid w:val="00A25CC8"/>
    <w:rsid w:val="00A26131"/>
    <w:rsid w:val="00A26165"/>
    <w:rsid w:val="00A2674E"/>
    <w:rsid w:val="00A26BA7"/>
    <w:rsid w:val="00A271BD"/>
    <w:rsid w:val="00A322EB"/>
    <w:rsid w:val="00A345A9"/>
    <w:rsid w:val="00A35622"/>
    <w:rsid w:val="00A35EE7"/>
    <w:rsid w:val="00A37127"/>
    <w:rsid w:val="00A37F87"/>
    <w:rsid w:val="00A407DA"/>
    <w:rsid w:val="00A40C70"/>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5BC"/>
    <w:rsid w:val="00A925CA"/>
    <w:rsid w:val="00A9273C"/>
    <w:rsid w:val="00A92EBC"/>
    <w:rsid w:val="00A944D9"/>
    <w:rsid w:val="00AA1330"/>
    <w:rsid w:val="00AA200F"/>
    <w:rsid w:val="00AA2FAF"/>
    <w:rsid w:val="00AA55FD"/>
    <w:rsid w:val="00AA5C5F"/>
    <w:rsid w:val="00AA7525"/>
    <w:rsid w:val="00AB0793"/>
    <w:rsid w:val="00AB1053"/>
    <w:rsid w:val="00AB1C2C"/>
    <w:rsid w:val="00AB2663"/>
    <w:rsid w:val="00AB4390"/>
    <w:rsid w:val="00AB4814"/>
    <w:rsid w:val="00AB548A"/>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D7CCA"/>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043"/>
    <w:rsid w:val="00B155EB"/>
    <w:rsid w:val="00B2058A"/>
    <w:rsid w:val="00B210B1"/>
    <w:rsid w:val="00B21CB2"/>
    <w:rsid w:val="00B225DE"/>
    <w:rsid w:val="00B22AD4"/>
    <w:rsid w:val="00B22F96"/>
    <w:rsid w:val="00B23426"/>
    <w:rsid w:val="00B23756"/>
    <w:rsid w:val="00B244BA"/>
    <w:rsid w:val="00B24AE2"/>
    <w:rsid w:val="00B25AD0"/>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64A67"/>
    <w:rsid w:val="00B72CC8"/>
    <w:rsid w:val="00B74DF0"/>
    <w:rsid w:val="00B7799E"/>
    <w:rsid w:val="00B77E4B"/>
    <w:rsid w:val="00B81771"/>
    <w:rsid w:val="00B8196C"/>
    <w:rsid w:val="00B82996"/>
    <w:rsid w:val="00B82E64"/>
    <w:rsid w:val="00B83815"/>
    <w:rsid w:val="00B83C22"/>
    <w:rsid w:val="00B850A4"/>
    <w:rsid w:val="00B86296"/>
    <w:rsid w:val="00B87357"/>
    <w:rsid w:val="00B90101"/>
    <w:rsid w:val="00B91050"/>
    <w:rsid w:val="00B9125E"/>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E02F8"/>
    <w:rsid w:val="00BE03A7"/>
    <w:rsid w:val="00BE62B9"/>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117C"/>
    <w:rsid w:val="00C12F24"/>
    <w:rsid w:val="00C13337"/>
    <w:rsid w:val="00C13CFF"/>
    <w:rsid w:val="00C14C2F"/>
    <w:rsid w:val="00C200EE"/>
    <w:rsid w:val="00C20A22"/>
    <w:rsid w:val="00C20B79"/>
    <w:rsid w:val="00C211C2"/>
    <w:rsid w:val="00C21EB5"/>
    <w:rsid w:val="00C24D16"/>
    <w:rsid w:val="00C25621"/>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3B80"/>
    <w:rsid w:val="00CA4272"/>
    <w:rsid w:val="00CA4A34"/>
    <w:rsid w:val="00CA78A1"/>
    <w:rsid w:val="00CA7B4B"/>
    <w:rsid w:val="00CB1C8E"/>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299C"/>
    <w:rsid w:val="00D15DFD"/>
    <w:rsid w:val="00D21A0E"/>
    <w:rsid w:val="00D227DA"/>
    <w:rsid w:val="00D23360"/>
    <w:rsid w:val="00D2393C"/>
    <w:rsid w:val="00D24F72"/>
    <w:rsid w:val="00D271D2"/>
    <w:rsid w:val="00D27269"/>
    <w:rsid w:val="00D27561"/>
    <w:rsid w:val="00D30C14"/>
    <w:rsid w:val="00D325FA"/>
    <w:rsid w:val="00D32F62"/>
    <w:rsid w:val="00D33B29"/>
    <w:rsid w:val="00D33B2C"/>
    <w:rsid w:val="00D354C5"/>
    <w:rsid w:val="00D3681C"/>
    <w:rsid w:val="00D40209"/>
    <w:rsid w:val="00D4053C"/>
    <w:rsid w:val="00D4361B"/>
    <w:rsid w:val="00D46147"/>
    <w:rsid w:val="00D4625E"/>
    <w:rsid w:val="00D46E36"/>
    <w:rsid w:val="00D531E0"/>
    <w:rsid w:val="00D53B85"/>
    <w:rsid w:val="00D567D3"/>
    <w:rsid w:val="00D63311"/>
    <w:rsid w:val="00D64482"/>
    <w:rsid w:val="00D649CF"/>
    <w:rsid w:val="00D65076"/>
    <w:rsid w:val="00D65BF1"/>
    <w:rsid w:val="00D664C9"/>
    <w:rsid w:val="00D66C79"/>
    <w:rsid w:val="00D67437"/>
    <w:rsid w:val="00D7025B"/>
    <w:rsid w:val="00D71A37"/>
    <w:rsid w:val="00D71CBB"/>
    <w:rsid w:val="00D72D2A"/>
    <w:rsid w:val="00D73E8D"/>
    <w:rsid w:val="00D76B65"/>
    <w:rsid w:val="00D775D3"/>
    <w:rsid w:val="00D8061D"/>
    <w:rsid w:val="00D8097F"/>
    <w:rsid w:val="00D8158D"/>
    <w:rsid w:val="00D8202B"/>
    <w:rsid w:val="00D826F1"/>
    <w:rsid w:val="00D83F21"/>
    <w:rsid w:val="00D8429E"/>
    <w:rsid w:val="00D84566"/>
    <w:rsid w:val="00D85381"/>
    <w:rsid w:val="00D86CA2"/>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A36"/>
    <w:rsid w:val="00E13D21"/>
    <w:rsid w:val="00E14158"/>
    <w:rsid w:val="00E14FDA"/>
    <w:rsid w:val="00E1658D"/>
    <w:rsid w:val="00E165D4"/>
    <w:rsid w:val="00E16A64"/>
    <w:rsid w:val="00E208DF"/>
    <w:rsid w:val="00E2175E"/>
    <w:rsid w:val="00E21859"/>
    <w:rsid w:val="00E226D2"/>
    <w:rsid w:val="00E23EE3"/>
    <w:rsid w:val="00E24A0C"/>
    <w:rsid w:val="00E25E15"/>
    <w:rsid w:val="00E269BD"/>
    <w:rsid w:val="00E3211A"/>
    <w:rsid w:val="00E32FC6"/>
    <w:rsid w:val="00E4060A"/>
    <w:rsid w:val="00E41848"/>
    <w:rsid w:val="00E41BBA"/>
    <w:rsid w:val="00E439F6"/>
    <w:rsid w:val="00E44C66"/>
    <w:rsid w:val="00E46146"/>
    <w:rsid w:val="00E46A2B"/>
    <w:rsid w:val="00E50655"/>
    <w:rsid w:val="00E548E7"/>
    <w:rsid w:val="00E55532"/>
    <w:rsid w:val="00E6773B"/>
    <w:rsid w:val="00E70B7E"/>
    <w:rsid w:val="00E71937"/>
    <w:rsid w:val="00E7609F"/>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97E3E"/>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6A02"/>
    <w:rsid w:val="00ED7FD1"/>
    <w:rsid w:val="00EE00CA"/>
    <w:rsid w:val="00EE2113"/>
    <w:rsid w:val="00EE508D"/>
    <w:rsid w:val="00EE6C37"/>
    <w:rsid w:val="00EF1833"/>
    <w:rsid w:val="00EF39B3"/>
    <w:rsid w:val="00EF3B42"/>
    <w:rsid w:val="00EF6333"/>
    <w:rsid w:val="00EF69E9"/>
    <w:rsid w:val="00EF6CAF"/>
    <w:rsid w:val="00EF6D9B"/>
    <w:rsid w:val="00EF6F5C"/>
    <w:rsid w:val="00EF74B1"/>
    <w:rsid w:val="00EF7818"/>
    <w:rsid w:val="00F00EF0"/>
    <w:rsid w:val="00F02B64"/>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52734"/>
    <w:rsid w:val="00F53880"/>
    <w:rsid w:val="00F551CE"/>
    <w:rsid w:val="00F5626E"/>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3F04"/>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1D998-F7D8-4C13-B16E-6C20D36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aliases w:val="Footnote Reference.SES"/>
    <w:qFormat/>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basedOn w:val="Normal"/>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paragraph" w:styleId="HTMLconformatoprevio">
    <w:name w:val="HTML Preformatted"/>
    <w:basedOn w:val="Normal"/>
    <w:link w:val="HTMLconformatoprevioCar"/>
    <w:uiPriority w:val="99"/>
    <w:semiHidden/>
    <w:unhideWhenUsed/>
    <w:rsid w:val="00342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semiHidden/>
    <w:rsid w:val="00342B3D"/>
    <w:rPr>
      <w:rFonts w:ascii="Consolas" w:eastAsiaTheme="minorHAnsi" w:hAnsi="Consolas" w:cstheme="minorBidi"/>
      <w:lang w:val="es-ES" w:eastAsia="en-US"/>
    </w:rPr>
  </w:style>
  <w:style w:type="table" w:customStyle="1" w:styleId="Tablaconcuadrcula2">
    <w:name w:val="Tabla con cuadrícula2"/>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98A"/>
    <w:rPr>
      <w:rFonts w:eastAsiaTheme="minorHAnsi"/>
      <w:lang w:val="es-CL" w:eastAsia="es-CL"/>
    </w:rPr>
  </w:style>
  <w:style w:type="paragraph" w:customStyle="1" w:styleId="TableParagraph">
    <w:name w:val="Table Paragraph"/>
    <w:basedOn w:val="Normal"/>
    <w:uiPriority w:val="1"/>
    <w:qFormat/>
    <w:rsid w:val="002A3BB4"/>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3423354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1962682921">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2.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3.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06D36E-5B97-4A4E-BEE4-9A1C332C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2132</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13831</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Maria Eugenia Silva Ferrer</cp:lastModifiedBy>
  <cp:revision>10</cp:revision>
  <cp:lastPrinted>2016-06-23T14:44:00Z</cp:lastPrinted>
  <dcterms:created xsi:type="dcterms:W3CDTF">2023-01-04T20:54:00Z</dcterms:created>
  <dcterms:modified xsi:type="dcterms:W3CDTF">2023-01-04T21:45:00Z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