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20A" w:rsidRPr="0030720A" w:rsidRDefault="00C15212" w:rsidP="0030720A">
      <w:pPr>
        <w:pStyle w:val="Sinespaciado"/>
        <w:spacing w:line="276" w:lineRule="auto"/>
        <w:jc w:val="both"/>
        <w:rPr>
          <w:rFonts w:ascii="Arial" w:hAnsi="Arial" w:cs="Arial"/>
          <w:b/>
        </w:rPr>
      </w:pPr>
      <w:r w:rsidRPr="00C15212">
        <w:rPr>
          <w:rFonts w:ascii="Arial" w:hAnsi="Arial" w:cs="Arial"/>
          <w:b/>
        </w:rPr>
        <w:t>INFORME DE LA COMISION DE HACIENDA RECAÍDO EN EL PROYECTO DE LEY QUE</w:t>
      </w:r>
      <w:r>
        <w:rPr>
          <w:rFonts w:ascii="Arial" w:hAnsi="Arial" w:cs="Arial"/>
          <w:b/>
        </w:rPr>
        <w:t xml:space="preserve"> </w:t>
      </w:r>
      <w:r w:rsidR="0030720A" w:rsidRPr="0030720A">
        <w:rPr>
          <w:rFonts w:ascii="Arial" w:hAnsi="Arial" w:cs="Arial"/>
          <w:b/>
          <w:iCs/>
        </w:rPr>
        <w:t>CREA EL FONDO DE ESTABILIZACIÓN DE PRECIOS DEL PETRÓLEO CON EL OBJETO DE INCREMENTAR SUS RECURSOS.</w:t>
      </w:r>
    </w:p>
    <w:p w:rsidR="002E7F31" w:rsidRDefault="002E7F31" w:rsidP="002E7F31">
      <w:pPr>
        <w:pStyle w:val="Sinespaciado"/>
        <w:spacing w:line="276" w:lineRule="auto"/>
        <w:jc w:val="both"/>
        <w:rPr>
          <w:rFonts w:ascii="Arial" w:hAnsi="Arial" w:cs="Arial"/>
          <w:b/>
          <w:bCs/>
        </w:rPr>
      </w:pPr>
      <w:r>
        <w:rPr>
          <w:rFonts w:ascii="Arial" w:hAnsi="Arial" w:cs="Arial"/>
          <w:b/>
          <w:bCs/>
        </w:rPr>
        <w:t>______________________________________________________________________</w:t>
      </w:r>
    </w:p>
    <w:p w:rsidR="003E4B14" w:rsidRDefault="003E4B14" w:rsidP="002E7F31">
      <w:pPr>
        <w:tabs>
          <w:tab w:val="left" w:pos="1134"/>
          <w:tab w:val="left" w:pos="1701"/>
        </w:tabs>
        <w:spacing w:line="276" w:lineRule="auto"/>
        <w:jc w:val="right"/>
        <w:rPr>
          <w:rFonts w:ascii="Arial" w:hAnsi="Arial" w:cs="Arial"/>
          <w:sz w:val="22"/>
          <w:szCs w:val="22"/>
        </w:rPr>
      </w:pPr>
    </w:p>
    <w:p w:rsidR="0003528C" w:rsidRPr="00850205" w:rsidRDefault="00C15212" w:rsidP="002E7F31">
      <w:pPr>
        <w:tabs>
          <w:tab w:val="left" w:pos="1134"/>
          <w:tab w:val="left" w:pos="1701"/>
        </w:tabs>
        <w:spacing w:line="276" w:lineRule="auto"/>
        <w:jc w:val="right"/>
        <w:rPr>
          <w:rFonts w:ascii="Arial" w:hAnsi="Arial" w:cs="Arial"/>
          <w:sz w:val="22"/>
          <w:szCs w:val="22"/>
        </w:rPr>
      </w:pPr>
      <w:r>
        <w:rPr>
          <w:rFonts w:ascii="Arial" w:hAnsi="Arial" w:cs="Arial"/>
          <w:sz w:val="22"/>
          <w:szCs w:val="22"/>
        </w:rPr>
        <w:t>B</w:t>
      </w:r>
      <w:r w:rsidR="004934B2" w:rsidRPr="004934B2">
        <w:rPr>
          <w:rFonts w:ascii="Arial" w:hAnsi="Arial" w:cs="Arial"/>
          <w:sz w:val="22"/>
          <w:szCs w:val="22"/>
        </w:rPr>
        <w:t xml:space="preserve">oletín N° </w:t>
      </w:r>
      <w:r w:rsidR="00231233">
        <w:rPr>
          <w:rFonts w:ascii="Arial" w:hAnsi="Arial" w:cs="Arial"/>
          <w:sz w:val="22"/>
          <w:szCs w:val="22"/>
        </w:rPr>
        <w:t>14.</w:t>
      </w:r>
      <w:r w:rsidR="0030720A">
        <w:rPr>
          <w:rFonts w:ascii="Arial" w:hAnsi="Arial" w:cs="Arial"/>
          <w:sz w:val="22"/>
          <w:szCs w:val="22"/>
        </w:rPr>
        <w:t>945</w:t>
      </w:r>
      <w:r w:rsidR="00231233">
        <w:rPr>
          <w:rFonts w:ascii="Arial" w:hAnsi="Arial" w:cs="Arial"/>
          <w:sz w:val="22"/>
          <w:szCs w:val="22"/>
        </w:rPr>
        <w:t>-05</w:t>
      </w:r>
    </w:p>
    <w:p w:rsidR="0003528C" w:rsidRDefault="0003528C" w:rsidP="002E7F31">
      <w:pPr>
        <w:tabs>
          <w:tab w:val="left" w:pos="1134"/>
          <w:tab w:val="left" w:pos="3686"/>
        </w:tabs>
        <w:spacing w:line="276" w:lineRule="auto"/>
        <w:jc w:val="both"/>
        <w:rPr>
          <w:rFonts w:ascii="Arial" w:hAnsi="Arial" w:cs="Arial"/>
          <w:sz w:val="22"/>
          <w:szCs w:val="22"/>
        </w:rPr>
      </w:pPr>
    </w:p>
    <w:p w:rsidR="004254B0" w:rsidRDefault="004254B0" w:rsidP="002E7F31">
      <w:pPr>
        <w:tabs>
          <w:tab w:val="left" w:pos="1134"/>
          <w:tab w:val="left" w:pos="3686"/>
        </w:tabs>
        <w:spacing w:line="276" w:lineRule="auto"/>
        <w:jc w:val="both"/>
        <w:rPr>
          <w:rFonts w:ascii="Arial" w:hAnsi="Arial" w:cs="Arial"/>
          <w:b/>
          <w:sz w:val="22"/>
          <w:szCs w:val="22"/>
        </w:rPr>
      </w:pPr>
    </w:p>
    <w:p w:rsidR="00C15212" w:rsidRPr="00C15212" w:rsidRDefault="00C15212" w:rsidP="002E7F31">
      <w:pPr>
        <w:tabs>
          <w:tab w:val="left" w:pos="1134"/>
          <w:tab w:val="left" w:pos="3686"/>
        </w:tabs>
        <w:spacing w:line="276" w:lineRule="auto"/>
        <w:jc w:val="both"/>
        <w:rPr>
          <w:rFonts w:ascii="Arial" w:hAnsi="Arial" w:cs="Arial"/>
          <w:b/>
          <w:sz w:val="22"/>
          <w:szCs w:val="22"/>
        </w:rPr>
      </w:pPr>
      <w:r w:rsidRPr="00C15212">
        <w:rPr>
          <w:rFonts w:ascii="Arial" w:hAnsi="Arial" w:cs="Arial"/>
          <w:b/>
          <w:sz w:val="22"/>
          <w:szCs w:val="22"/>
        </w:rPr>
        <w:t>HONORABLE CÁMARA</w:t>
      </w:r>
      <w:r w:rsidR="00A96796">
        <w:rPr>
          <w:rFonts w:ascii="Arial" w:hAnsi="Arial" w:cs="Arial"/>
          <w:b/>
          <w:sz w:val="22"/>
          <w:szCs w:val="22"/>
        </w:rPr>
        <w:t>:</w:t>
      </w:r>
    </w:p>
    <w:p w:rsidR="00C15212" w:rsidRDefault="00C15212" w:rsidP="002E7F31">
      <w:pPr>
        <w:tabs>
          <w:tab w:val="left" w:pos="1134"/>
          <w:tab w:val="left" w:pos="3686"/>
        </w:tabs>
        <w:spacing w:line="276" w:lineRule="auto"/>
        <w:jc w:val="both"/>
        <w:rPr>
          <w:rFonts w:ascii="Arial" w:hAnsi="Arial" w:cs="Arial"/>
          <w:b/>
          <w:sz w:val="22"/>
          <w:szCs w:val="22"/>
        </w:rPr>
      </w:pPr>
    </w:p>
    <w:p w:rsidR="00805ECE" w:rsidRDefault="00C15212"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 xml:space="preserve">La Comisión de Hacienda pasa a informar, en </w:t>
      </w:r>
      <w:r w:rsidR="003E4B14" w:rsidRPr="00A9672C">
        <w:rPr>
          <w:rFonts w:ascii="Arial" w:eastAsia="Tahoma" w:hAnsi="Arial" w:cs="Arial"/>
          <w:sz w:val="22"/>
          <w:szCs w:val="22"/>
          <w:lang w:val="es-CL" w:eastAsia="en-US"/>
        </w:rPr>
        <w:t xml:space="preserve">primer </w:t>
      </w:r>
      <w:r w:rsidRPr="00A9672C">
        <w:rPr>
          <w:rFonts w:ascii="Arial" w:eastAsia="Tahoma" w:hAnsi="Arial" w:cs="Arial"/>
          <w:sz w:val="22"/>
          <w:szCs w:val="22"/>
          <w:lang w:val="es-CL" w:eastAsia="en-US"/>
        </w:rPr>
        <w:t xml:space="preserve">trámite constitucional y </w:t>
      </w:r>
      <w:r w:rsidR="00805ECE" w:rsidRPr="00A9672C">
        <w:rPr>
          <w:rFonts w:ascii="Arial" w:eastAsia="Tahoma" w:hAnsi="Arial" w:cs="Arial"/>
          <w:sz w:val="22"/>
          <w:szCs w:val="22"/>
          <w:lang w:val="es-CL" w:eastAsia="en-US"/>
        </w:rPr>
        <w:t xml:space="preserve">primero </w:t>
      </w:r>
      <w:r w:rsidRPr="00A9672C">
        <w:rPr>
          <w:rFonts w:ascii="Arial" w:eastAsia="Tahoma" w:hAnsi="Arial" w:cs="Arial"/>
          <w:sz w:val="22"/>
          <w:szCs w:val="22"/>
          <w:lang w:val="es-CL" w:eastAsia="en-US"/>
        </w:rPr>
        <w:t xml:space="preserve">reglamentario, el proyecto de ley individualizado en el epígrafe, originado en </w:t>
      </w:r>
      <w:r w:rsidR="00851DD8">
        <w:rPr>
          <w:rFonts w:ascii="Arial" w:eastAsia="Tahoma" w:hAnsi="Arial" w:cs="Arial"/>
          <w:sz w:val="22"/>
          <w:szCs w:val="22"/>
          <w:lang w:val="es-CL" w:eastAsia="en-US"/>
        </w:rPr>
        <w:t xml:space="preserve">Mensaje de S.E. el Presidente de la República, don Gabriel Boric Font. </w:t>
      </w:r>
    </w:p>
    <w:p w:rsidR="00E23BE3" w:rsidRDefault="00E23BE3"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461746" w:rsidRDefault="00E23BE3" w:rsidP="00461746">
      <w:pPr>
        <w:spacing w:line="276" w:lineRule="auto"/>
        <w:ind w:firstLine="1701"/>
        <w:jc w:val="both"/>
        <w:rPr>
          <w:rFonts w:ascii="Arial" w:hAnsi="Arial" w:cs="Arial"/>
          <w:sz w:val="22"/>
          <w:szCs w:val="22"/>
        </w:rPr>
      </w:pPr>
      <w:r w:rsidRPr="00E23BE3">
        <w:rPr>
          <w:rFonts w:ascii="Arial" w:hAnsi="Arial" w:cs="Arial"/>
          <w:sz w:val="22"/>
          <w:szCs w:val="22"/>
        </w:rPr>
        <w:t>Asist</w:t>
      </w:r>
      <w:r>
        <w:rPr>
          <w:rFonts w:ascii="Arial" w:hAnsi="Arial" w:cs="Arial"/>
          <w:sz w:val="22"/>
          <w:szCs w:val="22"/>
        </w:rPr>
        <w:t>i</w:t>
      </w:r>
      <w:r w:rsidR="00461746">
        <w:rPr>
          <w:rFonts w:ascii="Arial" w:hAnsi="Arial" w:cs="Arial"/>
          <w:sz w:val="22"/>
          <w:szCs w:val="22"/>
        </w:rPr>
        <w:t xml:space="preserve">ó a presentar la iniciativa </w:t>
      </w:r>
      <w:r>
        <w:rPr>
          <w:rFonts w:ascii="Arial" w:hAnsi="Arial" w:cs="Arial"/>
          <w:sz w:val="22"/>
          <w:szCs w:val="22"/>
        </w:rPr>
        <w:t xml:space="preserve">en representación del </w:t>
      </w:r>
      <w:r w:rsidRPr="00E23BE3">
        <w:rPr>
          <w:rFonts w:ascii="Arial" w:hAnsi="Arial" w:cs="Arial"/>
          <w:sz w:val="22"/>
          <w:szCs w:val="22"/>
        </w:rPr>
        <w:t xml:space="preserve">Ejecutivo, el Ministro de </w:t>
      </w:r>
      <w:r w:rsidR="0030720A">
        <w:rPr>
          <w:rFonts w:ascii="Arial" w:hAnsi="Arial" w:cs="Arial"/>
          <w:sz w:val="22"/>
          <w:szCs w:val="22"/>
        </w:rPr>
        <w:t xml:space="preserve">Energía Claudio </w:t>
      </w:r>
      <w:proofErr w:type="spellStart"/>
      <w:r w:rsidR="0030720A">
        <w:rPr>
          <w:rFonts w:ascii="Arial" w:hAnsi="Arial" w:cs="Arial"/>
          <w:sz w:val="22"/>
          <w:szCs w:val="22"/>
        </w:rPr>
        <w:t>Huepe</w:t>
      </w:r>
      <w:proofErr w:type="spellEnd"/>
      <w:r w:rsidR="0030720A">
        <w:rPr>
          <w:rFonts w:ascii="Arial" w:hAnsi="Arial" w:cs="Arial"/>
          <w:sz w:val="22"/>
          <w:szCs w:val="22"/>
        </w:rPr>
        <w:t xml:space="preserve"> </w:t>
      </w:r>
      <w:proofErr w:type="spellStart"/>
      <w:r w:rsidR="0030720A">
        <w:rPr>
          <w:rFonts w:ascii="Arial" w:hAnsi="Arial" w:cs="Arial"/>
          <w:sz w:val="22"/>
          <w:szCs w:val="22"/>
        </w:rPr>
        <w:t>Minoletti</w:t>
      </w:r>
      <w:proofErr w:type="spellEnd"/>
      <w:r w:rsidR="0030720A">
        <w:rPr>
          <w:rFonts w:ascii="Arial" w:hAnsi="Arial" w:cs="Arial"/>
          <w:sz w:val="22"/>
          <w:szCs w:val="22"/>
        </w:rPr>
        <w:t xml:space="preserve"> y </w:t>
      </w:r>
      <w:r w:rsidR="00461746" w:rsidRPr="00FA7391">
        <w:rPr>
          <w:rFonts w:ascii="Arial" w:hAnsi="Arial" w:cs="Arial"/>
          <w:sz w:val="22"/>
          <w:szCs w:val="22"/>
        </w:rPr>
        <w:t xml:space="preserve">la Subsecretaria de Hacienda, señora Claudia Sanhueza </w:t>
      </w:r>
      <w:proofErr w:type="spellStart"/>
      <w:r w:rsidR="00461746" w:rsidRPr="00FA7391">
        <w:rPr>
          <w:rFonts w:ascii="Arial" w:hAnsi="Arial" w:cs="Arial"/>
          <w:sz w:val="22"/>
          <w:szCs w:val="22"/>
        </w:rPr>
        <w:t>Riveros</w:t>
      </w:r>
      <w:proofErr w:type="spellEnd"/>
      <w:r w:rsidR="00461746">
        <w:rPr>
          <w:rFonts w:ascii="Arial" w:hAnsi="Arial" w:cs="Arial"/>
          <w:sz w:val="22"/>
          <w:szCs w:val="22"/>
        </w:rPr>
        <w:t>.</w:t>
      </w:r>
    </w:p>
    <w:p w:rsidR="00B018A0" w:rsidRPr="00A9672C"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9137CA" w:rsidRPr="00A9672C" w:rsidRDefault="00B5358C" w:rsidP="00A9672C">
      <w:pPr>
        <w:widowControl w:val="0"/>
        <w:autoSpaceDE w:val="0"/>
        <w:autoSpaceDN w:val="0"/>
        <w:spacing w:line="276" w:lineRule="auto"/>
        <w:jc w:val="both"/>
        <w:rPr>
          <w:rFonts w:ascii="Arial" w:eastAsia="Tahoma" w:hAnsi="Arial" w:cs="Arial"/>
          <w:b/>
          <w:sz w:val="22"/>
          <w:szCs w:val="22"/>
          <w:lang w:val="es-CL" w:eastAsia="en-US"/>
        </w:rPr>
      </w:pPr>
      <w:r w:rsidRPr="00A9672C">
        <w:rPr>
          <w:rFonts w:ascii="Arial" w:eastAsia="Tahoma" w:hAnsi="Arial" w:cs="Arial"/>
          <w:b/>
          <w:sz w:val="22"/>
          <w:szCs w:val="22"/>
          <w:lang w:val="es-CL" w:eastAsia="en-US"/>
        </w:rPr>
        <w:t>I.-CONSTANCIAS REGLAMENTARIAS</w:t>
      </w:r>
    </w:p>
    <w:p w:rsidR="004A6351" w:rsidRPr="00A9672C" w:rsidRDefault="004A6351" w:rsidP="00A9672C">
      <w:pPr>
        <w:widowControl w:val="0"/>
        <w:autoSpaceDE w:val="0"/>
        <w:autoSpaceDN w:val="0"/>
        <w:spacing w:line="276" w:lineRule="auto"/>
        <w:jc w:val="both"/>
        <w:rPr>
          <w:rFonts w:ascii="Arial" w:eastAsia="Tahoma" w:hAnsi="Arial" w:cs="Arial"/>
          <w:b/>
          <w:sz w:val="22"/>
          <w:szCs w:val="22"/>
          <w:lang w:val="es-CL" w:eastAsia="en-US"/>
        </w:rPr>
      </w:pPr>
    </w:p>
    <w:p w:rsidR="00D0483A" w:rsidRPr="00714332" w:rsidRDefault="00237FAA"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714332">
        <w:rPr>
          <w:rFonts w:ascii="Arial" w:eastAsia="Tahoma" w:hAnsi="Arial" w:cs="Arial"/>
          <w:sz w:val="22"/>
          <w:szCs w:val="22"/>
          <w:lang w:val="es-CL" w:eastAsia="en-US"/>
        </w:rPr>
        <w:t>1</w:t>
      </w:r>
      <w:r w:rsidR="004A6351" w:rsidRPr="00714332">
        <w:rPr>
          <w:rFonts w:ascii="Arial" w:eastAsia="Tahoma" w:hAnsi="Arial" w:cs="Arial"/>
          <w:sz w:val="22"/>
          <w:szCs w:val="22"/>
          <w:lang w:val="es-CL" w:eastAsia="en-US"/>
        </w:rPr>
        <w:t>.-</w:t>
      </w:r>
      <w:r w:rsidR="004A6351" w:rsidRPr="00714332">
        <w:rPr>
          <w:rFonts w:ascii="Arial" w:eastAsia="Tahoma" w:hAnsi="Arial" w:cs="Arial"/>
          <w:sz w:val="22"/>
          <w:szCs w:val="22"/>
          <w:u w:val="single"/>
          <w:lang w:val="es-CL" w:eastAsia="en-US"/>
        </w:rPr>
        <w:t xml:space="preserve"> </w:t>
      </w:r>
      <w:r w:rsidR="009D7DFC" w:rsidRPr="00714332">
        <w:rPr>
          <w:rFonts w:ascii="Arial" w:eastAsia="Tahoma" w:hAnsi="Arial" w:cs="Arial"/>
          <w:sz w:val="22"/>
          <w:szCs w:val="22"/>
          <w:u w:val="single"/>
          <w:lang w:val="es-CL" w:eastAsia="en-US"/>
        </w:rPr>
        <w:t>I</w:t>
      </w:r>
      <w:r w:rsidR="004A6351" w:rsidRPr="00714332">
        <w:rPr>
          <w:rFonts w:ascii="Arial" w:eastAsia="Tahoma" w:hAnsi="Arial" w:cs="Arial"/>
          <w:sz w:val="22"/>
          <w:szCs w:val="22"/>
          <w:u w:val="single"/>
          <w:lang w:val="es-CL" w:eastAsia="en-US"/>
        </w:rPr>
        <w:t>dea matriz o fundamental del proyecto</w:t>
      </w:r>
      <w:r w:rsidR="009D7DFC" w:rsidRPr="00714332">
        <w:rPr>
          <w:rFonts w:ascii="Arial" w:eastAsia="Tahoma" w:hAnsi="Arial" w:cs="Arial"/>
          <w:sz w:val="22"/>
          <w:szCs w:val="22"/>
          <w:u w:val="single"/>
          <w:lang w:val="es-CL" w:eastAsia="en-US"/>
        </w:rPr>
        <w:t>:</w:t>
      </w:r>
      <w:r w:rsidR="004A6351" w:rsidRPr="00714332">
        <w:rPr>
          <w:rFonts w:ascii="Arial" w:eastAsia="Tahoma" w:hAnsi="Arial" w:cs="Arial"/>
          <w:sz w:val="22"/>
          <w:szCs w:val="22"/>
          <w:u w:val="single"/>
          <w:lang w:val="es-CL" w:eastAsia="en-US"/>
        </w:rPr>
        <w:t xml:space="preserve"> </w:t>
      </w:r>
    </w:p>
    <w:p w:rsidR="0030720A" w:rsidRPr="0030720A" w:rsidRDefault="0030720A" w:rsidP="0030720A">
      <w:pPr>
        <w:spacing w:after="200" w:line="276" w:lineRule="auto"/>
        <w:ind w:firstLine="1701"/>
        <w:jc w:val="both"/>
        <w:rPr>
          <w:rFonts w:ascii="Arial" w:eastAsia="Calibri" w:hAnsi="Arial" w:cs="Arial"/>
          <w:sz w:val="22"/>
          <w:szCs w:val="22"/>
          <w:lang w:eastAsia="en-US"/>
        </w:rPr>
      </w:pPr>
      <w:r w:rsidRPr="0030720A">
        <w:rPr>
          <w:rFonts w:ascii="Arial" w:eastAsia="Calibri" w:hAnsi="Arial" w:cs="Arial"/>
          <w:sz w:val="22"/>
          <w:szCs w:val="22"/>
          <w:lang w:eastAsia="en-US"/>
        </w:rPr>
        <w:t>Atenuar las variaciones de las alzas del precio del kerosene doméstico</w:t>
      </w:r>
      <w:r w:rsidRPr="0030720A">
        <w:rPr>
          <w:rFonts w:ascii="Arial" w:eastAsia="Calibri" w:hAnsi="Arial" w:cs="Arial"/>
          <w:sz w:val="22"/>
          <w:szCs w:val="22"/>
          <w:vertAlign w:val="superscript"/>
          <w:lang w:eastAsia="en-US"/>
        </w:rPr>
        <w:footnoteReference w:id="1"/>
      </w:r>
      <w:r w:rsidRPr="0030720A">
        <w:rPr>
          <w:rFonts w:ascii="Arial" w:eastAsia="Calibri" w:hAnsi="Arial" w:cs="Arial"/>
          <w:sz w:val="22"/>
          <w:szCs w:val="22"/>
          <w:lang w:eastAsia="en-US"/>
        </w:rPr>
        <w:t xml:space="preserve">, </w:t>
      </w:r>
      <w:r w:rsidRPr="0030720A">
        <w:rPr>
          <w:rFonts w:ascii="Arial" w:eastAsia="Calibri" w:hAnsi="Arial" w:cs="Arial"/>
          <w:sz w:val="22"/>
          <w:szCs w:val="22"/>
          <w:lang w:val="es-ES" w:eastAsia="en-US"/>
        </w:rPr>
        <w:t xml:space="preserve">debidas a las fluctuaciones de precios internacionales, mediante el subsidio estatal que permite el Fondo de </w:t>
      </w:r>
      <w:r w:rsidRPr="0030720A">
        <w:rPr>
          <w:rFonts w:ascii="Arial" w:eastAsia="Calibri" w:hAnsi="Arial" w:cs="Arial"/>
          <w:sz w:val="22"/>
          <w:szCs w:val="22"/>
          <w:lang w:eastAsia="en-US"/>
        </w:rPr>
        <w:t>Estabilización de Precios de los Combustibles</w:t>
      </w:r>
      <w:r w:rsidRPr="0030720A">
        <w:rPr>
          <w:rFonts w:ascii="Arial" w:eastAsia="Calibri" w:hAnsi="Arial" w:cs="Arial"/>
          <w:sz w:val="22"/>
          <w:szCs w:val="22"/>
          <w:vertAlign w:val="superscript"/>
          <w:lang w:eastAsia="en-US"/>
        </w:rPr>
        <w:footnoteReference w:id="2"/>
      </w:r>
      <w:r w:rsidRPr="0030720A">
        <w:rPr>
          <w:rFonts w:ascii="Arial" w:eastAsia="Calibri" w:hAnsi="Arial" w:cs="Arial"/>
          <w:sz w:val="22"/>
          <w:szCs w:val="22"/>
          <w:lang w:eastAsia="en-US"/>
        </w:rPr>
        <w:t xml:space="preserve">, y su Mecanismo posterior creado en la ley 20.765, de 2014, con el objeto de disminuir el precio actual de la parafina en más de cien pesos en promedio y mantenerlo a un nivel </w:t>
      </w:r>
      <w:proofErr w:type="gramStart"/>
      <w:r w:rsidRPr="0030720A">
        <w:rPr>
          <w:rFonts w:ascii="Arial" w:eastAsia="Calibri" w:hAnsi="Arial" w:cs="Arial"/>
          <w:sz w:val="22"/>
          <w:szCs w:val="22"/>
          <w:lang w:eastAsia="en-US"/>
        </w:rPr>
        <w:t>estable</w:t>
      </w:r>
      <w:proofErr w:type="gramEnd"/>
      <w:r w:rsidRPr="0030720A">
        <w:rPr>
          <w:rFonts w:ascii="Arial" w:eastAsia="Calibri" w:hAnsi="Arial" w:cs="Arial"/>
          <w:sz w:val="22"/>
          <w:szCs w:val="22"/>
          <w:lang w:eastAsia="en-US"/>
        </w:rPr>
        <w:t xml:space="preserve"> a lo largo del invierno, todo ello, </w:t>
      </w:r>
      <w:r w:rsidRPr="0030720A">
        <w:rPr>
          <w:rFonts w:ascii="Arial" w:eastAsia="Calibri" w:hAnsi="Arial" w:cs="Arial"/>
          <w:sz w:val="22"/>
          <w:szCs w:val="22"/>
          <w:lang w:val="es-CL" w:eastAsia="en-US"/>
        </w:rPr>
        <w:t>en beneficio directo de las familias chilenas.</w:t>
      </w:r>
    </w:p>
    <w:p w:rsidR="00363286" w:rsidRPr="00A9672C"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2</w:t>
      </w:r>
      <w:r w:rsidR="00363286" w:rsidRPr="00A9672C">
        <w:rPr>
          <w:rFonts w:ascii="Arial" w:eastAsia="Tahoma" w:hAnsi="Arial" w:cs="Arial"/>
          <w:sz w:val="22"/>
          <w:szCs w:val="22"/>
          <w:lang w:val="es-CL" w:eastAsia="en-US"/>
        </w:rPr>
        <w:t xml:space="preserve">.- </w:t>
      </w:r>
      <w:r w:rsidR="00363286" w:rsidRPr="00714332">
        <w:rPr>
          <w:rFonts w:ascii="Arial" w:eastAsia="Tahoma" w:hAnsi="Arial" w:cs="Arial"/>
          <w:sz w:val="22"/>
          <w:szCs w:val="22"/>
          <w:u w:val="single"/>
          <w:lang w:val="es-CL" w:eastAsia="en-US"/>
        </w:rPr>
        <w:t>Aprobación en general del proyecto</w:t>
      </w:r>
    </w:p>
    <w:p w:rsidR="00636C0D" w:rsidRDefault="00636C0D" w:rsidP="00636C0D">
      <w:pPr>
        <w:tabs>
          <w:tab w:val="left" w:pos="2694"/>
        </w:tabs>
        <w:autoSpaceDE w:val="0"/>
        <w:autoSpaceDN w:val="0"/>
        <w:adjustRightInd w:val="0"/>
        <w:spacing w:line="276" w:lineRule="auto"/>
        <w:ind w:firstLine="1622"/>
        <w:jc w:val="both"/>
        <w:rPr>
          <w:rFonts w:ascii="Arial" w:hAnsi="Arial"/>
          <w:sz w:val="22"/>
          <w:szCs w:val="22"/>
        </w:rPr>
      </w:pPr>
      <w:r>
        <w:rPr>
          <w:rFonts w:ascii="Arial" w:hAnsi="Arial"/>
          <w:sz w:val="22"/>
          <w:szCs w:val="22"/>
        </w:rPr>
        <w:t xml:space="preserve">Fue aprobado por la unanimidad de los </w:t>
      </w:r>
      <w:r w:rsidR="0030720A">
        <w:rPr>
          <w:rFonts w:ascii="Arial" w:hAnsi="Arial"/>
          <w:sz w:val="22"/>
          <w:szCs w:val="22"/>
        </w:rPr>
        <w:t>doce</w:t>
      </w:r>
      <w:r>
        <w:rPr>
          <w:rFonts w:ascii="Arial" w:hAnsi="Arial"/>
          <w:sz w:val="22"/>
          <w:szCs w:val="22"/>
        </w:rPr>
        <w:t xml:space="preserve"> diputados</w:t>
      </w:r>
      <w:r w:rsidR="0030720A">
        <w:rPr>
          <w:rFonts w:ascii="Arial" w:hAnsi="Arial"/>
          <w:sz w:val="22"/>
          <w:szCs w:val="22"/>
        </w:rPr>
        <w:t xml:space="preserve"> (a)</w:t>
      </w:r>
      <w:r>
        <w:rPr>
          <w:rFonts w:ascii="Arial" w:hAnsi="Arial"/>
          <w:sz w:val="22"/>
          <w:szCs w:val="22"/>
        </w:rPr>
        <w:t xml:space="preserve"> presentes señores(as) Barrera, Bianchi, </w:t>
      </w:r>
      <w:r w:rsidR="0030720A">
        <w:rPr>
          <w:rFonts w:ascii="Arial" w:hAnsi="Arial"/>
          <w:sz w:val="22"/>
          <w:szCs w:val="22"/>
        </w:rPr>
        <w:t xml:space="preserve">Brito, </w:t>
      </w:r>
      <w:r>
        <w:rPr>
          <w:rFonts w:ascii="Arial" w:hAnsi="Arial"/>
          <w:sz w:val="22"/>
          <w:szCs w:val="22"/>
        </w:rPr>
        <w:t>Cifuentes, Mellado, Naranjo</w:t>
      </w:r>
      <w:r w:rsidR="0030720A">
        <w:rPr>
          <w:rFonts w:ascii="Arial" w:hAnsi="Arial"/>
          <w:sz w:val="22"/>
          <w:szCs w:val="22"/>
        </w:rPr>
        <w:t xml:space="preserve"> (Presidente)</w:t>
      </w:r>
      <w:r>
        <w:rPr>
          <w:rFonts w:ascii="Arial" w:hAnsi="Arial"/>
          <w:sz w:val="22"/>
          <w:szCs w:val="22"/>
        </w:rPr>
        <w:t xml:space="preserve">, Ramírez, Romero, Sauerbaum, Sepúlveda, Von Mühlenbrock y Yeomans. </w:t>
      </w:r>
    </w:p>
    <w:p w:rsidR="00636C0D" w:rsidRDefault="00636C0D" w:rsidP="00636C0D">
      <w:pPr>
        <w:tabs>
          <w:tab w:val="left" w:pos="2694"/>
        </w:tabs>
        <w:autoSpaceDE w:val="0"/>
        <w:autoSpaceDN w:val="0"/>
        <w:adjustRightInd w:val="0"/>
        <w:spacing w:line="276" w:lineRule="auto"/>
        <w:ind w:firstLine="1622"/>
        <w:jc w:val="both"/>
        <w:rPr>
          <w:rFonts w:ascii="Arial" w:hAnsi="Arial"/>
          <w:sz w:val="22"/>
          <w:szCs w:val="22"/>
        </w:rPr>
      </w:pPr>
    </w:p>
    <w:p w:rsidR="00D0483A" w:rsidRPr="00714332" w:rsidRDefault="00B018A0"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3</w:t>
      </w:r>
      <w:r w:rsidR="002211D2" w:rsidRPr="00A9672C">
        <w:rPr>
          <w:rFonts w:ascii="Arial" w:eastAsia="Tahoma" w:hAnsi="Arial" w:cs="Arial"/>
          <w:sz w:val="22"/>
          <w:szCs w:val="22"/>
          <w:lang w:val="es-CL" w:eastAsia="en-US"/>
        </w:rPr>
        <w:t xml:space="preserve">- </w:t>
      </w:r>
      <w:r w:rsidR="002211D2" w:rsidRPr="00714332">
        <w:rPr>
          <w:rFonts w:ascii="Arial" w:eastAsia="Tahoma" w:hAnsi="Arial" w:cs="Arial"/>
          <w:sz w:val="22"/>
          <w:szCs w:val="22"/>
          <w:u w:val="single"/>
          <w:lang w:val="es-CL" w:eastAsia="en-US"/>
        </w:rPr>
        <w:t>Normas que deben aprobar</w:t>
      </w:r>
      <w:r w:rsidR="00FB358F" w:rsidRPr="00714332">
        <w:rPr>
          <w:rFonts w:ascii="Arial" w:eastAsia="Tahoma" w:hAnsi="Arial" w:cs="Arial"/>
          <w:sz w:val="22"/>
          <w:szCs w:val="22"/>
          <w:u w:val="single"/>
          <w:lang w:val="es-CL" w:eastAsia="en-US"/>
        </w:rPr>
        <w:t>se</w:t>
      </w:r>
      <w:r w:rsidR="002211D2" w:rsidRPr="00714332">
        <w:rPr>
          <w:rFonts w:ascii="Arial" w:eastAsia="Tahoma" w:hAnsi="Arial" w:cs="Arial"/>
          <w:sz w:val="22"/>
          <w:szCs w:val="22"/>
          <w:u w:val="single"/>
          <w:lang w:val="es-CL" w:eastAsia="en-US"/>
        </w:rPr>
        <w:t xml:space="preserve"> con quórum especial:</w:t>
      </w:r>
    </w:p>
    <w:p w:rsidR="002211D2" w:rsidRPr="00A9672C" w:rsidRDefault="002211D2"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No hay</w:t>
      </w:r>
    </w:p>
    <w:p w:rsidR="00AE30A1" w:rsidRPr="00A9672C" w:rsidRDefault="00AE30A1"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9523A2" w:rsidRPr="00A9672C"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4</w:t>
      </w:r>
      <w:r w:rsidR="0055265D" w:rsidRPr="00A9672C">
        <w:rPr>
          <w:rFonts w:ascii="Arial" w:eastAsia="Tahoma" w:hAnsi="Arial" w:cs="Arial"/>
          <w:sz w:val="22"/>
          <w:szCs w:val="22"/>
          <w:lang w:val="es-CL" w:eastAsia="en-US"/>
        </w:rPr>
        <w:t>-</w:t>
      </w:r>
      <w:r w:rsidR="009523A2" w:rsidRPr="00714332">
        <w:rPr>
          <w:rFonts w:ascii="Arial" w:eastAsia="Tahoma" w:hAnsi="Arial" w:cs="Arial"/>
          <w:sz w:val="22"/>
          <w:szCs w:val="22"/>
          <w:u w:val="single"/>
          <w:lang w:val="es-CL" w:eastAsia="en-US"/>
        </w:rPr>
        <w:t>Disposiciones o indicaciones rechazadas</w:t>
      </w:r>
      <w:r w:rsidR="00157D61">
        <w:rPr>
          <w:rFonts w:ascii="Arial" w:eastAsia="Tahoma" w:hAnsi="Arial" w:cs="Arial"/>
          <w:sz w:val="22"/>
          <w:szCs w:val="22"/>
          <w:u w:val="single"/>
          <w:lang w:val="es-CL" w:eastAsia="en-US"/>
        </w:rPr>
        <w:t>:</w:t>
      </w:r>
    </w:p>
    <w:p w:rsidR="00FB358F" w:rsidRPr="00461746" w:rsidRDefault="00461746"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461746">
        <w:rPr>
          <w:rFonts w:ascii="Arial" w:eastAsia="Tahoma" w:hAnsi="Arial" w:cs="Arial"/>
          <w:sz w:val="22"/>
          <w:szCs w:val="22"/>
          <w:lang w:val="es-CL" w:eastAsia="en-US"/>
        </w:rPr>
        <w:t>No hubo</w:t>
      </w:r>
    </w:p>
    <w:p w:rsidR="00363286" w:rsidRPr="00A9672C" w:rsidRDefault="00363286"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F5603F"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5</w:t>
      </w:r>
      <w:r w:rsidR="00363286" w:rsidRPr="00A9672C">
        <w:rPr>
          <w:rFonts w:ascii="Arial" w:eastAsia="Tahoma" w:hAnsi="Arial" w:cs="Arial"/>
          <w:sz w:val="22"/>
          <w:szCs w:val="22"/>
          <w:lang w:val="es-CL" w:eastAsia="en-US"/>
        </w:rPr>
        <w:t xml:space="preserve">- </w:t>
      </w:r>
      <w:r w:rsidR="00363286" w:rsidRPr="00714332">
        <w:rPr>
          <w:rFonts w:ascii="Arial" w:eastAsia="Tahoma" w:hAnsi="Arial" w:cs="Arial"/>
          <w:sz w:val="22"/>
          <w:szCs w:val="22"/>
          <w:u w:val="single"/>
          <w:lang w:val="es-CL" w:eastAsia="en-US"/>
        </w:rPr>
        <w:t>Indicaciones declaradas inadmisibles</w:t>
      </w:r>
      <w:r w:rsidR="00157D61">
        <w:rPr>
          <w:rFonts w:ascii="Arial" w:eastAsia="Tahoma" w:hAnsi="Arial" w:cs="Arial"/>
          <w:sz w:val="22"/>
          <w:szCs w:val="22"/>
          <w:u w:val="single"/>
          <w:lang w:val="es-CL" w:eastAsia="en-US"/>
        </w:rPr>
        <w:t>:</w:t>
      </w:r>
      <w:r w:rsidR="00363286" w:rsidRPr="00A9672C">
        <w:rPr>
          <w:rFonts w:ascii="Arial" w:eastAsia="Tahoma" w:hAnsi="Arial" w:cs="Arial"/>
          <w:sz w:val="22"/>
          <w:szCs w:val="22"/>
          <w:lang w:val="es-CL" w:eastAsia="en-US"/>
        </w:rPr>
        <w:t xml:space="preserve"> </w:t>
      </w:r>
    </w:p>
    <w:p w:rsidR="00A96796" w:rsidRDefault="00A96796" w:rsidP="00A9672C">
      <w:pPr>
        <w:widowControl w:val="0"/>
        <w:autoSpaceDE w:val="0"/>
        <w:autoSpaceDN w:val="0"/>
        <w:spacing w:line="276" w:lineRule="auto"/>
        <w:ind w:firstLine="1701"/>
        <w:jc w:val="both"/>
        <w:rPr>
          <w:rFonts w:ascii="Arial" w:eastAsia="Tahoma" w:hAnsi="Arial" w:cs="Arial"/>
          <w:b/>
          <w:sz w:val="22"/>
          <w:szCs w:val="22"/>
          <w:lang w:val="es-CL" w:eastAsia="en-US"/>
        </w:rPr>
      </w:pPr>
    </w:p>
    <w:p w:rsidR="00461746" w:rsidRDefault="00461746" w:rsidP="00A9672C">
      <w:pPr>
        <w:widowControl w:val="0"/>
        <w:autoSpaceDE w:val="0"/>
        <w:autoSpaceDN w:val="0"/>
        <w:spacing w:line="276" w:lineRule="auto"/>
        <w:ind w:firstLine="1701"/>
        <w:jc w:val="both"/>
        <w:rPr>
          <w:rFonts w:ascii="Arial" w:eastAsia="Tahoma" w:hAnsi="Arial" w:cs="Arial"/>
          <w:b/>
          <w:sz w:val="22"/>
          <w:szCs w:val="22"/>
          <w:lang w:val="es-CL" w:eastAsia="en-US"/>
        </w:rPr>
      </w:pPr>
      <w:r w:rsidRPr="00461746">
        <w:rPr>
          <w:rFonts w:ascii="Arial" w:eastAsia="Tahoma" w:hAnsi="Arial" w:cs="Arial"/>
          <w:b/>
          <w:sz w:val="22"/>
          <w:szCs w:val="22"/>
          <w:lang w:val="es-CL" w:eastAsia="en-US"/>
        </w:rPr>
        <w:t xml:space="preserve">Del diputado señor </w:t>
      </w:r>
      <w:r w:rsidR="00E87F00">
        <w:rPr>
          <w:rFonts w:ascii="Arial" w:eastAsia="Tahoma" w:hAnsi="Arial" w:cs="Arial"/>
          <w:b/>
          <w:sz w:val="22"/>
          <w:szCs w:val="22"/>
          <w:lang w:val="es-CL" w:eastAsia="en-US"/>
        </w:rPr>
        <w:t>Miguel Mellado</w:t>
      </w:r>
    </w:p>
    <w:p w:rsidR="00A96796" w:rsidRPr="00A96796" w:rsidRDefault="00A96796" w:rsidP="00A96796">
      <w:pPr>
        <w:spacing w:line="276" w:lineRule="auto"/>
        <w:ind w:right="-1" w:firstLine="1701"/>
        <w:jc w:val="both"/>
        <w:rPr>
          <w:rFonts w:ascii="Arial" w:hAnsi="Arial"/>
          <w:sz w:val="22"/>
          <w:szCs w:val="22"/>
          <w:lang w:val="es-ES"/>
        </w:rPr>
      </w:pPr>
      <w:r w:rsidRPr="00A96796">
        <w:rPr>
          <w:rFonts w:ascii="Arial" w:hAnsi="Arial"/>
          <w:sz w:val="22"/>
          <w:szCs w:val="22"/>
          <w:lang w:val="es-ES"/>
        </w:rPr>
        <w:t>Para incorporar un nuevo número 2 al artículo único, del siguiente tenor:</w:t>
      </w:r>
    </w:p>
    <w:p w:rsidR="00A96796" w:rsidRPr="00A96796" w:rsidRDefault="00A96796" w:rsidP="00A96796">
      <w:pPr>
        <w:spacing w:line="276" w:lineRule="auto"/>
        <w:ind w:right="-1" w:firstLine="1701"/>
        <w:jc w:val="both"/>
        <w:rPr>
          <w:rFonts w:ascii="Arial" w:hAnsi="Arial"/>
          <w:sz w:val="22"/>
          <w:szCs w:val="22"/>
          <w:lang w:val="es-ES"/>
        </w:rPr>
      </w:pPr>
      <w:r w:rsidRPr="00A96796">
        <w:rPr>
          <w:rFonts w:ascii="Arial" w:hAnsi="Arial"/>
          <w:sz w:val="22"/>
          <w:szCs w:val="22"/>
          <w:lang w:val="es-ES"/>
        </w:rPr>
        <w:t>“2) Sustitúyese en el artículo 4° de la ley N° 20.765, que Crea Mecanismo de Estabilización de Precios de los Combustibles que indica, las dos veces que aparece, el guarismo “</w:t>
      </w:r>
      <w:smartTag w:uri="urn:schemas-microsoft-com:office:smarttags" w:element="metricconverter">
        <w:smartTagPr>
          <w:attr w:name="ProductID" w:val="1.500”"/>
        </w:smartTagPr>
        <w:r w:rsidRPr="00A96796">
          <w:rPr>
            <w:rFonts w:ascii="Arial" w:hAnsi="Arial"/>
            <w:sz w:val="22"/>
            <w:szCs w:val="22"/>
            <w:lang w:val="es-ES"/>
          </w:rPr>
          <w:t>1.500”</w:t>
        </w:r>
      </w:smartTag>
      <w:r w:rsidRPr="00A96796">
        <w:rPr>
          <w:rFonts w:ascii="Arial" w:hAnsi="Arial"/>
          <w:sz w:val="22"/>
          <w:szCs w:val="22"/>
          <w:lang w:val="es-ES"/>
        </w:rPr>
        <w:t xml:space="preserve"> por “</w:t>
      </w:r>
      <w:smartTag w:uri="urn:schemas-microsoft-com:office:smarttags" w:element="metricconverter">
        <w:smartTagPr>
          <w:attr w:name="ProductID" w:val="2.500”"/>
        </w:smartTagPr>
        <w:r w:rsidRPr="00A96796">
          <w:rPr>
            <w:rFonts w:ascii="Arial" w:hAnsi="Arial"/>
            <w:sz w:val="22"/>
            <w:szCs w:val="22"/>
            <w:lang w:val="es-ES"/>
          </w:rPr>
          <w:t>2.500”</w:t>
        </w:r>
      </w:smartTag>
      <w:r w:rsidRPr="00A96796">
        <w:rPr>
          <w:rFonts w:ascii="Arial" w:hAnsi="Arial"/>
          <w:sz w:val="22"/>
          <w:szCs w:val="22"/>
          <w:lang w:val="es-ES"/>
        </w:rPr>
        <w:t xml:space="preserve">. </w:t>
      </w:r>
    </w:p>
    <w:p w:rsidR="00A96796" w:rsidRPr="00A96796" w:rsidRDefault="00A96796" w:rsidP="00A96796">
      <w:pPr>
        <w:spacing w:line="276" w:lineRule="auto"/>
        <w:ind w:right="-1" w:firstLine="1701"/>
        <w:jc w:val="both"/>
        <w:rPr>
          <w:rFonts w:ascii="Arial" w:hAnsi="Arial"/>
          <w:sz w:val="22"/>
          <w:szCs w:val="22"/>
          <w:lang w:val="es-ES"/>
        </w:rPr>
      </w:pPr>
      <w:r w:rsidRPr="00A96796">
        <w:rPr>
          <w:rFonts w:ascii="Arial" w:hAnsi="Arial"/>
          <w:sz w:val="22"/>
          <w:szCs w:val="22"/>
          <w:lang w:val="es-ES"/>
        </w:rPr>
        <w:lastRenderedPageBreak/>
        <w:t xml:space="preserve">La indicación fue declarada inadmisible por el Presidente de la Comisión, por exceder las ideas matrices del proyecto de ley. </w:t>
      </w:r>
    </w:p>
    <w:p w:rsidR="00A96796" w:rsidRDefault="00A96796"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9D7545" w:rsidRPr="00A9672C"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6.-</w:t>
      </w:r>
      <w:r w:rsidR="009523A2" w:rsidRPr="00A9672C">
        <w:rPr>
          <w:rFonts w:ascii="Arial" w:eastAsia="Tahoma" w:hAnsi="Arial" w:cs="Arial"/>
          <w:sz w:val="22"/>
          <w:szCs w:val="22"/>
          <w:lang w:val="es-CL" w:eastAsia="en-US"/>
        </w:rPr>
        <w:t xml:space="preserve"> Diputado Informante</w:t>
      </w:r>
      <w:r w:rsidR="00056042" w:rsidRPr="00A9672C">
        <w:rPr>
          <w:rFonts w:ascii="Arial" w:eastAsia="Tahoma" w:hAnsi="Arial" w:cs="Arial"/>
          <w:sz w:val="22"/>
          <w:szCs w:val="22"/>
          <w:lang w:val="es-CL" w:eastAsia="en-US"/>
        </w:rPr>
        <w:t>: E</w:t>
      </w:r>
      <w:r w:rsidR="009523A2" w:rsidRPr="00A9672C">
        <w:rPr>
          <w:rFonts w:ascii="Arial" w:eastAsia="Tahoma" w:hAnsi="Arial" w:cs="Arial"/>
          <w:sz w:val="22"/>
          <w:szCs w:val="22"/>
          <w:lang w:val="es-CL" w:eastAsia="en-US"/>
        </w:rPr>
        <w:t xml:space="preserve">l </w:t>
      </w:r>
      <w:r w:rsidR="0022154B" w:rsidRPr="00A9672C">
        <w:rPr>
          <w:rFonts w:ascii="Arial" w:eastAsia="Tahoma" w:hAnsi="Arial" w:cs="Arial"/>
          <w:sz w:val="22"/>
          <w:szCs w:val="22"/>
          <w:lang w:val="es-CL" w:eastAsia="en-US"/>
        </w:rPr>
        <w:t>señor</w:t>
      </w:r>
      <w:r w:rsidR="00157D61">
        <w:rPr>
          <w:rFonts w:ascii="Arial" w:eastAsia="Tahoma" w:hAnsi="Arial" w:cs="Arial"/>
          <w:sz w:val="22"/>
          <w:szCs w:val="22"/>
          <w:lang w:val="es-CL" w:eastAsia="en-US"/>
        </w:rPr>
        <w:t xml:space="preserve"> </w:t>
      </w:r>
      <w:r w:rsidR="00E87F00">
        <w:rPr>
          <w:rFonts w:ascii="Arial" w:eastAsia="Tahoma" w:hAnsi="Arial" w:cs="Arial"/>
          <w:sz w:val="22"/>
          <w:szCs w:val="22"/>
          <w:lang w:val="es-CL" w:eastAsia="en-US"/>
        </w:rPr>
        <w:t>Guillermo Ramírez Diez</w:t>
      </w:r>
      <w:r w:rsidR="00836104">
        <w:rPr>
          <w:rFonts w:ascii="Arial" w:eastAsia="Tahoma" w:hAnsi="Arial" w:cs="Arial"/>
          <w:sz w:val="22"/>
          <w:szCs w:val="22"/>
          <w:lang w:val="es-CL" w:eastAsia="en-US"/>
        </w:rPr>
        <w:t>.</w:t>
      </w:r>
    </w:p>
    <w:p w:rsidR="009D7545" w:rsidRPr="00A9672C" w:rsidRDefault="009D7545"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9137CA" w:rsidRPr="00A9672C" w:rsidRDefault="00B5358C" w:rsidP="00A9672C">
      <w:pPr>
        <w:widowControl w:val="0"/>
        <w:autoSpaceDE w:val="0"/>
        <w:autoSpaceDN w:val="0"/>
        <w:spacing w:line="276" w:lineRule="auto"/>
        <w:jc w:val="both"/>
        <w:rPr>
          <w:rFonts w:ascii="Arial" w:eastAsia="Tahoma" w:hAnsi="Arial" w:cs="Arial"/>
          <w:b/>
          <w:sz w:val="22"/>
          <w:szCs w:val="22"/>
          <w:lang w:val="es-CL" w:eastAsia="en-US"/>
        </w:rPr>
      </w:pPr>
      <w:r w:rsidRPr="00A9672C">
        <w:rPr>
          <w:rFonts w:ascii="Arial" w:eastAsia="Tahoma" w:hAnsi="Arial" w:cs="Arial"/>
          <w:b/>
          <w:sz w:val="22"/>
          <w:szCs w:val="22"/>
          <w:lang w:val="es-CL" w:eastAsia="en-US"/>
        </w:rPr>
        <w:t>II.-CONTENIDO DEL PROYECTO</w:t>
      </w:r>
    </w:p>
    <w:p w:rsidR="00E87F00" w:rsidRDefault="00E87F00" w:rsidP="00E87F00">
      <w:pPr>
        <w:widowControl w:val="0"/>
        <w:autoSpaceDE w:val="0"/>
        <w:autoSpaceDN w:val="0"/>
        <w:adjustRightInd w:val="0"/>
        <w:spacing w:line="276" w:lineRule="auto"/>
        <w:ind w:firstLine="1701"/>
        <w:jc w:val="both"/>
        <w:rPr>
          <w:rFonts w:ascii="Arial" w:eastAsia="Calibri" w:hAnsi="Arial" w:cs="Arial"/>
          <w:sz w:val="22"/>
          <w:szCs w:val="22"/>
          <w:lang w:eastAsia="en-US"/>
        </w:rPr>
      </w:pPr>
      <w:r w:rsidRPr="00E87F00">
        <w:rPr>
          <w:rFonts w:ascii="Arial" w:hAnsi="Arial" w:cs="Arial"/>
          <w:sz w:val="22"/>
          <w:szCs w:val="22"/>
          <w:lang w:val="es-CL"/>
        </w:rPr>
        <w:t xml:space="preserve">El proyecto de ley consta de un artículo único que </w:t>
      </w:r>
      <w:r w:rsidRPr="00E87F00">
        <w:rPr>
          <w:rFonts w:ascii="Arial" w:eastAsia="Calibri" w:hAnsi="Arial" w:cs="Arial"/>
          <w:sz w:val="22"/>
          <w:szCs w:val="22"/>
          <w:lang w:val="es-CL" w:eastAsia="en-US"/>
        </w:rPr>
        <w:t xml:space="preserve">modifica el artículo 5° de la ley N° 19.030 </w:t>
      </w:r>
      <w:r>
        <w:rPr>
          <w:rFonts w:ascii="Arial" w:eastAsia="Calibri" w:hAnsi="Arial" w:cs="Arial"/>
          <w:sz w:val="22"/>
          <w:szCs w:val="22"/>
          <w:lang w:val="es-CL" w:eastAsia="en-US"/>
        </w:rPr>
        <w:t xml:space="preserve">que </w:t>
      </w:r>
      <w:r>
        <w:rPr>
          <w:rFonts w:ascii="Arial" w:hAnsi="Arial" w:cs="Arial"/>
          <w:sz w:val="22"/>
          <w:szCs w:val="22"/>
          <w:lang w:val="es-ES"/>
        </w:rPr>
        <w:t xml:space="preserve">Crea </w:t>
      </w:r>
      <w:r w:rsidRPr="00E87F00">
        <w:rPr>
          <w:rFonts w:ascii="Arial" w:hAnsi="Arial" w:cs="Arial"/>
          <w:sz w:val="22"/>
          <w:szCs w:val="22"/>
          <w:lang w:val="es-ES"/>
        </w:rPr>
        <w:t>el Fondo de Estabilización de Precios del Petróleo (FEPP),</w:t>
      </w:r>
      <w:r w:rsidRPr="00E87F00">
        <w:rPr>
          <w:rFonts w:ascii="Arial" w:eastAsia="Calibri" w:hAnsi="Arial" w:cs="Arial"/>
          <w:sz w:val="22"/>
          <w:szCs w:val="22"/>
          <w:lang w:val="es-CL" w:eastAsia="en-US"/>
        </w:rPr>
        <w:t xml:space="preserve"> para facultar al Ministerio de Hacienda a aumentar recursos, antes del 31 de diciembre de 2022, por la suma de cuarenta millones de dólares de los Estados Unidos de América al </w:t>
      </w:r>
      <w:r w:rsidRPr="00E87F00">
        <w:rPr>
          <w:rFonts w:ascii="Arial" w:eastAsia="Calibri" w:hAnsi="Arial" w:cs="Arial"/>
          <w:sz w:val="22"/>
          <w:szCs w:val="22"/>
          <w:lang w:eastAsia="en-US"/>
        </w:rPr>
        <w:t>Fondo de Estabilización de Precios del Petróleo</w:t>
      </w:r>
      <w:r w:rsidRPr="00E87F00">
        <w:rPr>
          <w:rFonts w:ascii="Arial" w:eastAsia="Calibri" w:hAnsi="Arial" w:cs="Arial"/>
          <w:sz w:val="22"/>
          <w:szCs w:val="22"/>
          <w:lang w:val="es-CL" w:eastAsia="en-US"/>
        </w:rPr>
        <w:t xml:space="preserve">, </w:t>
      </w:r>
      <w:r w:rsidRPr="00E87F00">
        <w:rPr>
          <w:rFonts w:ascii="Arial" w:eastAsia="Calibri" w:hAnsi="Arial" w:cs="Arial"/>
          <w:sz w:val="22"/>
          <w:szCs w:val="22"/>
          <w:lang w:eastAsia="en-US"/>
        </w:rPr>
        <w:t>mediante decreto expedido bajo la fórmula "Por orden del Presidente de la República", a ser materializada en una o más transferencias de recursos disponibles en activos financieros del Tesoro Público.</w:t>
      </w:r>
    </w:p>
    <w:p w:rsidR="00A801F3" w:rsidRDefault="00A801F3" w:rsidP="00A801F3">
      <w:pPr>
        <w:widowControl w:val="0"/>
        <w:autoSpaceDE w:val="0"/>
        <w:autoSpaceDN w:val="0"/>
        <w:adjustRightInd w:val="0"/>
        <w:spacing w:line="276" w:lineRule="auto"/>
        <w:jc w:val="both"/>
        <w:rPr>
          <w:rFonts w:ascii="Arial" w:eastAsia="Calibri" w:hAnsi="Arial" w:cs="Arial"/>
          <w:sz w:val="22"/>
          <w:szCs w:val="22"/>
          <w:lang w:eastAsia="en-US"/>
        </w:rPr>
      </w:pPr>
    </w:p>
    <w:p w:rsidR="00A801F3" w:rsidRDefault="00A801F3" w:rsidP="00A801F3">
      <w:pPr>
        <w:widowControl w:val="0"/>
        <w:autoSpaceDE w:val="0"/>
        <w:autoSpaceDN w:val="0"/>
        <w:adjustRightInd w:val="0"/>
        <w:spacing w:line="276" w:lineRule="auto"/>
        <w:jc w:val="both"/>
        <w:rPr>
          <w:rFonts w:ascii="Arial" w:eastAsia="Calibri" w:hAnsi="Arial" w:cs="Arial"/>
          <w:b/>
          <w:sz w:val="22"/>
          <w:szCs w:val="22"/>
          <w:lang w:eastAsia="en-US"/>
        </w:rPr>
      </w:pPr>
      <w:r w:rsidRPr="00A801F3">
        <w:rPr>
          <w:rFonts w:ascii="Arial" w:eastAsia="Calibri" w:hAnsi="Arial" w:cs="Arial"/>
          <w:b/>
          <w:sz w:val="22"/>
          <w:szCs w:val="22"/>
          <w:lang w:eastAsia="en-US"/>
        </w:rPr>
        <w:t>III.- INFORME DE LA BIBLIOTECA DEL CONGRESO NACIONAL</w:t>
      </w:r>
    </w:p>
    <w:p w:rsidR="00A801F3" w:rsidRDefault="00A801F3" w:rsidP="00A801F3">
      <w:pPr>
        <w:widowControl w:val="0"/>
        <w:autoSpaceDE w:val="0"/>
        <w:autoSpaceDN w:val="0"/>
        <w:adjustRightInd w:val="0"/>
        <w:spacing w:line="276" w:lineRule="auto"/>
        <w:jc w:val="both"/>
        <w:rPr>
          <w:rFonts w:ascii="Arial" w:eastAsia="Calibri" w:hAnsi="Arial" w:cs="Arial"/>
          <w:b/>
          <w:sz w:val="22"/>
          <w:szCs w:val="22"/>
          <w:lang w:eastAsia="en-US"/>
        </w:rPr>
      </w:pPr>
    </w:p>
    <w:p w:rsidR="00A801F3" w:rsidRPr="00A801F3" w:rsidRDefault="00A801F3" w:rsidP="00A801F3">
      <w:pPr>
        <w:spacing w:line="276" w:lineRule="auto"/>
        <w:ind w:firstLine="1701"/>
        <w:jc w:val="both"/>
        <w:rPr>
          <w:rFonts w:ascii="Arial" w:hAnsi="Arial" w:cs="Arial"/>
          <w:sz w:val="22"/>
          <w:szCs w:val="22"/>
          <w:lang w:val="es-ES" w:eastAsia="es-MX"/>
        </w:rPr>
      </w:pPr>
      <w:r>
        <w:rPr>
          <w:rFonts w:ascii="Arial" w:hAnsi="Arial" w:cs="Arial"/>
          <w:sz w:val="22"/>
          <w:szCs w:val="22"/>
          <w:lang w:val="es-ES" w:eastAsia="es-MX"/>
        </w:rPr>
        <w:t>El documento, elaborado por el profesional de la unidad de Asesoría Técnica Parlamentaria, señala que e</w:t>
      </w:r>
      <w:r w:rsidRPr="00A801F3">
        <w:rPr>
          <w:rFonts w:ascii="Arial" w:hAnsi="Arial" w:cs="Arial"/>
          <w:sz w:val="22"/>
          <w:szCs w:val="22"/>
          <w:lang w:val="es-ES" w:eastAsia="es-MX"/>
        </w:rPr>
        <w:t>l día 2 de mayo de 2022 se anunciaron una serie de medidas económicas para ir en ayuda de las familias chilenas, dentro de las que se incluye el denominado “paquete de medidas energéticas”. Respecto de este último, se manifiesta el propósito de dar apoyo en los meses de invierno para atenuar el aumento en las cuentas de parafina, electricidad y gas licuado. Para aquello se dan a conocer las siguientes medidas:</w:t>
      </w:r>
    </w:p>
    <w:p w:rsidR="00A801F3" w:rsidRPr="00A801F3" w:rsidRDefault="00A801F3" w:rsidP="00A801F3">
      <w:pPr>
        <w:spacing w:line="276" w:lineRule="auto"/>
        <w:ind w:firstLine="1701"/>
        <w:jc w:val="both"/>
        <w:rPr>
          <w:rFonts w:ascii="Arial" w:hAnsi="Arial" w:cs="Arial"/>
          <w:sz w:val="22"/>
          <w:szCs w:val="22"/>
          <w:lang w:val="es-ES" w:eastAsia="es-MX"/>
        </w:rPr>
      </w:pPr>
    </w:p>
    <w:p w:rsidR="00A801F3" w:rsidRPr="00A801F3" w:rsidRDefault="00A801F3" w:rsidP="00874793">
      <w:pPr>
        <w:numPr>
          <w:ilvl w:val="1"/>
          <w:numId w:val="22"/>
        </w:numPr>
        <w:spacing w:after="160" w:line="259" w:lineRule="auto"/>
        <w:ind w:left="0" w:firstLine="1701"/>
        <w:contextualSpacing/>
        <w:jc w:val="both"/>
        <w:rPr>
          <w:rFonts w:ascii="Arial" w:eastAsia="Arial" w:hAnsi="Arial" w:cs="Arial"/>
          <w:sz w:val="22"/>
          <w:szCs w:val="22"/>
          <w:lang w:val="es-ES" w:eastAsia="en-US"/>
        </w:rPr>
      </w:pPr>
      <w:r w:rsidRPr="00A801F3">
        <w:rPr>
          <w:rFonts w:ascii="Arial" w:eastAsia="Arial" w:hAnsi="Arial" w:cs="Arial"/>
          <w:sz w:val="22"/>
          <w:szCs w:val="22"/>
          <w:lang w:val="es-ES" w:eastAsia="en-US"/>
        </w:rPr>
        <w:t>Firma de proyecto de Ley – Boletín 14945-05 - que plantea inyectar recursos al Fondo de Estabilización de los Precios del Petróleo (FEPP).</w:t>
      </w:r>
    </w:p>
    <w:p w:rsidR="00A801F3" w:rsidRPr="00A801F3" w:rsidRDefault="00A801F3" w:rsidP="00874793">
      <w:pPr>
        <w:numPr>
          <w:ilvl w:val="1"/>
          <w:numId w:val="22"/>
        </w:numPr>
        <w:spacing w:after="160" w:line="259" w:lineRule="auto"/>
        <w:ind w:left="0" w:firstLine="1701"/>
        <w:contextualSpacing/>
        <w:jc w:val="both"/>
        <w:rPr>
          <w:rFonts w:ascii="Arial" w:eastAsia="Arial" w:hAnsi="Arial" w:cs="Arial"/>
          <w:sz w:val="22"/>
          <w:szCs w:val="22"/>
          <w:lang w:val="es-ES" w:eastAsia="en-US"/>
        </w:rPr>
      </w:pPr>
      <w:r w:rsidRPr="00A801F3">
        <w:rPr>
          <w:rFonts w:ascii="Arial" w:eastAsia="Arial" w:hAnsi="Arial" w:cs="Arial"/>
          <w:sz w:val="22"/>
          <w:szCs w:val="22"/>
          <w:lang w:val="es-ES" w:eastAsia="en-US"/>
        </w:rPr>
        <w:t>Proyecto de Ley de Estabilización de las Cuentas de Electricidad (PEC2).</w:t>
      </w:r>
    </w:p>
    <w:p w:rsidR="00A801F3" w:rsidRPr="00A801F3" w:rsidRDefault="00A801F3" w:rsidP="00874793">
      <w:pPr>
        <w:numPr>
          <w:ilvl w:val="1"/>
          <w:numId w:val="22"/>
        </w:numPr>
        <w:spacing w:after="160" w:line="259" w:lineRule="auto"/>
        <w:ind w:left="0" w:firstLine="1701"/>
        <w:contextualSpacing/>
        <w:jc w:val="both"/>
        <w:rPr>
          <w:rFonts w:ascii="Arial" w:eastAsia="Arial" w:hAnsi="Arial" w:cs="Arial"/>
          <w:sz w:val="22"/>
          <w:szCs w:val="22"/>
          <w:lang w:val="es-ES" w:eastAsia="en-US"/>
        </w:rPr>
      </w:pPr>
      <w:r w:rsidRPr="00A801F3">
        <w:rPr>
          <w:rFonts w:ascii="Arial" w:eastAsia="Arial" w:hAnsi="Arial" w:cs="Arial"/>
          <w:sz w:val="22"/>
          <w:szCs w:val="22"/>
          <w:lang w:val="es-ES" w:eastAsia="en-US"/>
        </w:rPr>
        <w:t>Proyecto de Ley para incrementar la competencia en el mercado del gas, especialmente del gas licuado del petróleo (GLP).</w:t>
      </w:r>
    </w:p>
    <w:p w:rsidR="00A801F3" w:rsidRPr="00A801F3" w:rsidRDefault="00A801F3" w:rsidP="00874793">
      <w:pPr>
        <w:numPr>
          <w:ilvl w:val="1"/>
          <w:numId w:val="22"/>
        </w:numPr>
        <w:spacing w:after="160" w:line="259" w:lineRule="auto"/>
        <w:ind w:left="0" w:firstLine="1701"/>
        <w:contextualSpacing/>
        <w:jc w:val="both"/>
        <w:rPr>
          <w:rFonts w:ascii="Arial" w:eastAsia="Arial" w:hAnsi="Arial" w:cs="Arial"/>
          <w:sz w:val="22"/>
          <w:szCs w:val="22"/>
          <w:lang w:val="es-ES" w:eastAsia="en-US"/>
        </w:rPr>
      </w:pPr>
      <w:r w:rsidRPr="00A801F3">
        <w:rPr>
          <w:rFonts w:ascii="Arial" w:eastAsia="Arial" w:hAnsi="Arial" w:cs="Arial"/>
          <w:sz w:val="22"/>
          <w:szCs w:val="22"/>
          <w:lang w:val="es-ES" w:eastAsia="en-US"/>
        </w:rPr>
        <w:t>Discusión inmediata del Proyecto de Ley de Biocombustibles Sólidos, que está en segundo trámite constitucional.</w:t>
      </w:r>
    </w:p>
    <w:p w:rsidR="00A801F3" w:rsidRPr="00A801F3" w:rsidRDefault="00A801F3" w:rsidP="00A801F3">
      <w:pPr>
        <w:spacing w:line="276" w:lineRule="auto"/>
        <w:ind w:firstLine="1701"/>
        <w:jc w:val="both"/>
        <w:rPr>
          <w:rFonts w:ascii="Arial" w:hAnsi="Arial" w:cs="Arial"/>
          <w:sz w:val="22"/>
          <w:szCs w:val="22"/>
          <w:lang w:val="es-ES" w:eastAsia="es-MX"/>
        </w:rPr>
      </w:pPr>
    </w:p>
    <w:p w:rsidR="00A801F3" w:rsidRPr="00A801F3" w:rsidRDefault="00A801F3" w:rsidP="00A801F3">
      <w:pPr>
        <w:spacing w:line="276" w:lineRule="auto"/>
        <w:ind w:firstLine="1701"/>
        <w:jc w:val="both"/>
        <w:rPr>
          <w:rFonts w:ascii="Arial" w:hAnsi="Arial" w:cs="Arial"/>
          <w:sz w:val="22"/>
          <w:szCs w:val="22"/>
          <w:lang w:val="es-ES" w:eastAsia="es-MX"/>
        </w:rPr>
      </w:pPr>
      <w:r w:rsidRPr="00A801F3">
        <w:rPr>
          <w:rFonts w:ascii="Arial" w:hAnsi="Arial" w:cs="Arial"/>
          <w:sz w:val="22"/>
          <w:szCs w:val="22"/>
          <w:lang w:val="es-ES" w:eastAsia="es-MX"/>
        </w:rPr>
        <w:t xml:space="preserve">A continuación, se explica el funcionamiento del Fondo de Estabilización del precio del petróleo (FEPP) y el correspondiente alcance del proyecto de ley mencionado. </w:t>
      </w:r>
    </w:p>
    <w:p w:rsidR="00A801F3" w:rsidRPr="00A801F3" w:rsidRDefault="00A801F3" w:rsidP="00A801F3">
      <w:pPr>
        <w:pBdr>
          <w:top w:val="none" w:sz="4" w:space="0" w:color="000000"/>
          <w:left w:val="none" w:sz="4" w:space="0" w:color="000000"/>
          <w:bottom w:val="none" w:sz="4" w:space="0" w:color="000000"/>
          <w:right w:val="none" w:sz="4" w:space="0" w:color="000000"/>
          <w:between w:val="none" w:sz="4" w:space="0" w:color="000000"/>
        </w:pBdr>
        <w:spacing w:after="200" w:line="276" w:lineRule="auto"/>
        <w:ind w:firstLine="1701"/>
        <w:jc w:val="both"/>
        <w:rPr>
          <w:rFonts w:ascii="Arial" w:hAnsi="Arial" w:cs="Arial"/>
          <w:sz w:val="22"/>
          <w:szCs w:val="22"/>
          <w:lang w:val="es-ES" w:eastAsia="es-MX"/>
        </w:rPr>
      </w:pPr>
    </w:p>
    <w:p w:rsidR="00A801F3" w:rsidRPr="00A801F3" w:rsidRDefault="00A801F3" w:rsidP="00874793">
      <w:pPr>
        <w:numPr>
          <w:ilvl w:val="0"/>
          <w:numId w:val="21"/>
        </w:numPr>
        <w:pBdr>
          <w:bottom w:val="single" w:sz="4" w:space="0" w:color="auto"/>
        </w:pBdr>
        <w:spacing w:after="200" w:line="276" w:lineRule="auto"/>
        <w:ind w:left="0" w:firstLine="1701"/>
        <w:contextualSpacing/>
        <w:jc w:val="both"/>
        <w:rPr>
          <w:rFonts w:ascii="Arial" w:eastAsia="Arial" w:hAnsi="Arial" w:cs="Arial"/>
          <w:b/>
          <w:bCs/>
          <w:sz w:val="24"/>
          <w:szCs w:val="24"/>
          <w:lang w:val="es-ES" w:eastAsia="en-US"/>
        </w:rPr>
      </w:pPr>
      <w:r w:rsidRPr="00A801F3">
        <w:rPr>
          <w:rFonts w:ascii="Arial" w:eastAsia="Arial" w:hAnsi="Arial" w:cs="Arial"/>
          <w:b/>
          <w:bCs/>
          <w:sz w:val="24"/>
          <w:szCs w:val="24"/>
          <w:lang w:val="es-ES" w:eastAsia="en-US"/>
        </w:rPr>
        <w:t>Fondo de Estabilización del precio del petróleo (FEPP)</w:t>
      </w:r>
    </w:p>
    <w:p w:rsidR="00A801F3" w:rsidRPr="00A801F3" w:rsidRDefault="00A801F3" w:rsidP="00A801F3">
      <w:pPr>
        <w:spacing w:line="276" w:lineRule="auto"/>
        <w:ind w:firstLine="1701"/>
        <w:jc w:val="both"/>
        <w:rPr>
          <w:rFonts w:ascii="Arial" w:hAnsi="Arial" w:cs="Arial"/>
          <w:sz w:val="22"/>
          <w:szCs w:val="22"/>
          <w:lang w:val="es-CL" w:eastAsia="es-MX"/>
        </w:rPr>
      </w:pPr>
      <w:r w:rsidRPr="00A801F3">
        <w:rPr>
          <w:rFonts w:ascii="Arial" w:hAnsi="Arial" w:cs="Arial"/>
          <w:sz w:val="22"/>
          <w:szCs w:val="22"/>
          <w:lang w:val="es-CL" w:eastAsia="es-MX"/>
        </w:rPr>
        <w:t xml:space="preserve">El kerosene doméstico o parafina es de alta demanda estacional en invierno por su uso para calefacción. </w:t>
      </w:r>
    </w:p>
    <w:p w:rsidR="00A801F3" w:rsidRPr="00A801F3" w:rsidRDefault="00A801F3" w:rsidP="00A801F3">
      <w:pPr>
        <w:spacing w:line="276" w:lineRule="auto"/>
        <w:ind w:firstLine="1701"/>
        <w:jc w:val="both"/>
        <w:rPr>
          <w:rFonts w:ascii="Arial" w:hAnsi="Arial" w:cs="Arial"/>
          <w:sz w:val="22"/>
          <w:szCs w:val="22"/>
          <w:lang w:val="es-CL" w:eastAsia="es-MX"/>
        </w:rPr>
      </w:pPr>
      <w:r w:rsidRPr="00A801F3">
        <w:rPr>
          <w:rFonts w:ascii="Arial" w:hAnsi="Arial" w:cs="Arial"/>
          <w:sz w:val="22"/>
          <w:szCs w:val="22"/>
          <w:lang w:val="es-CL" w:eastAsia="es-MX"/>
        </w:rPr>
        <w:t xml:space="preserve">Este producto normalmente se produce en Chile por ENAP y, en términos generales, los precios internos siguen la tendencia de las cotizaciones internacionales. </w:t>
      </w:r>
    </w:p>
    <w:p w:rsidR="00A801F3" w:rsidRPr="00A801F3" w:rsidRDefault="00A801F3" w:rsidP="00A801F3">
      <w:pPr>
        <w:spacing w:line="276" w:lineRule="auto"/>
        <w:ind w:firstLine="1701"/>
        <w:jc w:val="both"/>
        <w:rPr>
          <w:rFonts w:ascii="Arial" w:hAnsi="Arial" w:cs="Arial"/>
          <w:sz w:val="22"/>
          <w:szCs w:val="22"/>
          <w:lang w:val="es-CL" w:eastAsia="es-MX"/>
        </w:rPr>
      </w:pPr>
    </w:p>
    <w:p w:rsidR="00A801F3" w:rsidRPr="00A801F3" w:rsidRDefault="00A801F3" w:rsidP="00A801F3">
      <w:pPr>
        <w:spacing w:line="276" w:lineRule="auto"/>
        <w:ind w:firstLine="1701"/>
        <w:jc w:val="both"/>
        <w:rPr>
          <w:rFonts w:ascii="Arial" w:hAnsi="Arial" w:cs="Arial"/>
          <w:sz w:val="22"/>
          <w:szCs w:val="22"/>
          <w:lang w:val="es-CL" w:eastAsia="es-MX"/>
        </w:rPr>
      </w:pPr>
      <w:r w:rsidRPr="00A801F3">
        <w:rPr>
          <w:rFonts w:ascii="Arial" w:hAnsi="Arial" w:cs="Arial"/>
          <w:sz w:val="22"/>
          <w:szCs w:val="22"/>
          <w:lang w:val="es-CL" w:eastAsia="es-MX"/>
        </w:rPr>
        <w:lastRenderedPageBreak/>
        <w:t>Así, el fondo de Estabilización de Precios del Petróleo (FEPP) fue establecido en el art. N° 1 de la Ley N° 19.030/1991 del Ministerio de Energía</w:t>
      </w:r>
      <w:r w:rsidRPr="00A801F3">
        <w:rPr>
          <w:rFonts w:ascii="Arial" w:eastAsia="Arial" w:hAnsi="Arial" w:cs="Arial"/>
          <w:sz w:val="22"/>
          <w:vertAlign w:val="superscript"/>
          <w:lang w:val="es-CL" w:eastAsia="es-MX"/>
        </w:rPr>
        <w:footnoteReference w:id="3"/>
      </w:r>
      <w:r w:rsidRPr="00A801F3">
        <w:rPr>
          <w:rFonts w:ascii="Arial" w:hAnsi="Arial" w:cs="Arial"/>
          <w:sz w:val="22"/>
          <w:szCs w:val="22"/>
          <w:lang w:val="es-CL" w:eastAsia="es-MX"/>
        </w:rPr>
        <w:t>. Según se indica en dicha ley, el objeto del FEPP es:</w:t>
      </w:r>
    </w:p>
    <w:p w:rsidR="00A801F3" w:rsidRPr="00A801F3" w:rsidRDefault="00A801F3" w:rsidP="00A801F3">
      <w:pPr>
        <w:spacing w:line="276" w:lineRule="auto"/>
        <w:ind w:firstLine="1701"/>
        <w:jc w:val="both"/>
        <w:rPr>
          <w:rFonts w:ascii="Arial" w:hAnsi="Arial" w:cs="Arial"/>
          <w:sz w:val="22"/>
          <w:szCs w:val="22"/>
          <w:lang w:val="es-CL" w:eastAsia="es-MX"/>
        </w:rPr>
      </w:pPr>
    </w:p>
    <w:p w:rsidR="00A801F3" w:rsidRPr="00A801F3" w:rsidRDefault="00A801F3" w:rsidP="00874793">
      <w:pPr>
        <w:spacing w:line="276" w:lineRule="auto"/>
        <w:ind w:firstLine="1701"/>
        <w:jc w:val="both"/>
        <w:rPr>
          <w:rFonts w:ascii="Arial" w:hAnsi="Arial" w:cs="Arial"/>
          <w:i/>
          <w:color w:val="404040"/>
          <w:sz w:val="22"/>
          <w:szCs w:val="22"/>
          <w:lang w:val="es-CL" w:eastAsia="es-MX"/>
        </w:rPr>
      </w:pPr>
      <w:r w:rsidRPr="00A801F3">
        <w:rPr>
          <w:rFonts w:ascii="Arial" w:hAnsi="Arial" w:cs="Arial"/>
          <w:i/>
          <w:color w:val="404040"/>
          <w:sz w:val="22"/>
          <w:szCs w:val="22"/>
          <w:lang w:val="es-CL" w:eastAsia="es-MX"/>
        </w:rPr>
        <w:t xml:space="preserve">Atenuar las variaciones de los precios de venta internos de los combustibles derivados del petróleo, motivados por fluctuaciones de sus cotizaciones internacionales. </w:t>
      </w:r>
    </w:p>
    <w:p w:rsidR="00A801F3" w:rsidRPr="00A801F3" w:rsidRDefault="00A801F3" w:rsidP="00A801F3">
      <w:pPr>
        <w:spacing w:line="276" w:lineRule="auto"/>
        <w:ind w:left="705" w:firstLine="1701"/>
        <w:jc w:val="both"/>
        <w:rPr>
          <w:rFonts w:ascii="Arial" w:hAnsi="Arial" w:cs="Arial"/>
          <w:i/>
          <w:sz w:val="22"/>
          <w:szCs w:val="22"/>
          <w:lang w:val="es-CL" w:eastAsia="es-MX"/>
        </w:rPr>
      </w:pPr>
    </w:p>
    <w:p w:rsidR="00A801F3" w:rsidRPr="00A801F3" w:rsidRDefault="00A801F3" w:rsidP="00A801F3">
      <w:pPr>
        <w:spacing w:line="276" w:lineRule="auto"/>
        <w:ind w:firstLine="1701"/>
        <w:jc w:val="both"/>
        <w:rPr>
          <w:rFonts w:ascii="Arial" w:hAnsi="Arial" w:cs="Arial"/>
          <w:sz w:val="22"/>
          <w:szCs w:val="22"/>
          <w:lang w:val="es-CL" w:eastAsia="es-MX"/>
        </w:rPr>
      </w:pPr>
      <w:r w:rsidRPr="00A801F3">
        <w:rPr>
          <w:rFonts w:ascii="Arial" w:hAnsi="Arial" w:cs="Arial"/>
          <w:sz w:val="22"/>
          <w:szCs w:val="22"/>
          <w:shd w:val="clear" w:color="auto" w:fill="FFFFFF"/>
          <w:lang w:val="es-CL" w:eastAsia="es-MX"/>
        </w:rPr>
        <w:t xml:space="preserve">La Ley N° 19.030 contempló en 1991 su aplicación a los productos: gasolina automotriz, kerosene doméstico, petróleo </w:t>
      </w:r>
      <w:proofErr w:type="spellStart"/>
      <w:r w:rsidRPr="00A801F3">
        <w:rPr>
          <w:rFonts w:ascii="Arial" w:hAnsi="Arial" w:cs="Arial"/>
          <w:sz w:val="22"/>
          <w:szCs w:val="22"/>
          <w:shd w:val="clear" w:color="auto" w:fill="FFFFFF"/>
          <w:lang w:val="es-CL" w:eastAsia="es-MX"/>
        </w:rPr>
        <w:t>diésel</w:t>
      </w:r>
      <w:proofErr w:type="spellEnd"/>
      <w:r w:rsidRPr="00A801F3">
        <w:rPr>
          <w:rFonts w:ascii="Arial" w:hAnsi="Arial" w:cs="Arial"/>
          <w:sz w:val="22"/>
          <w:szCs w:val="22"/>
          <w:shd w:val="clear" w:color="auto" w:fill="FFFFFF"/>
          <w:lang w:val="es-CL" w:eastAsia="es-MX"/>
        </w:rPr>
        <w:t>, gas licuado, nafta y petróleos combustibles.</w:t>
      </w:r>
      <w:r w:rsidRPr="00A801F3">
        <w:rPr>
          <w:rFonts w:ascii="Arial" w:hAnsi="Arial" w:cs="Arial"/>
          <w:sz w:val="22"/>
          <w:szCs w:val="22"/>
          <w:lang w:val="es-CL" w:eastAsia="es-MX"/>
        </w:rPr>
        <w:t xml:space="preserve"> Sin embargo, tras la modificación establecida por la Ley 20.493/2011, se establece en el art. 8, que la aplicación de la ley rige solamente al kerosene doméstico</w:t>
      </w:r>
      <w:r w:rsidRPr="00A801F3">
        <w:rPr>
          <w:rFonts w:ascii="Arial" w:eastAsia="Arial" w:hAnsi="Arial" w:cs="Arial"/>
          <w:sz w:val="22"/>
          <w:vertAlign w:val="superscript"/>
          <w:lang w:val="es-CL" w:eastAsia="es-MX"/>
        </w:rPr>
        <w:footnoteReference w:id="4"/>
      </w:r>
      <w:r w:rsidRPr="00A801F3">
        <w:rPr>
          <w:rFonts w:ascii="Arial" w:hAnsi="Arial" w:cs="Arial"/>
          <w:sz w:val="22"/>
          <w:szCs w:val="22"/>
          <w:lang w:val="es-CL" w:eastAsia="es-MX"/>
        </w:rPr>
        <w:t>.</w:t>
      </w:r>
    </w:p>
    <w:p w:rsidR="00A801F3" w:rsidRPr="00A801F3" w:rsidRDefault="00A801F3" w:rsidP="00A801F3">
      <w:pPr>
        <w:spacing w:line="276" w:lineRule="auto"/>
        <w:ind w:firstLine="1701"/>
        <w:jc w:val="both"/>
        <w:rPr>
          <w:rFonts w:ascii="Arial" w:hAnsi="Arial" w:cs="Arial"/>
          <w:sz w:val="22"/>
          <w:szCs w:val="22"/>
          <w:lang w:val="es-CL" w:eastAsia="es-MX"/>
        </w:rPr>
      </w:pPr>
    </w:p>
    <w:p w:rsidR="00A801F3" w:rsidRPr="00A801F3" w:rsidRDefault="00A801F3" w:rsidP="00A801F3">
      <w:pPr>
        <w:spacing w:line="276" w:lineRule="auto"/>
        <w:ind w:firstLine="1701"/>
        <w:jc w:val="both"/>
        <w:rPr>
          <w:rFonts w:ascii="Arial" w:hAnsi="Arial" w:cs="Arial"/>
          <w:sz w:val="22"/>
          <w:szCs w:val="22"/>
          <w:lang w:val="es-CL" w:eastAsia="es-MX"/>
        </w:rPr>
      </w:pPr>
      <w:r w:rsidRPr="00A801F3">
        <w:rPr>
          <w:rFonts w:ascii="Arial" w:hAnsi="Arial" w:cs="Arial"/>
          <w:sz w:val="22"/>
          <w:szCs w:val="22"/>
          <w:lang w:val="es-CL" w:eastAsia="es-MX"/>
        </w:rPr>
        <w:t>A continuación, se explica brevemente el funcionamiento del mecanismo contemplado en el Fondo de Estabilización del precio del Petróleo (FEPP).</w:t>
      </w:r>
    </w:p>
    <w:p w:rsidR="00A801F3" w:rsidRPr="00A801F3" w:rsidRDefault="00A801F3" w:rsidP="00A801F3">
      <w:pPr>
        <w:spacing w:line="276" w:lineRule="auto"/>
        <w:ind w:firstLine="1701"/>
        <w:jc w:val="both"/>
        <w:rPr>
          <w:rFonts w:ascii="Arial" w:hAnsi="Arial" w:cs="Arial"/>
          <w:sz w:val="22"/>
          <w:szCs w:val="22"/>
          <w:lang w:val="es-CL" w:eastAsia="es-MX"/>
        </w:rPr>
      </w:pPr>
    </w:p>
    <w:p w:rsidR="00A801F3" w:rsidRPr="00A801F3" w:rsidRDefault="00A801F3" w:rsidP="00874793">
      <w:pPr>
        <w:numPr>
          <w:ilvl w:val="0"/>
          <w:numId w:val="23"/>
        </w:numPr>
        <w:pBdr>
          <w:top w:val="none" w:sz="4" w:space="0" w:color="000000"/>
          <w:left w:val="none" w:sz="4" w:space="0" w:color="000000"/>
          <w:bottom w:val="none" w:sz="4" w:space="0" w:color="000000"/>
          <w:right w:val="none" w:sz="4" w:space="0" w:color="000000"/>
          <w:between w:val="none" w:sz="4" w:space="0" w:color="000000"/>
        </w:pBdr>
        <w:spacing w:after="200" w:line="276" w:lineRule="auto"/>
        <w:ind w:left="0" w:firstLine="1701"/>
        <w:contextualSpacing/>
        <w:jc w:val="both"/>
        <w:rPr>
          <w:rFonts w:ascii="Arial" w:eastAsia="Arial" w:hAnsi="Arial" w:cs="Arial"/>
          <w:b/>
          <w:sz w:val="22"/>
          <w:szCs w:val="22"/>
          <w:lang w:val="es-ES" w:eastAsia="en-US"/>
        </w:rPr>
      </w:pPr>
      <w:r w:rsidRPr="00A801F3">
        <w:rPr>
          <w:rFonts w:ascii="Arial" w:eastAsia="Arial" w:hAnsi="Arial" w:cs="Arial"/>
          <w:b/>
          <w:sz w:val="22"/>
          <w:szCs w:val="22"/>
          <w:lang w:val="es-ES" w:eastAsia="en-US"/>
        </w:rPr>
        <w:t>Funcionamiento del mecanismo establecido en el FEPP</w:t>
      </w:r>
    </w:p>
    <w:p w:rsidR="00A801F3" w:rsidRPr="00A801F3" w:rsidRDefault="00A801F3" w:rsidP="00A801F3">
      <w:pPr>
        <w:spacing w:line="276" w:lineRule="auto"/>
        <w:ind w:firstLine="1701"/>
        <w:jc w:val="both"/>
        <w:rPr>
          <w:rFonts w:ascii="Arial" w:hAnsi="Arial" w:cs="Arial"/>
          <w:sz w:val="22"/>
          <w:szCs w:val="22"/>
          <w:lang w:val="es-CL" w:eastAsia="es-MX"/>
        </w:rPr>
      </w:pPr>
      <w:r w:rsidRPr="00A801F3">
        <w:rPr>
          <w:rFonts w:ascii="Arial" w:hAnsi="Arial" w:cs="Arial"/>
          <w:sz w:val="22"/>
          <w:szCs w:val="22"/>
          <w:lang w:val="es-CL" w:eastAsia="es-MX"/>
        </w:rPr>
        <w:t>Un mecanismo de estabilización tiene como propósito aminorar sobre los precios internos el impacto de corto plazo (</w:t>
      </w:r>
      <w:r w:rsidRPr="00A801F3">
        <w:rPr>
          <w:rFonts w:ascii="Arial" w:hAnsi="Arial" w:cs="Arial"/>
          <w:i/>
          <w:sz w:val="22"/>
          <w:szCs w:val="22"/>
          <w:lang w:val="es-CL" w:eastAsia="es-MX"/>
        </w:rPr>
        <w:t>shock</w:t>
      </w:r>
      <w:r w:rsidRPr="00A801F3">
        <w:rPr>
          <w:rFonts w:ascii="Arial" w:hAnsi="Arial" w:cs="Arial"/>
          <w:sz w:val="22"/>
          <w:szCs w:val="22"/>
          <w:lang w:val="es-CL" w:eastAsia="es-MX"/>
        </w:rPr>
        <w:t xml:space="preserve">) de los precios internacionales, permitiendo así el ajuste gradual de los mismos. </w:t>
      </w:r>
      <w:r w:rsidRPr="00A801F3">
        <w:rPr>
          <w:rFonts w:ascii="Arial" w:hAnsi="Arial" w:cs="Arial"/>
          <w:sz w:val="22"/>
          <w:szCs w:val="24"/>
          <w:lang w:val="es-CL" w:eastAsia="es-MX"/>
        </w:rPr>
        <w:t>Actualmente el FEPP cuenta con alrededor de US$ 4 millones de dólares, con lo cual se subsidia o grava el precio mayorista del kerosene.</w:t>
      </w:r>
    </w:p>
    <w:p w:rsidR="00A801F3" w:rsidRPr="00A801F3" w:rsidRDefault="00A801F3" w:rsidP="00A801F3">
      <w:pPr>
        <w:spacing w:line="276" w:lineRule="auto"/>
        <w:ind w:firstLine="1701"/>
        <w:jc w:val="both"/>
        <w:rPr>
          <w:rFonts w:ascii="Arial" w:hAnsi="Arial" w:cs="Arial"/>
          <w:sz w:val="22"/>
          <w:szCs w:val="24"/>
          <w:lang w:val="es-CL" w:eastAsia="es-MX"/>
        </w:rPr>
      </w:pPr>
    </w:p>
    <w:p w:rsidR="00A801F3" w:rsidRPr="00A801F3" w:rsidRDefault="00A801F3" w:rsidP="00A801F3">
      <w:pPr>
        <w:spacing w:line="276" w:lineRule="auto"/>
        <w:ind w:firstLine="1701"/>
        <w:jc w:val="both"/>
        <w:rPr>
          <w:rFonts w:ascii="Arial" w:hAnsi="Arial" w:cs="Arial"/>
          <w:sz w:val="22"/>
          <w:szCs w:val="24"/>
          <w:lang w:val="es-CL" w:eastAsia="es-MX"/>
        </w:rPr>
      </w:pPr>
      <w:r w:rsidRPr="00A801F3">
        <w:rPr>
          <w:rFonts w:ascii="Arial" w:hAnsi="Arial" w:cs="Arial"/>
          <w:sz w:val="22"/>
          <w:szCs w:val="24"/>
          <w:lang w:val="es-CL" w:eastAsia="es-MX"/>
        </w:rPr>
        <w:t>El mecanismo de funcionamiento del FEPP implica el cálculo del precio de paridad (PP) vigente del combustible derivado del petróleo y un precio de referencia intermedio (PRI), los que son establecidos mediante Decreto del Ministerio de Energía, previo informe de la Comisión Nacional de Energía (CNE)</w:t>
      </w:r>
      <w:r w:rsidRPr="00A801F3">
        <w:rPr>
          <w:rFonts w:ascii="Arial" w:hAnsi="Arial" w:cs="Arial"/>
          <w:sz w:val="22"/>
          <w:szCs w:val="24"/>
          <w:vertAlign w:val="superscript"/>
          <w:lang w:val="es-CL" w:eastAsia="es-MX"/>
        </w:rPr>
        <w:footnoteReference w:id="5"/>
      </w:r>
      <w:r w:rsidRPr="00A801F3">
        <w:rPr>
          <w:rFonts w:ascii="Arial" w:hAnsi="Arial" w:cs="Arial"/>
          <w:sz w:val="22"/>
          <w:szCs w:val="24"/>
          <w:lang w:val="es-CL" w:eastAsia="es-MX"/>
        </w:rPr>
        <w:t>.</w:t>
      </w:r>
    </w:p>
    <w:p w:rsidR="00A801F3" w:rsidRPr="00A801F3" w:rsidRDefault="00A801F3" w:rsidP="00A801F3">
      <w:pPr>
        <w:spacing w:line="276" w:lineRule="auto"/>
        <w:ind w:firstLine="1701"/>
        <w:jc w:val="both"/>
        <w:rPr>
          <w:rFonts w:ascii="Arial" w:hAnsi="Arial" w:cs="Arial"/>
          <w:sz w:val="22"/>
          <w:szCs w:val="24"/>
          <w:lang w:val="es-CL" w:eastAsia="es-MX"/>
        </w:rPr>
      </w:pPr>
    </w:p>
    <w:p w:rsidR="00A801F3" w:rsidRPr="00A801F3" w:rsidRDefault="00A801F3" w:rsidP="00A801F3">
      <w:pPr>
        <w:spacing w:line="276" w:lineRule="auto"/>
        <w:ind w:firstLine="1701"/>
        <w:jc w:val="both"/>
        <w:rPr>
          <w:rFonts w:ascii="Arial" w:hAnsi="Arial" w:cs="Arial"/>
          <w:sz w:val="22"/>
          <w:szCs w:val="24"/>
          <w:lang w:val="es-CL" w:eastAsia="es-MX"/>
        </w:rPr>
      </w:pPr>
      <w:r w:rsidRPr="00A801F3">
        <w:rPr>
          <w:rFonts w:ascii="Arial" w:hAnsi="Arial" w:cs="Arial"/>
          <w:sz w:val="22"/>
          <w:szCs w:val="24"/>
          <w:lang w:val="es-CL" w:eastAsia="es-MX"/>
        </w:rPr>
        <w:t xml:space="preserve">El </w:t>
      </w:r>
      <w:r w:rsidRPr="00A801F3">
        <w:rPr>
          <w:rFonts w:ascii="Arial" w:hAnsi="Arial" w:cs="Arial"/>
          <w:b/>
          <w:sz w:val="22"/>
          <w:szCs w:val="24"/>
          <w:lang w:val="es-CL" w:eastAsia="es-MX"/>
        </w:rPr>
        <w:t>cálculo del precio de paridad</w:t>
      </w:r>
      <w:r w:rsidRPr="00A801F3">
        <w:rPr>
          <w:rFonts w:ascii="Arial" w:hAnsi="Arial" w:cs="Arial"/>
          <w:sz w:val="22"/>
          <w:szCs w:val="24"/>
          <w:lang w:val="es-CL" w:eastAsia="es-MX"/>
        </w:rPr>
        <w:t xml:space="preserve"> se determina utilizando los datos conocidos para las fechas indicadas de precios FOB, adicionando flete marítimo, tasa de seguro, tasa de arancel, dólar observado, tasa libor, tarifas de almacenamiento y descarga, entre otros elementos (CNE, 2022).</w:t>
      </w:r>
    </w:p>
    <w:p w:rsidR="00A801F3" w:rsidRPr="00A801F3" w:rsidRDefault="00A801F3" w:rsidP="00A801F3">
      <w:pPr>
        <w:spacing w:line="276" w:lineRule="auto"/>
        <w:ind w:firstLine="1701"/>
        <w:jc w:val="both"/>
        <w:rPr>
          <w:rFonts w:ascii="Arial" w:hAnsi="Arial" w:cs="Arial"/>
          <w:sz w:val="22"/>
          <w:szCs w:val="24"/>
          <w:lang w:val="es-CL" w:eastAsia="es-MX"/>
        </w:rPr>
      </w:pPr>
    </w:p>
    <w:p w:rsidR="00A801F3" w:rsidRPr="00A801F3" w:rsidRDefault="00A801F3" w:rsidP="00A801F3">
      <w:pPr>
        <w:spacing w:line="276" w:lineRule="auto"/>
        <w:ind w:firstLine="1701"/>
        <w:jc w:val="both"/>
        <w:rPr>
          <w:rFonts w:ascii="Arial" w:hAnsi="Arial" w:cs="Arial"/>
          <w:sz w:val="22"/>
          <w:szCs w:val="24"/>
          <w:lang w:val="es-CL" w:eastAsia="es-MX"/>
        </w:rPr>
      </w:pPr>
      <w:r w:rsidRPr="00A801F3">
        <w:rPr>
          <w:rFonts w:ascii="Arial" w:hAnsi="Arial" w:cs="Arial"/>
          <w:sz w:val="22"/>
          <w:szCs w:val="24"/>
          <w:lang w:val="es-CL" w:eastAsia="es-MX"/>
        </w:rPr>
        <w:t xml:space="preserve">Específicamente, el denominado </w:t>
      </w:r>
      <w:r w:rsidRPr="00A801F3">
        <w:rPr>
          <w:rFonts w:ascii="Arial" w:hAnsi="Arial" w:cs="Arial"/>
          <w:b/>
          <w:sz w:val="22"/>
          <w:szCs w:val="24"/>
          <w:lang w:val="es-CL" w:eastAsia="es-MX"/>
        </w:rPr>
        <w:t>precio de referencia intermedio (PRI)</w:t>
      </w:r>
      <w:r w:rsidRPr="00A801F3">
        <w:rPr>
          <w:rFonts w:ascii="Arial" w:hAnsi="Arial" w:cs="Arial"/>
          <w:sz w:val="22"/>
          <w:szCs w:val="24"/>
          <w:lang w:val="es-CL" w:eastAsia="es-MX"/>
        </w:rPr>
        <w:t xml:space="preserve">  - art. 2 de la Ley 19.030 - se determina al ponderar tres componentes</w:t>
      </w:r>
      <w:r w:rsidRPr="00A801F3">
        <w:rPr>
          <w:rFonts w:ascii="Arial" w:hAnsi="Arial" w:cs="Arial"/>
          <w:sz w:val="22"/>
          <w:szCs w:val="24"/>
          <w:vertAlign w:val="superscript"/>
          <w:lang w:val="es-CL" w:eastAsia="es-MX"/>
        </w:rPr>
        <w:footnoteReference w:id="6"/>
      </w:r>
      <w:r w:rsidRPr="00A801F3">
        <w:rPr>
          <w:rFonts w:ascii="Arial" w:hAnsi="Arial" w:cs="Arial"/>
          <w:sz w:val="22"/>
          <w:szCs w:val="24"/>
          <w:lang w:val="es-CL" w:eastAsia="es-MX"/>
        </w:rPr>
        <w:t>: (1) precios históricos</w:t>
      </w:r>
      <w:r w:rsidRPr="00A801F3">
        <w:rPr>
          <w:rFonts w:ascii="Arial" w:hAnsi="Arial" w:cs="Arial"/>
          <w:sz w:val="22"/>
          <w:szCs w:val="24"/>
          <w:vertAlign w:val="superscript"/>
          <w:lang w:val="es-CL" w:eastAsia="es-MX"/>
        </w:rPr>
        <w:footnoteReference w:id="7"/>
      </w:r>
      <w:r w:rsidRPr="00A801F3">
        <w:rPr>
          <w:rFonts w:ascii="Arial" w:hAnsi="Arial" w:cs="Arial"/>
          <w:sz w:val="22"/>
          <w:szCs w:val="24"/>
          <w:lang w:val="es-CL" w:eastAsia="es-MX"/>
        </w:rPr>
        <w:t>; (2) proyección de precios de corto plazo</w:t>
      </w:r>
      <w:r w:rsidRPr="00A801F3">
        <w:rPr>
          <w:rFonts w:ascii="Arial" w:hAnsi="Arial" w:cs="Arial"/>
          <w:sz w:val="22"/>
          <w:szCs w:val="24"/>
          <w:vertAlign w:val="superscript"/>
          <w:lang w:val="es-CL" w:eastAsia="es-MX"/>
        </w:rPr>
        <w:footnoteReference w:id="8"/>
      </w:r>
      <w:r w:rsidRPr="00A801F3">
        <w:rPr>
          <w:rFonts w:ascii="Arial" w:hAnsi="Arial" w:cs="Arial"/>
          <w:sz w:val="22"/>
          <w:szCs w:val="24"/>
          <w:lang w:val="es-CL" w:eastAsia="es-MX"/>
        </w:rPr>
        <w:t xml:space="preserve">; y (3) proyección de </w:t>
      </w:r>
      <w:r w:rsidRPr="00A801F3">
        <w:rPr>
          <w:rFonts w:ascii="Arial" w:hAnsi="Arial" w:cs="Arial"/>
          <w:sz w:val="22"/>
          <w:szCs w:val="24"/>
          <w:lang w:val="es-CL" w:eastAsia="es-MX"/>
        </w:rPr>
        <w:lastRenderedPageBreak/>
        <w:t>precios de largo plazo de hasta 10 años</w:t>
      </w:r>
      <w:r w:rsidRPr="00A801F3">
        <w:rPr>
          <w:rFonts w:ascii="Arial" w:hAnsi="Arial" w:cs="Arial"/>
          <w:sz w:val="22"/>
          <w:szCs w:val="24"/>
          <w:vertAlign w:val="superscript"/>
          <w:lang w:val="es-CL" w:eastAsia="es-MX"/>
        </w:rPr>
        <w:footnoteReference w:id="9"/>
      </w:r>
      <w:r w:rsidRPr="00A801F3">
        <w:rPr>
          <w:rFonts w:ascii="Arial" w:hAnsi="Arial" w:cs="Arial"/>
          <w:sz w:val="22"/>
          <w:szCs w:val="24"/>
          <w:lang w:val="es-CL" w:eastAsia="es-MX"/>
        </w:rPr>
        <w:t>. Con esto, tras la consideración de la evolución de precios históricos y perspectivas futuras, los PRI deberán reflejar el precio esperado de mediano y largo plazo del mercado petrolero. Su cálculo no podrá diferir en más de un 20% del promedio de los precios de paridad observados en el plazo del año que expira la semana anterior al día que correspondan ser determinados.</w:t>
      </w:r>
    </w:p>
    <w:p w:rsidR="00A801F3" w:rsidRPr="00A801F3" w:rsidRDefault="00A801F3" w:rsidP="00A801F3">
      <w:pPr>
        <w:spacing w:line="276" w:lineRule="auto"/>
        <w:ind w:firstLine="1701"/>
        <w:jc w:val="both"/>
        <w:rPr>
          <w:rFonts w:ascii="Arial" w:hAnsi="Arial" w:cs="Arial"/>
          <w:sz w:val="22"/>
          <w:szCs w:val="24"/>
          <w:lang w:val="es-CL" w:eastAsia="es-MX"/>
        </w:rPr>
      </w:pPr>
    </w:p>
    <w:p w:rsidR="00A801F3" w:rsidRPr="00A801F3" w:rsidRDefault="00A801F3" w:rsidP="00A801F3">
      <w:pPr>
        <w:spacing w:line="276" w:lineRule="auto"/>
        <w:ind w:firstLine="1701"/>
        <w:jc w:val="both"/>
        <w:rPr>
          <w:rFonts w:ascii="Arial" w:hAnsi="Arial" w:cs="Arial"/>
          <w:sz w:val="22"/>
          <w:szCs w:val="24"/>
          <w:lang w:val="es-CL" w:eastAsia="es-MX"/>
        </w:rPr>
      </w:pPr>
      <w:r w:rsidRPr="00A801F3">
        <w:rPr>
          <w:rFonts w:ascii="Arial" w:hAnsi="Arial" w:cs="Arial"/>
          <w:sz w:val="22"/>
          <w:szCs w:val="24"/>
          <w:lang w:val="es-CL" w:eastAsia="es-MX"/>
        </w:rPr>
        <w:t xml:space="preserve">De esta forma, de acuerdo a lo establecido en el decreto N° 149 de 2014, del Ministerio de Energía, el Precio Referencia Intermedio (PRI) se calcula de la siguiente manera: </w:t>
      </w:r>
    </w:p>
    <w:p w:rsidR="00A801F3" w:rsidRPr="00A801F3" w:rsidRDefault="00A801F3" w:rsidP="00A801F3">
      <w:pPr>
        <w:spacing w:line="276" w:lineRule="auto"/>
        <w:ind w:firstLine="1701"/>
        <w:jc w:val="both"/>
        <w:rPr>
          <w:rFonts w:ascii="Arial" w:hAnsi="Arial" w:cs="Arial"/>
          <w:sz w:val="22"/>
          <w:szCs w:val="24"/>
          <w:lang w:val="es-CL" w:eastAsia="es-MX"/>
        </w:rPr>
      </w:pPr>
    </w:p>
    <w:p w:rsidR="00A801F3" w:rsidRPr="00A801F3" w:rsidRDefault="00A801F3" w:rsidP="00A801F3">
      <w:pPr>
        <w:spacing w:line="276" w:lineRule="auto"/>
        <w:ind w:firstLine="1701"/>
        <w:jc w:val="both"/>
        <w:rPr>
          <w:rFonts w:ascii="Arial" w:hAnsi="Arial" w:cs="Arial"/>
          <w:sz w:val="22"/>
          <w:szCs w:val="24"/>
          <w:lang w:val="es-CL" w:eastAsia="es-MX"/>
        </w:rPr>
      </w:pPr>
      <m:oMathPara>
        <m:oMath>
          <m:r>
            <m:rPr>
              <m:sty m:val="bi"/>
            </m:rPr>
            <w:rPr>
              <w:rFonts w:ascii="Cambria Math" w:hAnsi="Cambria Math" w:cs="Arial"/>
              <w:sz w:val="22"/>
              <w:szCs w:val="24"/>
              <w:lang w:val="es-CL" w:eastAsia="es-MX"/>
            </w:rPr>
            <m:t>PRI</m:t>
          </m:r>
          <m:r>
            <w:rPr>
              <w:rFonts w:ascii="Cambria Math" w:hAnsi="Cambria Math" w:cs="Arial"/>
              <w:sz w:val="22"/>
              <w:szCs w:val="24"/>
              <w:lang w:val="es-CL" w:eastAsia="es-MX"/>
            </w:rPr>
            <m:t>=55% P. Histórico+40% P. Proy. Corto Plazo+5% P.Proy. Largo Plazo</m:t>
          </m:r>
        </m:oMath>
      </m:oMathPara>
    </w:p>
    <w:p w:rsidR="00A801F3" w:rsidRPr="00A801F3" w:rsidRDefault="00A801F3" w:rsidP="00A801F3">
      <w:pPr>
        <w:spacing w:line="276" w:lineRule="auto"/>
        <w:ind w:firstLine="1701"/>
        <w:jc w:val="both"/>
        <w:rPr>
          <w:rFonts w:ascii="Arial" w:hAnsi="Arial" w:cs="Arial"/>
          <w:sz w:val="22"/>
          <w:szCs w:val="24"/>
          <w:lang w:val="es-CL" w:eastAsia="es-MX"/>
        </w:rPr>
      </w:pPr>
    </w:p>
    <w:p w:rsidR="00A801F3" w:rsidRPr="00A801F3" w:rsidRDefault="00A801F3" w:rsidP="00A801F3">
      <w:pPr>
        <w:spacing w:line="276" w:lineRule="auto"/>
        <w:ind w:firstLine="1701"/>
        <w:jc w:val="both"/>
        <w:rPr>
          <w:rFonts w:ascii="Arial" w:hAnsi="Arial" w:cs="Arial"/>
          <w:sz w:val="22"/>
          <w:szCs w:val="24"/>
          <w:lang w:val="es-CL" w:eastAsia="es-MX"/>
        </w:rPr>
      </w:pPr>
      <w:r w:rsidRPr="00A801F3">
        <w:rPr>
          <w:rFonts w:ascii="Arial" w:hAnsi="Arial" w:cs="Arial"/>
          <w:sz w:val="22"/>
          <w:szCs w:val="24"/>
          <w:lang w:val="es-CL" w:eastAsia="es-MX"/>
        </w:rPr>
        <w:t>A partir de la determinación del PRI, se construye una banda de referencia al aplicar un +/- 12,5% en torno al PRI, a partir del cual se fijan los límites inferiores y superiores</w:t>
      </w:r>
      <w:r w:rsidRPr="00A801F3">
        <w:rPr>
          <w:rFonts w:ascii="Arial" w:hAnsi="Arial" w:cs="Arial"/>
          <w:sz w:val="22"/>
          <w:szCs w:val="24"/>
          <w:vertAlign w:val="superscript"/>
          <w:lang w:val="es-CL" w:eastAsia="es-MX"/>
        </w:rPr>
        <w:footnoteReference w:id="10"/>
      </w:r>
      <w:r w:rsidRPr="00A801F3">
        <w:rPr>
          <w:rFonts w:ascii="Arial" w:hAnsi="Arial" w:cs="Arial"/>
          <w:sz w:val="22"/>
          <w:szCs w:val="24"/>
          <w:lang w:val="es-CL" w:eastAsia="es-MX"/>
        </w:rPr>
        <w:t xml:space="preserve">. </w:t>
      </w:r>
    </w:p>
    <w:p w:rsidR="00A801F3" w:rsidRPr="00A801F3" w:rsidRDefault="00A801F3" w:rsidP="00A801F3">
      <w:pPr>
        <w:ind w:firstLine="1701"/>
        <w:jc w:val="both"/>
        <w:rPr>
          <w:rFonts w:ascii="Arial" w:hAnsi="Arial" w:cs="Arial"/>
          <w:sz w:val="22"/>
          <w:szCs w:val="18"/>
          <w:lang w:val="es-CL" w:eastAsia="es-MX"/>
        </w:rPr>
      </w:pPr>
    </w:p>
    <w:p w:rsidR="00A801F3" w:rsidRPr="00A801F3" w:rsidRDefault="00A801F3" w:rsidP="00A801F3">
      <w:pPr>
        <w:ind w:firstLine="1701"/>
        <w:jc w:val="both"/>
        <w:rPr>
          <w:rFonts w:ascii="Arial" w:hAnsi="Arial" w:cs="Arial"/>
          <w:sz w:val="22"/>
          <w:szCs w:val="18"/>
          <w:lang w:val="es-CL" w:eastAsia="es-MX"/>
        </w:rPr>
      </w:pPr>
      <w:r w:rsidRPr="00A801F3">
        <w:rPr>
          <w:rFonts w:ascii="Arial" w:hAnsi="Arial" w:cs="Arial"/>
          <w:sz w:val="22"/>
          <w:szCs w:val="18"/>
          <w:lang w:val="es-CL" w:eastAsia="es-MX"/>
        </w:rPr>
        <w:t xml:space="preserve">Para la implementación del mecanismo se realiza una evaluación semanal, tras lo que se determina si aplica o no su operación. En términos simples, se activa en los siguientes casos: </w:t>
      </w:r>
    </w:p>
    <w:p w:rsidR="00A801F3" w:rsidRPr="00A801F3" w:rsidRDefault="00A801F3" w:rsidP="00A801F3">
      <w:pPr>
        <w:ind w:firstLine="1701"/>
        <w:jc w:val="both"/>
        <w:rPr>
          <w:rFonts w:ascii="Arial" w:hAnsi="Arial" w:cs="Arial"/>
          <w:sz w:val="22"/>
          <w:szCs w:val="18"/>
          <w:lang w:val="es-CL" w:eastAsia="es-MX"/>
        </w:rPr>
      </w:pPr>
    </w:p>
    <w:p w:rsidR="00A801F3" w:rsidRPr="00A801F3" w:rsidRDefault="00A801F3" w:rsidP="00874793">
      <w:pPr>
        <w:numPr>
          <w:ilvl w:val="0"/>
          <w:numId w:val="24"/>
        </w:numPr>
        <w:pBdr>
          <w:top w:val="none" w:sz="4" w:space="0" w:color="000000"/>
          <w:left w:val="none" w:sz="4" w:space="0" w:color="000000"/>
          <w:bottom w:val="none" w:sz="4" w:space="0" w:color="000000"/>
          <w:right w:val="none" w:sz="4" w:space="0" w:color="000000"/>
          <w:between w:val="none" w:sz="4" w:space="0" w:color="000000"/>
        </w:pBdr>
        <w:spacing w:after="200" w:line="276" w:lineRule="auto"/>
        <w:ind w:left="0" w:firstLine="1701"/>
        <w:contextualSpacing/>
        <w:jc w:val="both"/>
        <w:rPr>
          <w:rFonts w:ascii="Arial" w:eastAsia="Arial" w:hAnsi="Arial" w:cs="Arial"/>
          <w:sz w:val="22"/>
          <w:szCs w:val="18"/>
          <w:lang w:val="es-ES" w:eastAsia="en-US"/>
        </w:rPr>
      </w:pPr>
      <w:r w:rsidRPr="00A801F3">
        <w:rPr>
          <w:rFonts w:ascii="Arial" w:eastAsia="Arial" w:hAnsi="Arial" w:cs="Arial"/>
          <w:b/>
          <w:sz w:val="22"/>
          <w:szCs w:val="18"/>
          <w:lang w:val="es-ES" w:eastAsia="en-US"/>
        </w:rPr>
        <w:t>El</w:t>
      </w:r>
      <w:r w:rsidRPr="00A801F3">
        <w:rPr>
          <w:rFonts w:ascii="Arial" w:eastAsia="Arial" w:hAnsi="Arial" w:cs="Arial"/>
          <w:sz w:val="22"/>
          <w:szCs w:val="18"/>
          <w:lang w:val="es-ES" w:eastAsia="en-US"/>
        </w:rPr>
        <w:t xml:space="preserve"> </w:t>
      </w:r>
      <w:r w:rsidRPr="00A801F3">
        <w:rPr>
          <w:rFonts w:ascii="Arial" w:eastAsia="Arial" w:hAnsi="Arial" w:cs="Arial"/>
          <w:b/>
          <w:sz w:val="22"/>
          <w:szCs w:val="18"/>
          <w:lang w:val="es-ES" w:eastAsia="en-US"/>
        </w:rPr>
        <w:t>Precio de Paridad (PP) sobrepasa el precio de referencia superior</w:t>
      </w:r>
      <w:r w:rsidRPr="00A801F3">
        <w:rPr>
          <w:rFonts w:ascii="Arial" w:eastAsia="Arial" w:hAnsi="Arial" w:cs="Arial"/>
          <w:sz w:val="22"/>
          <w:szCs w:val="18"/>
          <w:lang w:val="es-ES" w:eastAsia="en-US"/>
        </w:rPr>
        <w:t xml:space="preserve"> (límite superior de la banda), activando la aplicación de un crédito o subsidio equivalente a la diferencia entre ambos, financiado por el FEPP. </w:t>
      </w:r>
    </w:p>
    <w:p w:rsidR="00A801F3" w:rsidRPr="00A801F3" w:rsidRDefault="00A801F3" w:rsidP="00874793">
      <w:pPr>
        <w:pBdr>
          <w:top w:val="none" w:sz="4" w:space="0" w:color="000000"/>
          <w:left w:val="none" w:sz="4" w:space="0" w:color="000000"/>
          <w:bottom w:val="none" w:sz="4" w:space="0" w:color="000000"/>
          <w:right w:val="none" w:sz="4" w:space="0" w:color="000000"/>
          <w:between w:val="none" w:sz="4" w:space="0" w:color="000000"/>
        </w:pBdr>
        <w:spacing w:after="200" w:line="276" w:lineRule="auto"/>
        <w:ind w:firstLine="1701"/>
        <w:contextualSpacing/>
        <w:jc w:val="both"/>
        <w:rPr>
          <w:rFonts w:ascii="Arial" w:eastAsia="Arial" w:hAnsi="Arial" w:cs="Arial"/>
          <w:sz w:val="22"/>
          <w:szCs w:val="18"/>
          <w:lang w:val="es-ES" w:eastAsia="en-US"/>
        </w:rPr>
      </w:pPr>
    </w:p>
    <w:p w:rsidR="00A801F3" w:rsidRPr="00A801F3" w:rsidRDefault="00A801F3" w:rsidP="00874793">
      <w:pPr>
        <w:pBdr>
          <w:top w:val="none" w:sz="4" w:space="0" w:color="000000"/>
          <w:left w:val="none" w:sz="4" w:space="0" w:color="000000"/>
          <w:bottom w:val="none" w:sz="4" w:space="0" w:color="000000"/>
          <w:right w:val="none" w:sz="4" w:space="0" w:color="000000"/>
          <w:between w:val="none" w:sz="4" w:space="0" w:color="000000"/>
        </w:pBdr>
        <w:spacing w:after="200" w:line="276" w:lineRule="auto"/>
        <w:ind w:firstLine="1701"/>
        <w:contextualSpacing/>
        <w:jc w:val="both"/>
        <w:rPr>
          <w:rFonts w:ascii="Arial" w:eastAsia="Arial" w:hAnsi="Arial" w:cs="Arial"/>
          <w:sz w:val="22"/>
          <w:szCs w:val="18"/>
          <w:lang w:val="es-ES" w:eastAsia="en-US"/>
        </w:rPr>
      </w:pPr>
      <w:r w:rsidRPr="00A801F3">
        <w:rPr>
          <w:rFonts w:ascii="Arial" w:eastAsia="Arial" w:hAnsi="Arial" w:cs="Arial"/>
          <w:sz w:val="22"/>
          <w:szCs w:val="18"/>
          <w:lang w:val="es-ES" w:eastAsia="en-US"/>
        </w:rPr>
        <w:t>En este caso, el crédito fiscal es equivalente a un monto igual a la diferencia entre ambos precios multiplicada por la cantidad menor entre 1 y la razón del fondo disponible sobre la cantidad de consumo semanal promedio esperado de las próximas 12 semanas multiplicado por el diferencial entre el precio de paridad y el precio de referencia superior y por un parámetro de protección temporal, es decir:</w:t>
      </w:r>
    </w:p>
    <w:p w:rsidR="00A801F3" w:rsidRPr="00A801F3" w:rsidRDefault="00A801F3" w:rsidP="00874793">
      <w:pPr>
        <w:pBdr>
          <w:top w:val="none" w:sz="4" w:space="0" w:color="000000"/>
          <w:left w:val="none" w:sz="4" w:space="0" w:color="000000"/>
          <w:bottom w:val="none" w:sz="4" w:space="0" w:color="000000"/>
          <w:right w:val="none" w:sz="4" w:space="0" w:color="000000"/>
          <w:between w:val="none" w:sz="4" w:space="0" w:color="000000"/>
        </w:pBdr>
        <w:spacing w:after="200" w:line="276" w:lineRule="auto"/>
        <w:ind w:firstLine="1701"/>
        <w:contextualSpacing/>
        <w:jc w:val="both"/>
        <w:rPr>
          <w:rFonts w:ascii="Arial" w:eastAsia="Arial" w:hAnsi="Arial" w:cs="Arial"/>
          <w:sz w:val="22"/>
          <w:szCs w:val="18"/>
          <w:lang w:val="es-ES" w:eastAsia="en-US"/>
        </w:rPr>
      </w:pPr>
    </w:p>
    <w:p w:rsidR="00A801F3" w:rsidRPr="00A801F3" w:rsidRDefault="00A801F3" w:rsidP="00874793">
      <w:pPr>
        <w:pBdr>
          <w:top w:val="none" w:sz="4" w:space="0" w:color="000000"/>
          <w:left w:val="none" w:sz="4" w:space="0" w:color="000000"/>
          <w:bottom w:val="none" w:sz="4" w:space="0" w:color="000000"/>
          <w:right w:val="none" w:sz="4" w:space="0" w:color="000000"/>
          <w:between w:val="none" w:sz="4" w:space="0" w:color="000000"/>
        </w:pBdr>
        <w:spacing w:after="200" w:line="276" w:lineRule="auto"/>
        <w:ind w:firstLine="1701"/>
        <w:contextualSpacing/>
        <w:jc w:val="both"/>
        <w:rPr>
          <w:rFonts w:ascii="Arial" w:eastAsia="Arial" w:hAnsi="Arial" w:cs="Arial"/>
          <w:sz w:val="22"/>
          <w:szCs w:val="18"/>
          <w:lang w:val="es-ES" w:eastAsia="en-US"/>
        </w:rPr>
      </w:pPr>
      <m:oMathPara>
        <m:oMath>
          <m:r>
            <w:rPr>
              <w:rFonts w:ascii="Cambria Math" w:eastAsia="Arial" w:hAnsi="Cambria Math" w:cs="Arial"/>
              <w:sz w:val="22"/>
              <w:szCs w:val="18"/>
              <w:lang w:val="es-ES" w:eastAsia="en-US"/>
            </w:rPr>
            <m:t>Crédito FEPP=</m:t>
          </m:r>
          <m:d>
            <m:dPr>
              <m:ctrlPr>
                <w:rPr>
                  <w:rFonts w:ascii="Cambria Math" w:eastAsia="Arial" w:hAnsi="Cambria Math" w:cs="Arial"/>
                  <w:i/>
                  <w:sz w:val="22"/>
                  <w:szCs w:val="18"/>
                  <w:lang w:val="es-ES" w:eastAsia="en-US"/>
                </w:rPr>
              </m:ctrlPr>
            </m:dPr>
            <m:e>
              <m:sSup>
                <m:sSupPr>
                  <m:ctrlPr>
                    <w:rPr>
                      <w:rFonts w:ascii="Cambria Math" w:eastAsia="Arial" w:hAnsi="Cambria Math" w:cs="Arial"/>
                      <w:i/>
                      <w:sz w:val="22"/>
                      <w:szCs w:val="18"/>
                      <w:lang w:val="es-ES" w:eastAsia="en-US"/>
                    </w:rPr>
                  </m:ctrlPr>
                </m:sSupPr>
                <m:e>
                  <m:r>
                    <w:rPr>
                      <w:rFonts w:ascii="Cambria Math" w:eastAsia="Arial" w:hAnsi="Cambria Math" w:cs="Arial"/>
                      <w:sz w:val="22"/>
                      <w:szCs w:val="18"/>
                      <w:lang w:val="es-ES" w:eastAsia="en-US"/>
                    </w:rPr>
                    <m:t>P</m:t>
                  </m:r>
                </m:e>
                <m:sup>
                  <m:r>
                    <w:rPr>
                      <w:rFonts w:ascii="Cambria Math" w:eastAsia="Arial" w:hAnsi="Cambria Math" w:cs="Arial"/>
                      <w:sz w:val="22"/>
                      <w:szCs w:val="18"/>
                      <w:lang w:val="es-ES" w:eastAsia="en-US"/>
                    </w:rPr>
                    <m:t>*</m:t>
                  </m:r>
                </m:sup>
              </m:sSup>
              <m:r>
                <w:rPr>
                  <w:rFonts w:ascii="Cambria Math" w:eastAsia="Arial" w:hAnsi="Cambria Math" w:cs="Arial"/>
                  <w:sz w:val="22"/>
                  <w:szCs w:val="18"/>
                  <w:lang w:val="es-ES" w:eastAsia="en-US"/>
                </w:rPr>
                <m:t>-</m:t>
              </m:r>
              <m:sSub>
                <m:sSubPr>
                  <m:ctrlPr>
                    <w:rPr>
                      <w:rFonts w:ascii="Cambria Math" w:eastAsia="Arial" w:hAnsi="Cambria Math" w:cs="Arial"/>
                      <w:i/>
                      <w:sz w:val="22"/>
                      <w:szCs w:val="18"/>
                      <w:lang w:val="es-ES" w:eastAsia="en-US"/>
                    </w:rPr>
                  </m:ctrlPr>
                </m:sSubPr>
                <m:e>
                  <m:r>
                    <w:rPr>
                      <w:rFonts w:ascii="Cambria Math" w:eastAsia="Arial" w:hAnsi="Cambria Math" w:cs="Arial"/>
                      <w:sz w:val="22"/>
                      <w:szCs w:val="18"/>
                      <w:lang w:val="es-ES" w:eastAsia="en-US"/>
                    </w:rPr>
                    <m:t>P</m:t>
                  </m:r>
                </m:e>
                <m:sub>
                  <m:r>
                    <w:rPr>
                      <w:rFonts w:ascii="Cambria Math" w:eastAsia="Arial" w:hAnsi="Cambria Math" w:cs="Arial"/>
                      <w:sz w:val="22"/>
                      <w:szCs w:val="18"/>
                      <w:lang w:val="es-ES" w:eastAsia="en-US"/>
                    </w:rPr>
                    <m:t>s</m:t>
                  </m:r>
                </m:sub>
              </m:sSub>
            </m:e>
          </m:d>
          <m:r>
            <w:rPr>
              <w:rFonts w:ascii="Cambria Math" w:eastAsia="Arial" w:hAnsi="Cambria Math" w:cs="Arial"/>
              <w:sz w:val="22"/>
              <w:szCs w:val="18"/>
              <w:lang w:val="es-ES" w:eastAsia="en-US"/>
            </w:rPr>
            <m:t>*Min(1,</m:t>
          </m:r>
          <m:f>
            <m:fPr>
              <m:ctrlPr>
                <w:rPr>
                  <w:rFonts w:ascii="Cambria Math" w:eastAsia="Arial" w:hAnsi="Cambria Math" w:cs="Arial"/>
                  <w:i/>
                  <w:sz w:val="22"/>
                  <w:szCs w:val="18"/>
                  <w:lang w:val="es-ES" w:eastAsia="en-US"/>
                </w:rPr>
              </m:ctrlPr>
            </m:fPr>
            <m:num>
              <m:r>
                <w:rPr>
                  <w:rFonts w:ascii="Cambria Math" w:eastAsia="Arial" w:hAnsi="Cambria Math" w:cs="Arial"/>
                  <w:sz w:val="22"/>
                  <w:szCs w:val="18"/>
                  <w:lang w:val="es-ES" w:eastAsia="en-US"/>
                </w:rPr>
                <m:t>F</m:t>
              </m:r>
            </m:num>
            <m:den>
              <m:r>
                <w:rPr>
                  <w:rFonts w:ascii="Cambria Math" w:eastAsia="Arial" w:hAnsi="Cambria Math" w:cs="Arial"/>
                  <w:sz w:val="22"/>
                  <w:szCs w:val="18"/>
                  <w:lang w:val="es-ES" w:eastAsia="en-US"/>
                </w:rPr>
                <m:t>q*</m:t>
              </m:r>
              <m:d>
                <m:dPr>
                  <m:ctrlPr>
                    <w:rPr>
                      <w:rFonts w:ascii="Cambria Math" w:eastAsia="Arial" w:hAnsi="Cambria Math" w:cs="Arial"/>
                      <w:i/>
                      <w:sz w:val="22"/>
                      <w:szCs w:val="18"/>
                      <w:lang w:val="es-ES" w:eastAsia="en-US"/>
                    </w:rPr>
                  </m:ctrlPr>
                </m:dPr>
                <m:e>
                  <m:sSup>
                    <m:sSupPr>
                      <m:ctrlPr>
                        <w:rPr>
                          <w:rFonts w:ascii="Cambria Math" w:eastAsia="Arial" w:hAnsi="Cambria Math" w:cs="Arial"/>
                          <w:i/>
                          <w:sz w:val="22"/>
                          <w:szCs w:val="18"/>
                          <w:lang w:val="es-ES" w:eastAsia="en-US"/>
                        </w:rPr>
                      </m:ctrlPr>
                    </m:sSupPr>
                    <m:e>
                      <m:r>
                        <w:rPr>
                          <w:rFonts w:ascii="Cambria Math" w:eastAsia="Arial" w:hAnsi="Cambria Math" w:cs="Arial"/>
                          <w:sz w:val="22"/>
                          <w:szCs w:val="18"/>
                          <w:lang w:val="es-ES" w:eastAsia="en-US"/>
                        </w:rPr>
                        <m:t>P</m:t>
                      </m:r>
                    </m:e>
                    <m:sup>
                      <m:r>
                        <w:rPr>
                          <w:rFonts w:ascii="Cambria Math" w:eastAsia="Arial" w:hAnsi="Cambria Math" w:cs="Arial"/>
                          <w:sz w:val="22"/>
                          <w:szCs w:val="18"/>
                          <w:lang w:val="es-ES" w:eastAsia="en-US"/>
                        </w:rPr>
                        <m:t>*</m:t>
                      </m:r>
                    </m:sup>
                  </m:sSup>
                  <m:r>
                    <w:rPr>
                      <w:rFonts w:ascii="Cambria Math" w:eastAsia="Arial" w:hAnsi="Cambria Math" w:cs="Arial"/>
                      <w:sz w:val="22"/>
                      <w:szCs w:val="18"/>
                      <w:lang w:val="es-ES" w:eastAsia="en-US"/>
                    </w:rPr>
                    <m:t>-</m:t>
                  </m:r>
                  <m:sSub>
                    <m:sSubPr>
                      <m:ctrlPr>
                        <w:rPr>
                          <w:rFonts w:ascii="Cambria Math" w:eastAsia="Arial" w:hAnsi="Cambria Math" w:cs="Arial"/>
                          <w:i/>
                          <w:sz w:val="22"/>
                          <w:szCs w:val="18"/>
                          <w:lang w:val="es-ES" w:eastAsia="en-US"/>
                        </w:rPr>
                      </m:ctrlPr>
                    </m:sSubPr>
                    <m:e>
                      <m:r>
                        <w:rPr>
                          <w:rFonts w:ascii="Cambria Math" w:eastAsia="Arial" w:hAnsi="Cambria Math" w:cs="Arial"/>
                          <w:sz w:val="22"/>
                          <w:szCs w:val="18"/>
                          <w:lang w:val="es-ES" w:eastAsia="en-US"/>
                        </w:rPr>
                        <m:t>P</m:t>
                      </m:r>
                    </m:e>
                    <m:sub>
                      <m:r>
                        <w:rPr>
                          <w:rFonts w:ascii="Cambria Math" w:eastAsia="Arial" w:hAnsi="Cambria Math" w:cs="Arial"/>
                          <w:sz w:val="22"/>
                          <w:szCs w:val="18"/>
                          <w:lang w:val="es-ES" w:eastAsia="en-US"/>
                        </w:rPr>
                        <m:t>s</m:t>
                      </m:r>
                    </m:sub>
                  </m:sSub>
                </m:e>
              </m:d>
            </m:den>
          </m:f>
          <m:r>
            <w:rPr>
              <w:rFonts w:ascii="Cambria Math" w:eastAsia="Arial" w:hAnsi="Cambria Math" w:cs="Arial"/>
              <w:sz w:val="22"/>
              <w:szCs w:val="18"/>
              <w:lang w:val="es-ES" w:eastAsia="en-US"/>
            </w:rPr>
            <m:t xml:space="preserve">     , si </m:t>
          </m:r>
          <m:sSup>
            <m:sSupPr>
              <m:ctrlPr>
                <w:rPr>
                  <w:rFonts w:ascii="Cambria Math" w:eastAsia="Arial" w:hAnsi="Cambria Math" w:cs="Arial"/>
                  <w:i/>
                  <w:sz w:val="22"/>
                  <w:szCs w:val="18"/>
                  <w:lang w:val="es-ES" w:eastAsia="en-US"/>
                </w:rPr>
              </m:ctrlPr>
            </m:sSupPr>
            <m:e>
              <m:r>
                <w:rPr>
                  <w:rFonts w:ascii="Cambria Math" w:eastAsia="Arial" w:hAnsi="Cambria Math" w:cs="Arial"/>
                  <w:sz w:val="22"/>
                  <w:szCs w:val="18"/>
                  <w:lang w:val="es-ES" w:eastAsia="en-US"/>
                </w:rPr>
                <m:t>P</m:t>
              </m:r>
            </m:e>
            <m:sup>
              <m:r>
                <w:rPr>
                  <w:rFonts w:ascii="Cambria Math" w:eastAsia="Arial" w:hAnsi="Cambria Math" w:cs="Arial"/>
                  <w:sz w:val="22"/>
                  <w:szCs w:val="18"/>
                  <w:lang w:val="es-ES" w:eastAsia="en-US"/>
                </w:rPr>
                <m:t>*</m:t>
              </m:r>
            </m:sup>
          </m:sSup>
          <m:r>
            <w:rPr>
              <w:rFonts w:ascii="Cambria Math" w:eastAsia="Arial" w:hAnsi="Cambria Math" w:cs="Arial"/>
              <w:sz w:val="22"/>
              <w:szCs w:val="18"/>
              <w:lang w:val="es-ES" w:eastAsia="en-US"/>
            </w:rPr>
            <m:t>&gt;</m:t>
          </m:r>
          <m:sSub>
            <m:sSubPr>
              <m:ctrlPr>
                <w:rPr>
                  <w:rFonts w:ascii="Cambria Math" w:eastAsia="Arial" w:hAnsi="Cambria Math" w:cs="Arial"/>
                  <w:i/>
                  <w:sz w:val="22"/>
                  <w:szCs w:val="18"/>
                  <w:lang w:val="es-ES" w:eastAsia="en-US"/>
                </w:rPr>
              </m:ctrlPr>
            </m:sSubPr>
            <m:e>
              <m:r>
                <w:rPr>
                  <w:rFonts w:ascii="Cambria Math" w:eastAsia="Arial" w:hAnsi="Cambria Math" w:cs="Arial"/>
                  <w:sz w:val="22"/>
                  <w:szCs w:val="18"/>
                  <w:lang w:val="es-ES" w:eastAsia="en-US"/>
                </w:rPr>
                <m:t>P</m:t>
              </m:r>
            </m:e>
            <m:sub>
              <m:r>
                <w:rPr>
                  <w:rFonts w:ascii="Cambria Math" w:eastAsia="Arial" w:hAnsi="Cambria Math" w:cs="Arial"/>
                  <w:sz w:val="22"/>
                  <w:szCs w:val="18"/>
                  <w:lang w:val="es-ES" w:eastAsia="en-US"/>
                </w:rPr>
                <m:t>s</m:t>
              </m:r>
            </m:sub>
          </m:sSub>
          <m:r>
            <w:rPr>
              <w:rFonts w:ascii="Cambria Math" w:eastAsia="Arial" w:hAnsi="Cambria Math" w:cs="Arial"/>
              <w:sz w:val="22"/>
              <w:szCs w:val="18"/>
              <w:lang w:val="es-ES" w:eastAsia="en-US"/>
            </w:rPr>
            <m:t xml:space="preserve">                 (1)</m:t>
          </m:r>
        </m:oMath>
      </m:oMathPara>
    </w:p>
    <w:p w:rsidR="00A801F3" w:rsidRPr="00A801F3" w:rsidRDefault="00A801F3" w:rsidP="00874793">
      <w:pPr>
        <w:pBdr>
          <w:top w:val="none" w:sz="4" w:space="0" w:color="000000"/>
          <w:left w:val="none" w:sz="4" w:space="0" w:color="000000"/>
          <w:bottom w:val="none" w:sz="4" w:space="0" w:color="000000"/>
          <w:right w:val="none" w:sz="4" w:space="0" w:color="000000"/>
          <w:between w:val="none" w:sz="4" w:space="0" w:color="000000"/>
        </w:pBdr>
        <w:spacing w:after="200" w:line="276" w:lineRule="auto"/>
        <w:ind w:firstLine="1701"/>
        <w:contextualSpacing/>
        <w:jc w:val="both"/>
        <w:rPr>
          <w:rFonts w:ascii="Arial" w:eastAsia="Arial" w:hAnsi="Arial" w:cs="Arial"/>
          <w:sz w:val="22"/>
          <w:szCs w:val="18"/>
          <w:lang w:val="es-ES" w:eastAsia="en-US"/>
        </w:rPr>
      </w:pPr>
    </w:p>
    <w:p w:rsidR="00A801F3" w:rsidRPr="00A801F3" w:rsidRDefault="00A801F3" w:rsidP="00874793">
      <w:pPr>
        <w:numPr>
          <w:ilvl w:val="0"/>
          <w:numId w:val="24"/>
        </w:numPr>
        <w:pBdr>
          <w:top w:val="none" w:sz="4" w:space="0" w:color="000000"/>
          <w:left w:val="none" w:sz="4" w:space="0" w:color="000000"/>
          <w:bottom w:val="none" w:sz="4" w:space="0" w:color="000000"/>
          <w:right w:val="none" w:sz="4" w:space="0" w:color="000000"/>
          <w:between w:val="none" w:sz="4" w:space="0" w:color="000000"/>
        </w:pBdr>
        <w:spacing w:after="200" w:line="276" w:lineRule="auto"/>
        <w:ind w:left="0" w:firstLine="1701"/>
        <w:contextualSpacing/>
        <w:jc w:val="both"/>
        <w:rPr>
          <w:rFonts w:ascii="Arial" w:eastAsia="Arial" w:hAnsi="Arial" w:cs="Arial"/>
          <w:sz w:val="22"/>
          <w:szCs w:val="18"/>
          <w:lang w:val="es-ES" w:eastAsia="en-US"/>
        </w:rPr>
      </w:pPr>
      <w:r w:rsidRPr="00A801F3">
        <w:rPr>
          <w:rFonts w:ascii="Arial" w:eastAsia="Arial" w:hAnsi="Arial" w:cs="Arial"/>
          <w:b/>
          <w:sz w:val="22"/>
          <w:szCs w:val="18"/>
          <w:lang w:val="es-ES" w:eastAsia="en-US"/>
        </w:rPr>
        <w:t>El Precio de Paridad (PP) se ubica por debajo de la referencia inferior</w:t>
      </w:r>
      <w:r w:rsidRPr="00A801F3">
        <w:rPr>
          <w:rFonts w:ascii="Arial" w:eastAsia="Arial" w:hAnsi="Arial" w:cs="Arial"/>
          <w:sz w:val="22"/>
          <w:szCs w:val="18"/>
          <w:lang w:val="es-ES" w:eastAsia="en-US"/>
        </w:rPr>
        <w:t xml:space="preserve"> (límite inferior de la banda) activa la aplicación de un impuesto, cuya recaudación se acumula en el FEPP. En este caso, el impuesto específico sería igual a la diferencia entre ambos precios, es decir: </w:t>
      </w:r>
    </w:p>
    <w:p w:rsidR="00A801F3" w:rsidRPr="00A801F3" w:rsidRDefault="00A801F3" w:rsidP="00874793">
      <w:pPr>
        <w:pBdr>
          <w:top w:val="none" w:sz="4" w:space="0" w:color="000000"/>
          <w:left w:val="none" w:sz="4" w:space="0" w:color="000000"/>
          <w:bottom w:val="none" w:sz="4" w:space="0" w:color="000000"/>
          <w:right w:val="none" w:sz="4" w:space="0" w:color="000000"/>
          <w:between w:val="none" w:sz="4" w:space="0" w:color="000000"/>
        </w:pBdr>
        <w:spacing w:after="200" w:line="276" w:lineRule="auto"/>
        <w:ind w:firstLine="1701"/>
        <w:contextualSpacing/>
        <w:jc w:val="both"/>
        <w:rPr>
          <w:rFonts w:ascii="Arial" w:eastAsia="Arial" w:hAnsi="Arial" w:cs="Arial"/>
          <w:sz w:val="22"/>
          <w:szCs w:val="18"/>
          <w:lang w:val="es-ES" w:eastAsia="en-US"/>
        </w:rPr>
      </w:pPr>
    </w:p>
    <w:p w:rsidR="00A801F3" w:rsidRPr="00A801F3" w:rsidRDefault="00A801F3" w:rsidP="00874793">
      <w:pPr>
        <w:pBdr>
          <w:top w:val="none" w:sz="4" w:space="0" w:color="000000"/>
          <w:left w:val="none" w:sz="4" w:space="0" w:color="000000"/>
          <w:bottom w:val="none" w:sz="4" w:space="0" w:color="000000"/>
          <w:right w:val="none" w:sz="4" w:space="0" w:color="000000"/>
          <w:between w:val="none" w:sz="4" w:space="0" w:color="000000"/>
        </w:pBdr>
        <w:spacing w:after="200" w:line="276" w:lineRule="auto"/>
        <w:ind w:firstLine="1701"/>
        <w:contextualSpacing/>
        <w:jc w:val="both"/>
        <w:rPr>
          <w:rFonts w:ascii="Arial" w:eastAsia="Arial" w:hAnsi="Arial" w:cs="Arial"/>
          <w:sz w:val="22"/>
          <w:szCs w:val="18"/>
          <w:lang w:val="es-ES" w:eastAsia="en-US"/>
        </w:rPr>
      </w:pPr>
      <m:oMathPara>
        <m:oMath>
          <m:r>
            <w:rPr>
              <w:rFonts w:ascii="Cambria Math" w:eastAsia="Arial" w:hAnsi="Cambria Math" w:cs="Arial"/>
              <w:sz w:val="22"/>
              <w:szCs w:val="18"/>
              <w:lang w:val="es-ES" w:eastAsia="en-US"/>
            </w:rPr>
            <m:t xml:space="preserve">Impuesto FEPP= </m:t>
          </m:r>
          <m:sSub>
            <m:sSubPr>
              <m:ctrlPr>
                <w:rPr>
                  <w:rFonts w:ascii="Cambria Math" w:eastAsia="Arial" w:hAnsi="Cambria Math" w:cs="Arial"/>
                  <w:i/>
                  <w:sz w:val="22"/>
                  <w:szCs w:val="18"/>
                  <w:lang w:val="es-ES" w:eastAsia="en-US"/>
                </w:rPr>
              </m:ctrlPr>
            </m:sSubPr>
            <m:e>
              <m:r>
                <w:rPr>
                  <w:rFonts w:ascii="Cambria Math" w:eastAsia="Arial" w:hAnsi="Cambria Math" w:cs="Arial"/>
                  <w:sz w:val="22"/>
                  <w:szCs w:val="18"/>
                  <w:lang w:val="es-ES" w:eastAsia="en-US"/>
                </w:rPr>
                <m:t>P</m:t>
              </m:r>
            </m:e>
            <m:sub>
              <m:r>
                <w:rPr>
                  <w:rFonts w:ascii="Cambria Math" w:eastAsia="Arial" w:hAnsi="Cambria Math" w:cs="Arial"/>
                  <w:sz w:val="22"/>
                  <w:szCs w:val="18"/>
                  <w:lang w:val="es-ES" w:eastAsia="en-US"/>
                </w:rPr>
                <m:t>i</m:t>
              </m:r>
            </m:sub>
          </m:sSub>
          <m:r>
            <w:rPr>
              <w:rFonts w:ascii="Cambria Math" w:eastAsia="Arial" w:hAnsi="Cambria Math" w:cs="Arial"/>
              <w:sz w:val="22"/>
              <w:szCs w:val="18"/>
              <w:lang w:val="es-ES" w:eastAsia="en-US"/>
            </w:rPr>
            <m:t>-</m:t>
          </m:r>
          <m:sSup>
            <m:sSupPr>
              <m:ctrlPr>
                <w:rPr>
                  <w:rFonts w:ascii="Cambria Math" w:eastAsia="Arial" w:hAnsi="Cambria Math" w:cs="Arial"/>
                  <w:i/>
                  <w:sz w:val="22"/>
                  <w:szCs w:val="18"/>
                  <w:lang w:val="es-ES" w:eastAsia="en-US"/>
                </w:rPr>
              </m:ctrlPr>
            </m:sSupPr>
            <m:e>
              <m:r>
                <w:rPr>
                  <w:rFonts w:ascii="Cambria Math" w:eastAsia="Arial" w:hAnsi="Cambria Math" w:cs="Arial"/>
                  <w:sz w:val="22"/>
                  <w:szCs w:val="18"/>
                  <w:lang w:val="es-ES" w:eastAsia="en-US"/>
                </w:rPr>
                <m:t>P</m:t>
              </m:r>
            </m:e>
            <m:sup>
              <m:r>
                <w:rPr>
                  <w:rFonts w:ascii="Cambria Math" w:eastAsia="Arial" w:hAnsi="Cambria Math" w:cs="Arial"/>
                  <w:sz w:val="22"/>
                  <w:szCs w:val="18"/>
                  <w:lang w:val="es-ES" w:eastAsia="en-US"/>
                </w:rPr>
                <m:t>*</m:t>
              </m:r>
            </m:sup>
          </m:sSup>
          <m:r>
            <w:rPr>
              <w:rFonts w:ascii="Cambria Math" w:eastAsia="Arial" w:hAnsi="Cambria Math" w:cs="Arial"/>
              <w:sz w:val="22"/>
              <w:szCs w:val="18"/>
              <w:lang w:val="es-ES" w:eastAsia="en-US"/>
            </w:rPr>
            <m:t xml:space="preserve">              ,  si </m:t>
          </m:r>
          <m:sSub>
            <m:sSubPr>
              <m:ctrlPr>
                <w:rPr>
                  <w:rFonts w:ascii="Cambria Math" w:eastAsia="Arial" w:hAnsi="Cambria Math" w:cs="Arial"/>
                  <w:i/>
                  <w:sz w:val="22"/>
                  <w:szCs w:val="18"/>
                  <w:lang w:val="es-ES" w:eastAsia="en-US"/>
                </w:rPr>
              </m:ctrlPr>
            </m:sSubPr>
            <m:e>
              <m:r>
                <w:rPr>
                  <w:rFonts w:ascii="Cambria Math" w:eastAsia="Arial" w:hAnsi="Cambria Math" w:cs="Arial"/>
                  <w:sz w:val="22"/>
                  <w:szCs w:val="18"/>
                  <w:lang w:val="es-ES" w:eastAsia="en-US"/>
                </w:rPr>
                <m:t>P</m:t>
              </m:r>
            </m:e>
            <m:sub>
              <m:r>
                <w:rPr>
                  <w:rFonts w:ascii="Cambria Math" w:eastAsia="Arial" w:hAnsi="Cambria Math" w:cs="Arial"/>
                  <w:sz w:val="22"/>
                  <w:szCs w:val="18"/>
                  <w:lang w:val="es-ES" w:eastAsia="en-US"/>
                </w:rPr>
                <m:t>i</m:t>
              </m:r>
            </m:sub>
          </m:sSub>
          <m:r>
            <w:rPr>
              <w:rFonts w:ascii="Cambria Math" w:eastAsia="Arial" w:hAnsi="Cambria Math" w:cs="Arial"/>
              <w:sz w:val="22"/>
              <w:szCs w:val="18"/>
              <w:lang w:val="es-ES" w:eastAsia="en-US"/>
            </w:rPr>
            <m:t>&gt;</m:t>
          </m:r>
          <m:sSup>
            <m:sSupPr>
              <m:ctrlPr>
                <w:rPr>
                  <w:rFonts w:ascii="Cambria Math" w:eastAsia="Arial" w:hAnsi="Cambria Math" w:cs="Arial"/>
                  <w:i/>
                  <w:sz w:val="22"/>
                  <w:szCs w:val="18"/>
                  <w:lang w:val="es-ES" w:eastAsia="en-US"/>
                </w:rPr>
              </m:ctrlPr>
            </m:sSupPr>
            <m:e>
              <m:r>
                <w:rPr>
                  <w:rFonts w:ascii="Cambria Math" w:eastAsia="Arial" w:hAnsi="Cambria Math" w:cs="Arial"/>
                  <w:sz w:val="22"/>
                  <w:szCs w:val="18"/>
                  <w:lang w:val="es-ES" w:eastAsia="en-US"/>
                </w:rPr>
                <m:t>P</m:t>
              </m:r>
            </m:e>
            <m:sup>
              <m:r>
                <w:rPr>
                  <w:rFonts w:ascii="Cambria Math" w:eastAsia="Arial" w:hAnsi="Cambria Math" w:cs="Arial"/>
                  <w:sz w:val="22"/>
                  <w:szCs w:val="18"/>
                  <w:lang w:val="es-ES" w:eastAsia="en-US"/>
                </w:rPr>
                <m:t>*</m:t>
              </m:r>
            </m:sup>
          </m:sSup>
          <m:r>
            <w:rPr>
              <w:rFonts w:ascii="Cambria Math" w:eastAsia="Arial" w:hAnsi="Cambria Math" w:cs="Arial"/>
              <w:sz w:val="22"/>
              <w:szCs w:val="18"/>
              <w:lang w:val="es-ES" w:eastAsia="en-US"/>
            </w:rPr>
            <m:t xml:space="preserve">                                     (2) </m:t>
          </m:r>
        </m:oMath>
      </m:oMathPara>
    </w:p>
    <w:p w:rsidR="00A801F3" w:rsidRPr="00A801F3" w:rsidRDefault="00A801F3" w:rsidP="00874793">
      <w:pPr>
        <w:pBdr>
          <w:top w:val="none" w:sz="4" w:space="0" w:color="000000"/>
          <w:left w:val="none" w:sz="4" w:space="0" w:color="000000"/>
          <w:bottom w:val="none" w:sz="4" w:space="0" w:color="000000"/>
          <w:right w:val="none" w:sz="4" w:space="0" w:color="000000"/>
          <w:between w:val="none" w:sz="4" w:space="0" w:color="000000"/>
        </w:pBdr>
        <w:spacing w:after="200" w:line="276" w:lineRule="auto"/>
        <w:ind w:firstLine="1701"/>
        <w:contextualSpacing/>
        <w:jc w:val="both"/>
        <w:rPr>
          <w:rFonts w:ascii="Arial" w:eastAsia="Arial" w:hAnsi="Arial" w:cs="Arial"/>
          <w:sz w:val="22"/>
          <w:szCs w:val="18"/>
          <w:lang w:val="es-ES" w:eastAsia="en-US"/>
        </w:rPr>
      </w:pPr>
    </w:p>
    <w:p w:rsidR="00A801F3" w:rsidRPr="00A801F3" w:rsidRDefault="00A801F3" w:rsidP="00874793">
      <w:pPr>
        <w:numPr>
          <w:ilvl w:val="0"/>
          <w:numId w:val="24"/>
        </w:numPr>
        <w:pBdr>
          <w:top w:val="none" w:sz="4" w:space="0" w:color="000000"/>
          <w:left w:val="none" w:sz="4" w:space="0" w:color="000000"/>
          <w:bottom w:val="none" w:sz="4" w:space="0" w:color="000000"/>
          <w:right w:val="none" w:sz="4" w:space="0" w:color="000000"/>
          <w:between w:val="none" w:sz="4" w:space="0" w:color="000000"/>
        </w:pBdr>
        <w:spacing w:after="200" w:line="276" w:lineRule="auto"/>
        <w:ind w:left="0" w:firstLine="1701"/>
        <w:contextualSpacing/>
        <w:jc w:val="both"/>
        <w:rPr>
          <w:rFonts w:ascii="Arial" w:eastAsia="Arial" w:hAnsi="Arial" w:cs="Arial"/>
          <w:sz w:val="22"/>
          <w:szCs w:val="18"/>
          <w:lang w:val="es-ES" w:eastAsia="en-US"/>
        </w:rPr>
      </w:pPr>
      <w:r w:rsidRPr="00A801F3">
        <w:rPr>
          <w:rFonts w:ascii="Arial" w:eastAsia="Arial" w:hAnsi="Arial" w:cs="Arial"/>
          <w:sz w:val="22"/>
          <w:szCs w:val="18"/>
          <w:lang w:val="es-ES" w:eastAsia="en-US"/>
        </w:rPr>
        <w:t xml:space="preserve">En caso de que el precio de paridad se encuentre dentro de los límites de la banda de referencia, el mecanismo no opera. </w:t>
      </w:r>
    </w:p>
    <w:p w:rsidR="00A801F3" w:rsidRPr="00A801F3" w:rsidRDefault="00A801F3" w:rsidP="00A801F3">
      <w:pPr>
        <w:ind w:firstLine="1701"/>
        <w:jc w:val="both"/>
        <w:rPr>
          <w:rFonts w:ascii="Arial" w:hAnsi="Arial" w:cs="Arial"/>
          <w:sz w:val="22"/>
          <w:szCs w:val="18"/>
          <w:lang w:val="es-CL" w:eastAsia="es-MX"/>
        </w:rPr>
      </w:pPr>
      <w:r w:rsidRPr="00A801F3">
        <w:rPr>
          <w:rFonts w:ascii="Arial" w:hAnsi="Arial" w:cs="Arial"/>
          <w:sz w:val="22"/>
          <w:szCs w:val="18"/>
          <w:lang w:val="es-CL" w:eastAsia="es-MX"/>
        </w:rPr>
        <w:t>Todas las determinaciones del FEPP se realizan en dólares, implicando que el riesgo en la paridad cambiaria es semanal y traspasable íntegramente a público (Ministerio de Energía, 2016).</w:t>
      </w:r>
    </w:p>
    <w:p w:rsidR="00A801F3" w:rsidRPr="00A801F3" w:rsidRDefault="00A801F3" w:rsidP="00A801F3">
      <w:pPr>
        <w:ind w:firstLine="1701"/>
        <w:jc w:val="both"/>
        <w:rPr>
          <w:rFonts w:ascii="Arial" w:hAnsi="Arial" w:cs="Arial"/>
          <w:sz w:val="22"/>
          <w:szCs w:val="18"/>
          <w:lang w:val="es-CL" w:eastAsia="es-MX"/>
        </w:rPr>
      </w:pPr>
    </w:p>
    <w:p w:rsidR="00A801F3" w:rsidRPr="00A801F3" w:rsidRDefault="00A801F3" w:rsidP="00A801F3">
      <w:pPr>
        <w:spacing w:line="276" w:lineRule="auto"/>
        <w:ind w:firstLine="1701"/>
        <w:jc w:val="both"/>
        <w:rPr>
          <w:rFonts w:ascii="Arial" w:hAnsi="Arial" w:cs="Arial"/>
          <w:sz w:val="22"/>
          <w:szCs w:val="18"/>
          <w:lang w:val="es-CL" w:eastAsia="es-MX"/>
        </w:rPr>
      </w:pPr>
      <w:r w:rsidRPr="00A801F3">
        <w:rPr>
          <w:rFonts w:ascii="Arial" w:hAnsi="Arial" w:cs="Arial"/>
          <w:sz w:val="22"/>
          <w:szCs w:val="18"/>
          <w:lang w:val="es-CL" w:eastAsia="es-MX"/>
        </w:rPr>
        <w:t xml:space="preserve">Según lo especificado en la ecuación (1), la aplicación del crédito, el mecanismo de operación considera que este pueda ser reducido a partir de la aplicación de un factor de ajuste que tiene como propósito garantizar la sostenibilidad del FEPP para un periodo de las 12 semanas posteriores. Según se indica, el factor de ajuste considera lo siguiente: </w:t>
      </w:r>
    </w:p>
    <w:p w:rsidR="00A801F3" w:rsidRPr="00A801F3" w:rsidRDefault="00A801F3" w:rsidP="00A801F3">
      <w:pPr>
        <w:spacing w:line="276" w:lineRule="auto"/>
        <w:ind w:firstLine="1701"/>
        <w:jc w:val="both"/>
        <w:rPr>
          <w:rFonts w:ascii="Arial" w:hAnsi="Arial" w:cs="Arial"/>
          <w:sz w:val="22"/>
          <w:szCs w:val="18"/>
          <w:lang w:val="es-CL" w:eastAsia="es-MX"/>
        </w:rPr>
      </w:pPr>
    </w:p>
    <w:p w:rsidR="00A801F3" w:rsidRPr="00A801F3" w:rsidRDefault="00A801F3" w:rsidP="00874793">
      <w:pPr>
        <w:numPr>
          <w:ilvl w:val="0"/>
          <w:numId w:val="25"/>
        </w:numPr>
        <w:pBdr>
          <w:top w:val="none" w:sz="4" w:space="0" w:color="000000"/>
          <w:left w:val="none" w:sz="4" w:space="0" w:color="000000"/>
          <w:bottom w:val="none" w:sz="4" w:space="0" w:color="000000"/>
          <w:right w:val="none" w:sz="4" w:space="0" w:color="000000"/>
          <w:between w:val="none" w:sz="4" w:space="0" w:color="000000"/>
        </w:pBdr>
        <w:spacing w:after="200" w:line="276" w:lineRule="auto"/>
        <w:ind w:left="0" w:firstLine="1701"/>
        <w:contextualSpacing/>
        <w:jc w:val="both"/>
        <w:rPr>
          <w:rFonts w:ascii="Arial" w:eastAsia="Arial" w:hAnsi="Arial" w:cs="Arial"/>
          <w:sz w:val="22"/>
          <w:szCs w:val="18"/>
          <w:lang w:val="es-ES" w:eastAsia="en-US"/>
        </w:rPr>
      </w:pPr>
      <w:r w:rsidRPr="00A801F3">
        <w:rPr>
          <w:rFonts w:ascii="Arial" w:eastAsia="Arial" w:hAnsi="Arial" w:cs="Arial"/>
          <w:sz w:val="22"/>
          <w:szCs w:val="18"/>
          <w:lang w:val="es-ES" w:eastAsia="en-US"/>
        </w:rPr>
        <w:t>Tamaño del fondo</w:t>
      </w:r>
    </w:p>
    <w:p w:rsidR="00A801F3" w:rsidRPr="00A801F3" w:rsidRDefault="00A801F3" w:rsidP="00874793">
      <w:pPr>
        <w:numPr>
          <w:ilvl w:val="0"/>
          <w:numId w:val="25"/>
        </w:numPr>
        <w:pBdr>
          <w:top w:val="none" w:sz="4" w:space="0" w:color="000000"/>
          <w:left w:val="none" w:sz="4" w:space="0" w:color="000000"/>
          <w:bottom w:val="none" w:sz="4" w:space="0" w:color="000000"/>
          <w:right w:val="none" w:sz="4" w:space="0" w:color="000000"/>
          <w:between w:val="none" w:sz="4" w:space="0" w:color="000000"/>
        </w:pBdr>
        <w:spacing w:after="200" w:line="276" w:lineRule="auto"/>
        <w:ind w:left="0" w:firstLine="1701"/>
        <w:contextualSpacing/>
        <w:jc w:val="both"/>
        <w:rPr>
          <w:rFonts w:ascii="Arial" w:eastAsia="Arial" w:hAnsi="Arial" w:cs="Arial"/>
          <w:sz w:val="22"/>
          <w:szCs w:val="18"/>
          <w:lang w:val="es-ES" w:eastAsia="en-US"/>
        </w:rPr>
      </w:pPr>
      <w:r w:rsidRPr="00A801F3">
        <w:rPr>
          <w:rFonts w:ascii="Arial" w:eastAsia="Arial" w:hAnsi="Arial" w:cs="Arial"/>
          <w:sz w:val="22"/>
          <w:szCs w:val="18"/>
          <w:lang w:val="es-ES" w:eastAsia="en-US"/>
        </w:rPr>
        <w:t>Proyección de consumo esperado en las próximas 12 semanas</w:t>
      </w:r>
    </w:p>
    <w:p w:rsidR="00A801F3" w:rsidRPr="00A801F3" w:rsidRDefault="00A801F3" w:rsidP="00874793">
      <w:pPr>
        <w:numPr>
          <w:ilvl w:val="0"/>
          <w:numId w:val="25"/>
        </w:numPr>
        <w:pBdr>
          <w:top w:val="none" w:sz="4" w:space="0" w:color="000000"/>
          <w:left w:val="none" w:sz="4" w:space="0" w:color="000000"/>
          <w:bottom w:val="none" w:sz="4" w:space="0" w:color="000000"/>
          <w:right w:val="none" w:sz="4" w:space="0" w:color="000000"/>
          <w:between w:val="none" w:sz="4" w:space="0" w:color="000000"/>
        </w:pBdr>
        <w:spacing w:after="200" w:line="276" w:lineRule="auto"/>
        <w:ind w:left="0" w:firstLine="1701"/>
        <w:contextualSpacing/>
        <w:jc w:val="both"/>
        <w:rPr>
          <w:rFonts w:ascii="Arial" w:eastAsia="Arial" w:hAnsi="Arial" w:cs="Arial"/>
          <w:sz w:val="22"/>
          <w:szCs w:val="18"/>
          <w:lang w:val="es-ES" w:eastAsia="en-US"/>
        </w:rPr>
      </w:pPr>
      <w:r w:rsidRPr="00A801F3">
        <w:rPr>
          <w:rFonts w:ascii="Arial" w:eastAsia="Arial" w:hAnsi="Arial" w:cs="Arial"/>
          <w:sz w:val="22"/>
          <w:szCs w:val="18"/>
          <w:lang w:val="es-ES" w:eastAsia="en-US"/>
        </w:rPr>
        <w:t>Magnitud del crédito inicial.</w:t>
      </w:r>
    </w:p>
    <w:p w:rsidR="00A801F3" w:rsidRPr="00A801F3" w:rsidRDefault="00A801F3" w:rsidP="00874793">
      <w:pPr>
        <w:spacing w:line="276" w:lineRule="auto"/>
        <w:ind w:firstLine="1701"/>
        <w:jc w:val="both"/>
        <w:rPr>
          <w:rFonts w:ascii="Arial" w:hAnsi="Arial" w:cs="Arial"/>
          <w:sz w:val="22"/>
          <w:szCs w:val="22"/>
          <w:lang w:val="es-CL" w:eastAsia="es-MX"/>
        </w:rPr>
      </w:pPr>
      <w:r w:rsidRPr="00A801F3">
        <w:rPr>
          <w:rFonts w:ascii="Arial" w:hAnsi="Arial" w:cs="Arial"/>
          <w:sz w:val="22"/>
          <w:szCs w:val="18"/>
          <w:lang w:val="es-CL" w:eastAsia="es-MX"/>
        </w:rPr>
        <w:t xml:space="preserve">Lo anterior implica que, en caso de que los recursos disponibles del fondo se reduzcan sustantivamente, el monto que se puede subsidiar también disminuiría. </w:t>
      </w:r>
    </w:p>
    <w:p w:rsidR="00A801F3" w:rsidRPr="00A801F3" w:rsidRDefault="00A801F3" w:rsidP="00874793">
      <w:pPr>
        <w:numPr>
          <w:ilvl w:val="0"/>
          <w:numId w:val="21"/>
        </w:numPr>
        <w:pBdr>
          <w:bottom w:val="single" w:sz="4" w:space="0" w:color="auto"/>
        </w:pBdr>
        <w:spacing w:after="200" w:line="276" w:lineRule="auto"/>
        <w:ind w:left="0" w:firstLine="1701"/>
        <w:contextualSpacing/>
        <w:jc w:val="both"/>
        <w:rPr>
          <w:rFonts w:ascii="Arial" w:eastAsia="Arial" w:hAnsi="Arial" w:cs="Arial"/>
          <w:b/>
          <w:bCs/>
          <w:sz w:val="24"/>
          <w:szCs w:val="24"/>
          <w:lang w:val="es-ES" w:eastAsia="en-US"/>
        </w:rPr>
      </w:pPr>
      <w:r w:rsidRPr="00A801F3">
        <w:rPr>
          <w:rFonts w:ascii="Arial" w:eastAsia="Arial" w:hAnsi="Arial" w:cs="Arial"/>
          <w:b/>
          <w:bCs/>
          <w:sz w:val="24"/>
          <w:szCs w:val="24"/>
          <w:lang w:val="es-ES" w:eastAsia="en-US"/>
        </w:rPr>
        <w:t xml:space="preserve">Boletín 14.945-05: Proyecto de Ley que modifica la Ley N° 19.030 que Crea el Fondo de Estabilización de Precios del Petróleo con el objeto incrementar sus recursos. </w:t>
      </w:r>
    </w:p>
    <w:p w:rsidR="00A801F3" w:rsidRPr="00A801F3" w:rsidRDefault="00A801F3" w:rsidP="00A801F3">
      <w:pPr>
        <w:spacing w:line="276" w:lineRule="auto"/>
        <w:ind w:firstLine="1701"/>
        <w:jc w:val="both"/>
        <w:rPr>
          <w:rFonts w:ascii="Arial" w:hAnsi="Arial" w:cs="Arial"/>
          <w:sz w:val="22"/>
          <w:szCs w:val="22"/>
          <w:lang w:val="es-CL" w:eastAsia="es-MX"/>
        </w:rPr>
      </w:pPr>
    </w:p>
    <w:p w:rsidR="00A801F3" w:rsidRPr="00A801F3" w:rsidRDefault="00A801F3" w:rsidP="00A801F3">
      <w:pPr>
        <w:spacing w:line="276" w:lineRule="auto"/>
        <w:ind w:firstLine="1701"/>
        <w:jc w:val="both"/>
        <w:rPr>
          <w:rFonts w:ascii="Arial" w:hAnsi="Arial" w:cs="Arial"/>
          <w:sz w:val="22"/>
          <w:szCs w:val="22"/>
          <w:lang w:val="es-CL" w:eastAsia="es-MX"/>
        </w:rPr>
      </w:pPr>
      <w:r w:rsidRPr="00A801F3">
        <w:rPr>
          <w:rFonts w:ascii="Arial" w:hAnsi="Arial" w:cs="Arial"/>
          <w:sz w:val="22"/>
          <w:szCs w:val="22"/>
          <w:lang w:val="es-CL" w:eastAsia="es-MX"/>
        </w:rPr>
        <w:t>El proyecto de Ley contenido en el Boletín 14.945-05 considera la inyección de US$40 millones al FEPP con el propósito de disminuir el precio de la parafina. La inyección de recursos al FEPP tiene en consideración que Chile es un país importador neto de energía, lo cual lo expone a las volatilidades de los mercados internacionales, tal como ha quedado en evidencia a partir del fuerte impacto por el contexto macroeconómico de la invasión de Rusia a Ucrania</w:t>
      </w:r>
      <w:r w:rsidRPr="00A801F3">
        <w:rPr>
          <w:rFonts w:ascii="Arial" w:hAnsi="Arial" w:cs="Arial"/>
          <w:sz w:val="22"/>
          <w:vertAlign w:val="superscript"/>
          <w:lang w:val="es-CL" w:eastAsia="es-MX"/>
        </w:rPr>
        <w:footnoteReference w:id="11"/>
      </w:r>
      <w:r w:rsidRPr="00A801F3">
        <w:rPr>
          <w:rFonts w:ascii="Arial" w:hAnsi="Arial" w:cs="Arial"/>
          <w:sz w:val="22"/>
          <w:szCs w:val="22"/>
          <w:lang w:val="es-CL" w:eastAsia="es-MX"/>
        </w:rPr>
        <w:t xml:space="preserve">.  </w:t>
      </w:r>
    </w:p>
    <w:p w:rsidR="00A801F3" w:rsidRPr="00A801F3" w:rsidRDefault="00A801F3" w:rsidP="00A801F3">
      <w:pPr>
        <w:spacing w:line="276" w:lineRule="auto"/>
        <w:ind w:firstLine="1701"/>
        <w:jc w:val="both"/>
        <w:rPr>
          <w:rFonts w:ascii="Arial" w:hAnsi="Arial" w:cs="Arial"/>
          <w:sz w:val="22"/>
          <w:szCs w:val="22"/>
          <w:lang w:val="es-CL" w:eastAsia="es-MX"/>
        </w:rPr>
      </w:pPr>
    </w:p>
    <w:p w:rsidR="00A801F3" w:rsidRPr="00A801F3" w:rsidRDefault="00A801F3" w:rsidP="00A801F3">
      <w:pPr>
        <w:spacing w:line="276" w:lineRule="auto"/>
        <w:ind w:firstLine="1701"/>
        <w:jc w:val="both"/>
        <w:rPr>
          <w:rFonts w:ascii="Arial" w:hAnsi="Arial" w:cs="Arial"/>
          <w:sz w:val="22"/>
          <w:szCs w:val="22"/>
          <w:lang w:val="es-CL" w:eastAsia="es-MX"/>
        </w:rPr>
      </w:pPr>
      <w:r w:rsidRPr="00A801F3">
        <w:rPr>
          <w:rFonts w:ascii="Arial" w:hAnsi="Arial" w:cs="Arial"/>
          <w:sz w:val="22"/>
          <w:szCs w:val="22"/>
          <w:lang w:val="es-CL" w:eastAsia="es-MX"/>
        </w:rPr>
        <w:t>De acuerdo a información del Ministerio de Hacienda (2022), la necesidad de inyectar recursos al Fondo de Estabilización de Precios del Petróleo surge por los altos precios en el kerosene  y, particularmente debido a que, tras la aplicación del Factor de Ajuste, el crédito ha disminuido sistemáticamente. Por ejemplo, según destacó el Ministerio de Hacienda (2022), en la semana del 26 de abril de 2022, el crédito se encontraba reducido a un 24%, explicado por el tamaño limitado de recursos disponibles del FEPP</w:t>
      </w:r>
      <w:r w:rsidRPr="00A801F3">
        <w:rPr>
          <w:rFonts w:ascii="Arial" w:hAnsi="Arial" w:cs="Arial"/>
          <w:sz w:val="22"/>
          <w:vertAlign w:val="superscript"/>
          <w:lang w:val="es-CL" w:eastAsia="es-MX"/>
        </w:rPr>
        <w:footnoteReference w:id="12"/>
      </w:r>
      <w:r w:rsidRPr="00A801F3">
        <w:rPr>
          <w:rFonts w:ascii="Arial" w:hAnsi="Arial" w:cs="Arial"/>
          <w:sz w:val="22"/>
          <w:szCs w:val="22"/>
          <w:lang w:val="es-CL" w:eastAsia="es-MX"/>
        </w:rPr>
        <w:t xml:space="preserve">. </w:t>
      </w:r>
    </w:p>
    <w:p w:rsidR="00A801F3" w:rsidRPr="00A801F3" w:rsidRDefault="00A801F3" w:rsidP="00A801F3">
      <w:pPr>
        <w:spacing w:line="276" w:lineRule="auto"/>
        <w:ind w:firstLine="1701"/>
        <w:jc w:val="both"/>
        <w:rPr>
          <w:rFonts w:ascii="Arial" w:hAnsi="Arial" w:cs="Arial"/>
          <w:sz w:val="22"/>
          <w:szCs w:val="22"/>
          <w:lang w:val="es-CL" w:eastAsia="es-MX"/>
        </w:rPr>
      </w:pPr>
    </w:p>
    <w:p w:rsidR="00A801F3" w:rsidRPr="00A801F3" w:rsidRDefault="00A801F3" w:rsidP="00A801F3">
      <w:pPr>
        <w:spacing w:line="276" w:lineRule="auto"/>
        <w:ind w:firstLine="1701"/>
        <w:jc w:val="both"/>
        <w:rPr>
          <w:rFonts w:ascii="Arial" w:hAnsi="Arial" w:cs="Arial"/>
          <w:sz w:val="22"/>
          <w:szCs w:val="22"/>
          <w:lang w:val="es-CL" w:eastAsia="es-MX"/>
        </w:rPr>
      </w:pPr>
      <w:r w:rsidRPr="00A801F3">
        <w:rPr>
          <w:rFonts w:ascii="Arial" w:hAnsi="Arial" w:cs="Arial"/>
          <w:sz w:val="22"/>
          <w:szCs w:val="22"/>
          <w:lang w:val="es-CL" w:eastAsia="es-MX"/>
        </w:rPr>
        <w:t>El gráfico 1 da  cuenta de la disminución del crédito registrada a partir del mes de marzo de 2022, lo que como se explicó anteriormente, implica una menor disminución en los precios del kerosene doméstico.</w:t>
      </w:r>
    </w:p>
    <w:p w:rsidR="00A801F3" w:rsidRPr="00A801F3" w:rsidRDefault="00A801F3" w:rsidP="00A801F3">
      <w:pPr>
        <w:spacing w:line="276" w:lineRule="auto"/>
        <w:ind w:firstLine="1701"/>
        <w:jc w:val="both"/>
        <w:rPr>
          <w:rFonts w:ascii="Arial" w:hAnsi="Arial" w:cs="Arial"/>
          <w:sz w:val="22"/>
          <w:szCs w:val="22"/>
          <w:lang w:val="es-CL" w:eastAsia="es-MX"/>
        </w:rPr>
      </w:pPr>
    </w:p>
    <w:p w:rsidR="00A801F3" w:rsidRPr="00A801F3" w:rsidRDefault="00A801F3" w:rsidP="00A801F3">
      <w:pPr>
        <w:spacing w:line="276" w:lineRule="auto"/>
        <w:ind w:firstLine="1701"/>
        <w:jc w:val="both"/>
        <w:rPr>
          <w:rFonts w:ascii="Arial" w:hAnsi="Arial" w:cs="Arial"/>
          <w:sz w:val="22"/>
          <w:szCs w:val="22"/>
          <w:lang w:val="es-CL" w:eastAsia="es-MX"/>
        </w:rPr>
      </w:pPr>
      <w:r w:rsidRPr="00A801F3">
        <w:rPr>
          <w:rFonts w:ascii="Arial" w:hAnsi="Arial" w:cs="Arial"/>
          <w:b/>
          <w:sz w:val="22"/>
          <w:szCs w:val="22"/>
          <w:lang w:val="es-CL" w:eastAsia="es-MX"/>
        </w:rPr>
        <w:t>Gráfico 1</w:t>
      </w:r>
      <w:r w:rsidRPr="00A801F3">
        <w:rPr>
          <w:rFonts w:ascii="Arial" w:hAnsi="Arial" w:cs="Arial"/>
          <w:sz w:val="22"/>
          <w:szCs w:val="22"/>
          <w:lang w:val="es-CL" w:eastAsia="es-MX"/>
        </w:rPr>
        <w:t>. Crédito fiscal semanalmente aplicado en el marco del FEPP, US$/m</w:t>
      </w:r>
      <w:r w:rsidRPr="00A801F3">
        <w:rPr>
          <w:rFonts w:ascii="Arial" w:hAnsi="Arial" w:cs="Arial"/>
          <w:sz w:val="22"/>
          <w:szCs w:val="22"/>
          <w:vertAlign w:val="superscript"/>
          <w:lang w:val="es-CL" w:eastAsia="es-MX"/>
        </w:rPr>
        <w:t>3</w:t>
      </w:r>
      <w:r w:rsidRPr="00A801F3">
        <w:rPr>
          <w:rFonts w:ascii="Arial" w:hAnsi="Arial" w:cs="Arial"/>
          <w:sz w:val="22"/>
          <w:szCs w:val="22"/>
          <w:lang w:val="es-CL" w:eastAsia="es-MX"/>
        </w:rPr>
        <w:t>. Marzo a mayo de 2022.</w:t>
      </w:r>
    </w:p>
    <w:p w:rsidR="00A801F3" w:rsidRPr="00A801F3" w:rsidRDefault="00A801F3" w:rsidP="00874793">
      <w:pPr>
        <w:spacing w:line="276" w:lineRule="auto"/>
        <w:jc w:val="center"/>
        <w:rPr>
          <w:rFonts w:ascii="Arial" w:hAnsi="Arial" w:cs="Arial"/>
          <w:sz w:val="22"/>
          <w:szCs w:val="22"/>
          <w:lang w:val="es-CL" w:eastAsia="es-MX"/>
        </w:rPr>
      </w:pPr>
      <w:r w:rsidRPr="00A801F3">
        <w:rPr>
          <w:rFonts w:ascii="Arial" w:hAnsi="Arial" w:cs="Arial"/>
          <w:noProof/>
          <w:sz w:val="24"/>
          <w:szCs w:val="24"/>
          <w:lang w:val="es-ES"/>
        </w:rPr>
        <w:lastRenderedPageBreak/>
        <w:drawing>
          <wp:inline distT="0" distB="0" distL="0" distR="0">
            <wp:extent cx="4362450" cy="1838325"/>
            <wp:effectExtent l="0" t="0" r="0" b="0"/>
            <wp:docPr id="1"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801F3" w:rsidRPr="00A801F3" w:rsidRDefault="00A801F3" w:rsidP="00A801F3">
      <w:pPr>
        <w:spacing w:line="276" w:lineRule="auto"/>
        <w:ind w:firstLine="1701"/>
        <w:jc w:val="both"/>
        <w:rPr>
          <w:rFonts w:ascii="Arial" w:hAnsi="Arial" w:cs="Arial"/>
          <w:szCs w:val="22"/>
          <w:lang w:val="es-CL" w:eastAsia="es-MX"/>
        </w:rPr>
      </w:pPr>
      <w:r w:rsidRPr="00A801F3">
        <w:rPr>
          <w:rFonts w:ascii="Arial" w:hAnsi="Arial" w:cs="Arial"/>
          <w:b/>
          <w:szCs w:val="22"/>
          <w:lang w:val="es-CL" w:eastAsia="es-MX"/>
        </w:rPr>
        <w:t>Fuente</w:t>
      </w:r>
      <w:r w:rsidRPr="00A801F3">
        <w:rPr>
          <w:rFonts w:ascii="Arial" w:hAnsi="Arial" w:cs="Arial"/>
          <w:szCs w:val="22"/>
          <w:lang w:val="es-CL" w:eastAsia="es-MX"/>
        </w:rPr>
        <w:t>: Servicio de Impuestos Internos (SII, 2022)</w:t>
      </w:r>
    </w:p>
    <w:p w:rsidR="00A801F3" w:rsidRPr="00A801F3" w:rsidRDefault="00A801F3" w:rsidP="00A801F3">
      <w:pPr>
        <w:spacing w:line="276" w:lineRule="auto"/>
        <w:ind w:firstLine="1701"/>
        <w:jc w:val="both"/>
        <w:rPr>
          <w:rFonts w:ascii="Arial" w:hAnsi="Arial" w:cs="Arial"/>
          <w:sz w:val="22"/>
          <w:szCs w:val="22"/>
          <w:lang w:val="es-CL" w:eastAsia="es-MX"/>
        </w:rPr>
      </w:pPr>
    </w:p>
    <w:p w:rsidR="00A801F3" w:rsidRPr="00A801F3" w:rsidRDefault="00A801F3" w:rsidP="00A801F3">
      <w:pPr>
        <w:spacing w:line="276" w:lineRule="auto"/>
        <w:ind w:firstLine="1701"/>
        <w:jc w:val="both"/>
        <w:rPr>
          <w:rFonts w:ascii="Arial" w:hAnsi="Arial" w:cs="Arial"/>
          <w:sz w:val="22"/>
          <w:szCs w:val="22"/>
          <w:lang w:val="es-CL" w:eastAsia="es-MX"/>
        </w:rPr>
      </w:pPr>
      <w:r w:rsidRPr="00A801F3">
        <w:rPr>
          <w:rFonts w:ascii="Arial" w:hAnsi="Arial" w:cs="Arial"/>
          <w:sz w:val="22"/>
          <w:szCs w:val="22"/>
          <w:lang w:val="es-CL" w:eastAsia="es-MX"/>
        </w:rPr>
        <w:t>La inyección de recursos al FEPP, permitiría alcanzar un fondo equivalente a US$ 44 millones. Dicho permitiría aumentar el crédito y, según lo estimado por el Ministerio de Hacienda (2022), el precio estimado del kerosene se mantendría en torno a $1000. Adicionalmente, el crédito subiría desde $ 42,5 por litro a $ 277/litros.</w:t>
      </w:r>
    </w:p>
    <w:p w:rsidR="00A801F3" w:rsidRPr="00A801F3" w:rsidRDefault="00A801F3" w:rsidP="00A801F3">
      <w:pPr>
        <w:widowControl w:val="0"/>
        <w:autoSpaceDE w:val="0"/>
        <w:autoSpaceDN w:val="0"/>
        <w:adjustRightInd w:val="0"/>
        <w:spacing w:line="276" w:lineRule="auto"/>
        <w:ind w:firstLine="1701"/>
        <w:jc w:val="both"/>
        <w:rPr>
          <w:rFonts w:ascii="Arial" w:eastAsia="Calibri" w:hAnsi="Arial" w:cs="Arial"/>
          <w:b/>
          <w:sz w:val="22"/>
          <w:szCs w:val="22"/>
          <w:lang w:eastAsia="en-US"/>
        </w:rPr>
      </w:pPr>
    </w:p>
    <w:p w:rsidR="00F030DA" w:rsidRPr="00A9672C" w:rsidRDefault="00F030DA"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9137CA" w:rsidRPr="00A9672C" w:rsidRDefault="00A801F3" w:rsidP="00A9672C">
      <w:pPr>
        <w:widowControl w:val="0"/>
        <w:autoSpaceDE w:val="0"/>
        <w:autoSpaceDN w:val="0"/>
        <w:spacing w:line="276" w:lineRule="auto"/>
        <w:jc w:val="both"/>
        <w:rPr>
          <w:rFonts w:ascii="Arial" w:eastAsia="Tahoma" w:hAnsi="Arial" w:cs="Arial"/>
          <w:b/>
          <w:sz w:val="22"/>
          <w:szCs w:val="22"/>
          <w:lang w:val="es-CL" w:eastAsia="en-US"/>
        </w:rPr>
      </w:pPr>
      <w:r>
        <w:rPr>
          <w:rFonts w:ascii="Arial" w:eastAsia="Tahoma" w:hAnsi="Arial" w:cs="Arial"/>
          <w:b/>
          <w:sz w:val="22"/>
          <w:szCs w:val="22"/>
          <w:lang w:val="es-CL" w:eastAsia="en-US"/>
        </w:rPr>
        <w:t>IV</w:t>
      </w:r>
      <w:r w:rsidR="00B5358C" w:rsidRPr="00A9672C">
        <w:rPr>
          <w:rFonts w:ascii="Arial" w:eastAsia="Tahoma" w:hAnsi="Arial" w:cs="Arial"/>
          <w:b/>
          <w:sz w:val="22"/>
          <w:szCs w:val="22"/>
          <w:lang w:val="es-CL" w:eastAsia="en-US"/>
        </w:rPr>
        <w:t>.- INCIDENCIA EN MATERIA FINANCIERA O PRESUPUESTARIA DEL ESTADO</w:t>
      </w:r>
    </w:p>
    <w:p w:rsidR="0095662C" w:rsidRDefault="0095662C" w:rsidP="00F030DA">
      <w:pPr>
        <w:widowControl w:val="0"/>
        <w:autoSpaceDE w:val="0"/>
        <w:autoSpaceDN w:val="0"/>
        <w:adjustRightInd w:val="0"/>
        <w:spacing w:line="276" w:lineRule="auto"/>
        <w:ind w:firstLine="1701"/>
        <w:jc w:val="both"/>
        <w:rPr>
          <w:rFonts w:ascii="Arial" w:hAnsi="Arial" w:cs="Arial"/>
          <w:bCs/>
          <w:sz w:val="22"/>
          <w:szCs w:val="22"/>
          <w:lang w:val="es-CL"/>
        </w:rPr>
      </w:pPr>
    </w:p>
    <w:p w:rsidR="00E87F00" w:rsidRPr="00E87F00" w:rsidRDefault="00E87F00" w:rsidP="00E87F00">
      <w:pPr>
        <w:widowControl w:val="0"/>
        <w:autoSpaceDE w:val="0"/>
        <w:autoSpaceDN w:val="0"/>
        <w:adjustRightInd w:val="0"/>
        <w:spacing w:line="276" w:lineRule="auto"/>
        <w:ind w:firstLine="1701"/>
        <w:jc w:val="both"/>
        <w:rPr>
          <w:rFonts w:ascii="Arial" w:hAnsi="Arial" w:cs="Arial"/>
          <w:bCs/>
          <w:sz w:val="22"/>
          <w:szCs w:val="22"/>
          <w:lang w:val="es-CL"/>
        </w:rPr>
      </w:pPr>
      <w:r w:rsidRPr="00E87F00">
        <w:rPr>
          <w:rFonts w:ascii="Arial" w:hAnsi="Arial" w:cs="Arial"/>
          <w:bCs/>
          <w:sz w:val="22"/>
          <w:szCs w:val="22"/>
          <w:lang w:val="es-CL"/>
        </w:rPr>
        <w:t>El informe financiero N°056 de 2 de mayo del año en curso, elaborado por la Dirección de Presupuestos del Ministerio de Hacienda y que acompaña al Mensaje a su ingreso, indica lo siguiente en relación al efecto del proyecto en el presupuesto fiscal:</w:t>
      </w:r>
    </w:p>
    <w:p w:rsidR="00E87F00" w:rsidRPr="00E87F00" w:rsidRDefault="00E87F00" w:rsidP="00E87F00">
      <w:pPr>
        <w:widowControl w:val="0"/>
        <w:autoSpaceDE w:val="0"/>
        <w:autoSpaceDN w:val="0"/>
        <w:adjustRightInd w:val="0"/>
        <w:spacing w:line="276" w:lineRule="auto"/>
        <w:ind w:firstLine="1701"/>
        <w:jc w:val="both"/>
        <w:rPr>
          <w:rFonts w:ascii="Arial" w:hAnsi="Arial" w:cs="Arial"/>
          <w:bCs/>
          <w:sz w:val="22"/>
          <w:szCs w:val="22"/>
          <w:u w:val="single"/>
          <w:lang w:val="es-CL"/>
        </w:rPr>
      </w:pPr>
    </w:p>
    <w:p w:rsidR="00E87F00" w:rsidRPr="00A801F3" w:rsidRDefault="00E87F00" w:rsidP="00E87F00">
      <w:pPr>
        <w:spacing w:after="200" w:line="276" w:lineRule="auto"/>
        <w:ind w:firstLine="1701"/>
        <w:jc w:val="both"/>
        <w:rPr>
          <w:rFonts w:ascii="Arial" w:eastAsia="Calibri" w:hAnsi="Arial" w:cs="Arial"/>
          <w:b/>
          <w:sz w:val="22"/>
          <w:szCs w:val="22"/>
          <w:lang w:val="es-ES" w:eastAsia="en-US"/>
        </w:rPr>
      </w:pPr>
      <w:r w:rsidRPr="00A801F3">
        <w:rPr>
          <w:rFonts w:ascii="Arial" w:eastAsia="Calibri" w:hAnsi="Arial" w:cs="Arial"/>
          <w:b/>
          <w:sz w:val="22"/>
          <w:szCs w:val="22"/>
          <w:lang w:val="es-ES" w:eastAsia="en-US"/>
        </w:rPr>
        <w:t>1.-Creación del Fondo</w:t>
      </w:r>
    </w:p>
    <w:p w:rsidR="00E87F00" w:rsidRPr="00E87F00" w:rsidRDefault="00E87F00" w:rsidP="00E87F00">
      <w:pPr>
        <w:spacing w:after="200" w:line="276" w:lineRule="auto"/>
        <w:ind w:firstLine="1701"/>
        <w:jc w:val="both"/>
        <w:rPr>
          <w:rFonts w:ascii="Arial" w:hAnsi="Arial" w:cs="Arial"/>
          <w:bCs/>
          <w:sz w:val="22"/>
          <w:szCs w:val="22"/>
          <w:lang w:val="es-CL"/>
        </w:rPr>
      </w:pPr>
      <w:r w:rsidRPr="00E87F00">
        <w:rPr>
          <w:rFonts w:ascii="Arial" w:hAnsi="Arial" w:cs="Arial"/>
          <w:bCs/>
          <w:sz w:val="22"/>
          <w:szCs w:val="22"/>
          <w:lang w:val="es-CL"/>
        </w:rPr>
        <w:t xml:space="preserve">El Fondo de Estabilización de Precios del Petróleo (FEPP) fue creado en 1991 con el objetivo principal de dar estabilidad a los precios internos de los combustibles (gasolina automotriz, petróleo </w:t>
      </w:r>
      <w:proofErr w:type="spellStart"/>
      <w:r w:rsidRPr="00E87F00">
        <w:rPr>
          <w:rFonts w:ascii="Arial" w:hAnsi="Arial" w:cs="Arial"/>
          <w:bCs/>
          <w:sz w:val="22"/>
          <w:szCs w:val="22"/>
          <w:lang w:val="es-CL"/>
        </w:rPr>
        <w:t>diésel</w:t>
      </w:r>
      <w:proofErr w:type="spellEnd"/>
      <w:r w:rsidRPr="00E87F00">
        <w:rPr>
          <w:rFonts w:ascii="Arial" w:hAnsi="Arial" w:cs="Arial"/>
          <w:bCs/>
          <w:sz w:val="22"/>
          <w:szCs w:val="22"/>
          <w:lang w:val="es-CL"/>
        </w:rPr>
        <w:t>, gas licuado, nafta y petróleos combustibles), aislándolos así de la volatilidad de corto plazo que afecta a los precios internacionales.</w:t>
      </w:r>
    </w:p>
    <w:p w:rsidR="00E87F00" w:rsidRPr="00E87F00" w:rsidRDefault="00E87F00" w:rsidP="00E87F00">
      <w:pPr>
        <w:spacing w:after="200" w:line="276" w:lineRule="auto"/>
        <w:ind w:firstLine="1701"/>
        <w:jc w:val="both"/>
        <w:rPr>
          <w:rFonts w:ascii="Arial" w:hAnsi="Arial" w:cs="Arial"/>
          <w:b/>
          <w:bCs/>
          <w:sz w:val="22"/>
          <w:szCs w:val="22"/>
          <w:lang w:val="es-CL"/>
        </w:rPr>
      </w:pPr>
      <w:r w:rsidRPr="00E87F00">
        <w:rPr>
          <w:rFonts w:ascii="Arial" w:hAnsi="Arial" w:cs="Arial"/>
          <w:b/>
          <w:bCs/>
          <w:sz w:val="22"/>
          <w:szCs w:val="22"/>
          <w:lang w:val="es-CL"/>
        </w:rPr>
        <w:t>2.-Incorporación del kerosene doméstico</w:t>
      </w:r>
    </w:p>
    <w:p w:rsidR="00E87F00" w:rsidRPr="00E87F00" w:rsidRDefault="00E87F00" w:rsidP="00E87F00">
      <w:pPr>
        <w:spacing w:after="200" w:line="276" w:lineRule="auto"/>
        <w:ind w:firstLine="1701"/>
        <w:jc w:val="both"/>
        <w:rPr>
          <w:rFonts w:ascii="Arial" w:hAnsi="Arial" w:cs="Arial"/>
          <w:bCs/>
          <w:sz w:val="22"/>
          <w:szCs w:val="22"/>
          <w:lang w:val="es-CL"/>
        </w:rPr>
      </w:pPr>
      <w:r w:rsidRPr="00E87F00">
        <w:rPr>
          <w:rFonts w:ascii="Arial" w:hAnsi="Arial" w:cs="Arial"/>
          <w:bCs/>
          <w:sz w:val="22"/>
          <w:szCs w:val="22"/>
          <w:lang w:val="es-CL"/>
        </w:rPr>
        <w:t xml:space="preserve"> En el año 2011 se promulgó la Ley Nº 20.493 que modificó el FEPP ratificando su aplicación exclusiva para el combustible kerosene doméstico.</w:t>
      </w:r>
    </w:p>
    <w:p w:rsidR="00E87F00" w:rsidRPr="00E87F00" w:rsidRDefault="00E87F00" w:rsidP="00E87F00">
      <w:pPr>
        <w:spacing w:after="200" w:line="276" w:lineRule="auto"/>
        <w:ind w:firstLine="1701"/>
        <w:jc w:val="both"/>
        <w:rPr>
          <w:rFonts w:ascii="Arial" w:hAnsi="Arial" w:cs="Arial"/>
          <w:b/>
          <w:bCs/>
          <w:sz w:val="22"/>
          <w:szCs w:val="22"/>
          <w:lang w:val="es-CL"/>
        </w:rPr>
      </w:pPr>
      <w:r w:rsidRPr="00E87F00">
        <w:rPr>
          <w:rFonts w:ascii="Arial" w:hAnsi="Arial" w:cs="Arial"/>
          <w:b/>
          <w:bCs/>
          <w:sz w:val="22"/>
          <w:szCs w:val="22"/>
          <w:lang w:val="es-CL"/>
        </w:rPr>
        <w:t>3.- Funcionamiento del Fondo</w:t>
      </w:r>
    </w:p>
    <w:p w:rsidR="00E87F00" w:rsidRPr="00E87F00" w:rsidRDefault="00E87F00" w:rsidP="00E87F00">
      <w:pPr>
        <w:widowControl w:val="0"/>
        <w:autoSpaceDE w:val="0"/>
        <w:autoSpaceDN w:val="0"/>
        <w:spacing w:line="278" w:lineRule="auto"/>
        <w:ind w:right="51" w:firstLine="1701"/>
        <w:jc w:val="both"/>
        <w:rPr>
          <w:rFonts w:ascii="Arial" w:hAnsi="Arial" w:cs="Arial"/>
          <w:bCs/>
          <w:sz w:val="22"/>
          <w:szCs w:val="22"/>
          <w:lang w:val="es-CL"/>
        </w:rPr>
      </w:pPr>
      <w:r w:rsidRPr="00E87F00">
        <w:rPr>
          <w:rFonts w:ascii="Arial" w:hAnsi="Arial" w:cs="Arial"/>
          <w:bCs/>
          <w:sz w:val="22"/>
          <w:szCs w:val="22"/>
          <w:lang w:val="es-CL"/>
        </w:rPr>
        <w:t>Respecto al funcionamiento del Fondo, la ley indica que se determinan los precios de referencia intermedios a aplicar considerando, por un lado las expectativas del precio de largo plazo, y por otra, la evolución histórica de ellos. En base a estos precios se estimaría una banda, que contemplaría un precio inferior, intermedio y superior.</w:t>
      </w:r>
    </w:p>
    <w:p w:rsidR="00E87F00" w:rsidRPr="00E87F00" w:rsidRDefault="00E87F00" w:rsidP="00E87F00">
      <w:pPr>
        <w:widowControl w:val="0"/>
        <w:autoSpaceDE w:val="0"/>
        <w:autoSpaceDN w:val="0"/>
        <w:spacing w:line="278" w:lineRule="auto"/>
        <w:ind w:right="51" w:firstLine="1701"/>
        <w:jc w:val="both"/>
        <w:rPr>
          <w:rFonts w:ascii="Arial" w:hAnsi="Arial" w:cs="Arial"/>
          <w:bCs/>
          <w:sz w:val="22"/>
          <w:szCs w:val="22"/>
          <w:lang w:val="es-CL"/>
        </w:rPr>
      </w:pPr>
    </w:p>
    <w:p w:rsidR="00E87F00" w:rsidRPr="00E87F00" w:rsidRDefault="00E87F00" w:rsidP="00E87F00">
      <w:pPr>
        <w:widowControl w:val="0"/>
        <w:autoSpaceDE w:val="0"/>
        <w:autoSpaceDN w:val="0"/>
        <w:spacing w:line="278" w:lineRule="auto"/>
        <w:ind w:right="51" w:firstLine="1701"/>
        <w:jc w:val="both"/>
        <w:rPr>
          <w:rFonts w:ascii="Arial" w:hAnsi="Arial" w:cs="Arial"/>
          <w:b/>
          <w:bCs/>
          <w:sz w:val="22"/>
          <w:szCs w:val="22"/>
          <w:lang w:val="es-CL"/>
        </w:rPr>
      </w:pPr>
      <w:r w:rsidRPr="00E87F00">
        <w:rPr>
          <w:rFonts w:ascii="Arial" w:hAnsi="Arial" w:cs="Arial"/>
          <w:b/>
          <w:bCs/>
          <w:sz w:val="22"/>
          <w:szCs w:val="22"/>
          <w:lang w:val="es-CL"/>
        </w:rPr>
        <w:t>4.-Cálculo de la banda de precios</w:t>
      </w:r>
    </w:p>
    <w:p w:rsidR="00E87F00" w:rsidRPr="00E87F00" w:rsidRDefault="00E87F00" w:rsidP="00E87F00">
      <w:pPr>
        <w:widowControl w:val="0"/>
        <w:autoSpaceDE w:val="0"/>
        <w:autoSpaceDN w:val="0"/>
        <w:ind w:right="51" w:firstLine="1701"/>
        <w:rPr>
          <w:rFonts w:ascii="Arial" w:hAnsi="Arial" w:cs="Arial"/>
          <w:bCs/>
          <w:sz w:val="22"/>
          <w:szCs w:val="22"/>
          <w:lang w:val="es-CL"/>
        </w:rPr>
      </w:pPr>
    </w:p>
    <w:p w:rsidR="00E87F00" w:rsidRPr="00E87F00" w:rsidRDefault="00E87F00" w:rsidP="00E87F00">
      <w:pPr>
        <w:widowControl w:val="0"/>
        <w:autoSpaceDE w:val="0"/>
        <w:autoSpaceDN w:val="0"/>
        <w:spacing w:line="278" w:lineRule="auto"/>
        <w:ind w:right="51" w:firstLine="1701"/>
        <w:jc w:val="both"/>
        <w:rPr>
          <w:rFonts w:ascii="Arial" w:hAnsi="Arial" w:cs="Arial"/>
          <w:bCs/>
          <w:sz w:val="22"/>
          <w:szCs w:val="22"/>
          <w:lang w:val="es-CL"/>
        </w:rPr>
      </w:pPr>
      <w:r w:rsidRPr="00E87F00">
        <w:rPr>
          <w:rFonts w:ascii="Arial" w:hAnsi="Arial" w:cs="Arial"/>
          <w:bCs/>
          <w:sz w:val="22"/>
          <w:szCs w:val="22"/>
          <w:lang w:val="es-CL"/>
        </w:rPr>
        <w:t xml:space="preserve">Si el precio de paridad, que corresponde al observado en mercados </w:t>
      </w:r>
      <w:r w:rsidRPr="00E87F00">
        <w:rPr>
          <w:rFonts w:ascii="Arial" w:hAnsi="Arial" w:cs="Arial"/>
          <w:bCs/>
          <w:sz w:val="22"/>
          <w:szCs w:val="22"/>
          <w:lang w:val="es-CL"/>
        </w:rPr>
        <w:lastRenderedPageBreak/>
        <w:t>internacionales puestos en el Puerto de Quintero, está por debajo de la banda de referencia, se impone un impuesto cuyo monto es la diferencia entre el precio inferior de la banda de referencia y el precio de paridad. Si sucede lo contrario, se establece un crédito fiscal equivalente al monto de la diferencia esta vez entre el precio de paridad y el de referencia superior.</w:t>
      </w:r>
    </w:p>
    <w:p w:rsidR="00E87F00" w:rsidRPr="00E87F00" w:rsidRDefault="00E87F00" w:rsidP="00E87F00">
      <w:pPr>
        <w:widowControl w:val="0"/>
        <w:autoSpaceDE w:val="0"/>
        <w:autoSpaceDN w:val="0"/>
        <w:spacing w:line="225" w:lineRule="auto"/>
        <w:ind w:right="51" w:firstLine="1701"/>
        <w:jc w:val="both"/>
        <w:rPr>
          <w:rFonts w:ascii="Arial" w:hAnsi="Arial" w:cs="Arial"/>
          <w:bCs/>
          <w:sz w:val="22"/>
          <w:szCs w:val="22"/>
          <w:lang w:val="es-CL"/>
        </w:rPr>
      </w:pPr>
    </w:p>
    <w:p w:rsidR="00E87F00" w:rsidRDefault="00E87F00" w:rsidP="00E87F00">
      <w:pPr>
        <w:widowControl w:val="0"/>
        <w:autoSpaceDE w:val="0"/>
        <w:autoSpaceDN w:val="0"/>
        <w:spacing w:line="276" w:lineRule="auto"/>
        <w:ind w:right="51" w:firstLine="1701"/>
        <w:jc w:val="both"/>
        <w:rPr>
          <w:rFonts w:ascii="Arial" w:hAnsi="Arial" w:cs="Arial"/>
          <w:bCs/>
          <w:sz w:val="22"/>
          <w:szCs w:val="22"/>
          <w:lang w:val="es-CL"/>
        </w:rPr>
      </w:pPr>
      <w:r w:rsidRPr="00E87F00">
        <w:rPr>
          <w:rFonts w:ascii="Arial" w:hAnsi="Arial" w:cs="Arial"/>
          <w:bCs/>
          <w:sz w:val="22"/>
          <w:szCs w:val="22"/>
          <w:lang w:val="es-CL"/>
        </w:rPr>
        <w:t xml:space="preserve">Este valor además va ponderado por un factor de ajuste que refleja la sostenibilidad del Fondo para los próximos 12 meses, según la magnitud de los recursos disponibles, por lo tanto, sí se reducen sustantivamente los recursos disponibles del Fondo, el monto que financia también disminuye. En el caso que los recursos se acaben, el Fondo deja de operar entregando crédito fiscal. </w:t>
      </w:r>
    </w:p>
    <w:p w:rsidR="00E87F00" w:rsidRPr="00E87F00" w:rsidRDefault="00E87F00" w:rsidP="00E87F00">
      <w:pPr>
        <w:widowControl w:val="0"/>
        <w:autoSpaceDE w:val="0"/>
        <w:autoSpaceDN w:val="0"/>
        <w:spacing w:line="276" w:lineRule="auto"/>
        <w:ind w:right="51" w:firstLine="1701"/>
        <w:jc w:val="both"/>
        <w:rPr>
          <w:rFonts w:ascii="Arial" w:hAnsi="Arial" w:cs="Arial"/>
          <w:b/>
          <w:bCs/>
          <w:sz w:val="22"/>
          <w:szCs w:val="22"/>
          <w:lang w:val="es-CL"/>
        </w:rPr>
      </w:pPr>
      <w:r w:rsidRPr="00E87F00">
        <w:rPr>
          <w:rFonts w:ascii="Arial" w:hAnsi="Arial" w:cs="Arial"/>
          <w:b/>
          <w:bCs/>
          <w:sz w:val="22"/>
          <w:szCs w:val="22"/>
          <w:lang w:val="es-CL"/>
        </w:rPr>
        <w:t>Para la semana del 07 de abril del 2022, el Fondo disponible asciende a 4.219 miles de dólares.</w:t>
      </w:r>
    </w:p>
    <w:p w:rsidR="00A96796" w:rsidRDefault="00A96796" w:rsidP="00E87F00">
      <w:pPr>
        <w:keepNext/>
        <w:spacing w:before="240" w:line="276" w:lineRule="auto"/>
        <w:ind w:firstLine="1701"/>
        <w:jc w:val="both"/>
        <w:outlineLvl w:val="0"/>
        <w:rPr>
          <w:rFonts w:ascii="Arial" w:hAnsi="Arial" w:cs="Arial"/>
          <w:b/>
          <w:bCs/>
          <w:sz w:val="22"/>
          <w:szCs w:val="22"/>
          <w:lang w:val="es-CL"/>
        </w:rPr>
      </w:pPr>
    </w:p>
    <w:p w:rsidR="00E87F00" w:rsidRPr="00E87F00" w:rsidRDefault="00E87F00" w:rsidP="00E87F00">
      <w:pPr>
        <w:keepNext/>
        <w:spacing w:before="240" w:line="276" w:lineRule="auto"/>
        <w:ind w:firstLine="1701"/>
        <w:jc w:val="both"/>
        <w:outlineLvl w:val="0"/>
        <w:rPr>
          <w:rFonts w:ascii="Arial" w:hAnsi="Arial" w:cs="Arial"/>
          <w:b/>
          <w:bCs/>
          <w:sz w:val="22"/>
          <w:szCs w:val="22"/>
          <w:lang w:val="es-CL"/>
        </w:rPr>
      </w:pPr>
      <w:r w:rsidRPr="00E87F00">
        <w:rPr>
          <w:rFonts w:ascii="Arial" w:hAnsi="Arial" w:cs="Arial"/>
          <w:b/>
          <w:bCs/>
          <w:sz w:val="22"/>
          <w:szCs w:val="22"/>
          <w:lang w:val="es-CL"/>
        </w:rPr>
        <w:t>EFECTO DEL PROYECTO DE LEY SOBRE EL PRESUPUESTO FISCAL</w:t>
      </w:r>
      <w:r w:rsidRPr="00E87F00">
        <w:rPr>
          <w:rFonts w:ascii="Arial" w:hAnsi="Arial" w:cs="Arial"/>
          <w:b/>
          <w:bCs/>
          <w:sz w:val="22"/>
          <w:szCs w:val="22"/>
          <w:vertAlign w:val="superscript"/>
          <w:lang w:val="es-CL"/>
        </w:rPr>
        <w:footnoteReference w:id="13"/>
      </w:r>
      <w:r w:rsidRPr="00E87F00">
        <w:rPr>
          <w:rFonts w:ascii="Arial" w:hAnsi="Arial" w:cs="Arial"/>
          <w:b/>
          <w:bCs/>
          <w:sz w:val="22"/>
          <w:szCs w:val="22"/>
          <w:lang w:val="es-CL"/>
        </w:rPr>
        <w:t xml:space="preserve">: </w:t>
      </w:r>
    </w:p>
    <w:p w:rsidR="00E87F00" w:rsidRPr="00A801F3" w:rsidRDefault="00E87F00" w:rsidP="00E87F00">
      <w:pPr>
        <w:spacing w:line="276" w:lineRule="auto"/>
        <w:ind w:firstLine="1701"/>
        <w:jc w:val="both"/>
        <w:rPr>
          <w:rFonts w:ascii="Arial" w:eastAsia="Calibri" w:hAnsi="Arial" w:cs="Arial"/>
          <w:sz w:val="22"/>
          <w:szCs w:val="22"/>
          <w:lang w:val="es-ES"/>
        </w:rPr>
      </w:pPr>
    </w:p>
    <w:p w:rsidR="00E87F00" w:rsidRPr="00A801F3" w:rsidRDefault="00E87F00" w:rsidP="00E87F00">
      <w:pPr>
        <w:spacing w:after="200" w:line="276" w:lineRule="auto"/>
        <w:ind w:firstLine="1701"/>
        <w:jc w:val="both"/>
        <w:rPr>
          <w:rFonts w:ascii="Arial" w:eastAsia="Calibri" w:hAnsi="Arial" w:cs="Arial"/>
          <w:b/>
          <w:sz w:val="22"/>
          <w:szCs w:val="22"/>
          <w:lang w:val="es-ES"/>
        </w:rPr>
      </w:pPr>
      <w:r w:rsidRPr="00A801F3">
        <w:rPr>
          <w:rFonts w:ascii="Arial" w:eastAsia="Calibri" w:hAnsi="Arial" w:cs="Arial"/>
          <w:sz w:val="22"/>
          <w:szCs w:val="22"/>
          <w:lang w:val="es-ES"/>
        </w:rPr>
        <w:t xml:space="preserve">El incremento al Fondo por hasta cuarenta millones de dólares, al tratarse de un activo financiero, no afecta el patrimonio neto del Estado. De esta manera, los aumentos de recursos del fondo </w:t>
      </w:r>
      <w:r w:rsidRPr="00A801F3">
        <w:rPr>
          <w:rFonts w:ascii="Arial" w:eastAsia="Calibri" w:hAnsi="Arial" w:cs="Arial"/>
          <w:b/>
          <w:sz w:val="22"/>
          <w:szCs w:val="22"/>
          <w:lang w:val="es-ES"/>
        </w:rPr>
        <w:t>no irrogan gasto fiscal.</w:t>
      </w:r>
    </w:p>
    <w:p w:rsidR="00E87F00" w:rsidRPr="00E87F00" w:rsidRDefault="00E87F00" w:rsidP="00E87F00">
      <w:pPr>
        <w:spacing w:after="200" w:line="276" w:lineRule="auto"/>
        <w:ind w:firstLine="1701"/>
        <w:jc w:val="both"/>
        <w:rPr>
          <w:rFonts w:ascii="Arial" w:eastAsia="Calibri" w:hAnsi="Arial" w:cs="Arial"/>
          <w:sz w:val="22"/>
          <w:szCs w:val="22"/>
          <w:lang w:val="es-CL"/>
        </w:rPr>
      </w:pPr>
      <w:r w:rsidRPr="00A801F3">
        <w:rPr>
          <w:rFonts w:ascii="Arial" w:eastAsia="Calibri" w:hAnsi="Arial" w:cs="Arial"/>
          <w:sz w:val="22"/>
          <w:szCs w:val="22"/>
          <w:lang w:val="es-ES"/>
        </w:rPr>
        <w:t>Los movimientos que registre el fondo en los momentos que se entrega crédito fiscal son compensadas por la recaudación obtenida en caso de que se cobre impuesto al kerosene doméstico siendo así el efecto neutro para las finanzas públicas a largo plazo</w:t>
      </w:r>
    </w:p>
    <w:p w:rsidR="002E7F31" w:rsidRPr="00A9672C" w:rsidRDefault="002E7F31"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5A1AD6" w:rsidRDefault="005A1AD6" w:rsidP="002E7F31">
      <w:pPr>
        <w:tabs>
          <w:tab w:val="left" w:pos="2268"/>
        </w:tabs>
        <w:spacing w:after="200" w:line="276" w:lineRule="auto"/>
        <w:jc w:val="both"/>
        <w:rPr>
          <w:rFonts w:ascii="Arial" w:eastAsia="Calibri" w:hAnsi="Arial" w:cs="Arial"/>
          <w:b/>
          <w:spacing w:val="-3"/>
          <w:sz w:val="22"/>
          <w:szCs w:val="22"/>
          <w:lang w:val="es-CL" w:eastAsia="en-US"/>
        </w:rPr>
      </w:pPr>
      <w:r w:rsidRPr="005A1AD6">
        <w:rPr>
          <w:rFonts w:ascii="Arial" w:eastAsia="Calibri" w:hAnsi="Arial" w:cs="Arial"/>
          <w:b/>
          <w:spacing w:val="-3"/>
          <w:sz w:val="22"/>
          <w:szCs w:val="22"/>
          <w:lang w:val="es-CL" w:eastAsia="en-US"/>
        </w:rPr>
        <w:t>V-SÍNTESIS DE LA DISCUSIÓN EN LA COMISIÓN Y ACUERDOS ADOPTADOS</w:t>
      </w:r>
    </w:p>
    <w:p w:rsidR="00FF20B1" w:rsidRPr="00A96796" w:rsidRDefault="00A96796" w:rsidP="00A96796">
      <w:pPr>
        <w:tabs>
          <w:tab w:val="left" w:pos="2694"/>
        </w:tabs>
        <w:autoSpaceDE w:val="0"/>
        <w:autoSpaceDN w:val="0"/>
        <w:adjustRightInd w:val="0"/>
        <w:spacing w:line="276" w:lineRule="auto"/>
        <w:ind w:firstLine="1701"/>
        <w:jc w:val="both"/>
        <w:rPr>
          <w:rFonts w:ascii="Arial" w:hAnsi="Arial" w:cs="Courier New"/>
          <w:sz w:val="22"/>
          <w:szCs w:val="22"/>
        </w:rPr>
      </w:pPr>
      <w:r w:rsidRPr="00A96796">
        <w:rPr>
          <w:rFonts w:ascii="Arial" w:hAnsi="Arial" w:cs="Courier New"/>
          <w:sz w:val="22"/>
          <w:szCs w:val="22"/>
        </w:rPr>
        <w:t>Previo a la votaci</w:t>
      </w:r>
      <w:r>
        <w:rPr>
          <w:rFonts w:ascii="Arial" w:hAnsi="Arial" w:cs="Courier New"/>
          <w:sz w:val="22"/>
          <w:szCs w:val="22"/>
        </w:rPr>
        <w:t>ón expusieron los representas del Ejecutivo.</w:t>
      </w:r>
      <w:r w:rsidRPr="00A96796">
        <w:rPr>
          <w:rFonts w:ascii="Arial" w:hAnsi="Arial" w:cs="Courier New"/>
          <w:sz w:val="22"/>
          <w:szCs w:val="22"/>
        </w:rPr>
        <w:t xml:space="preserve"> </w:t>
      </w:r>
    </w:p>
    <w:p w:rsidR="00FF20B1" w:rsidRPr="00FF20B1" w:rsidRDefault="00FF20B1" w:rsidP="00FF20B1">
      <w:pPr>
        <w:spacing w:line="276" w:lineRule="auto"/>
        <w:ind w:right="-1" w:firstLine="1701"/>
        <w:jc w:val="both"/>
        <w:rPr>
          <w:rFonts w:ascii="Arial" w:hAnsi="Arial"/>
          <w:sz w:val="22"/>
          <w:szCs w:val="22"/>
          <w:lang w:val="es-CL"/>
        </w:rPr>
      </w:pPr>
      <w:r w:rsidRPr="00FF20B1">
        <w:rPr>
          <w:rFonts w:ascii="Arial" w:hAnsi="Arial"/>
          <w:b/>
          <w:sz w:val="22"/>
          <w:szCs w:val="22"/>
          <w:lang w:val="es-CL"/>
        </w:rPr>
        <w:t>La Subsecretaria de Hacienda, señora Claudia Sanhueza</w:t>
      </w:r>
      <w:r w:rsidRPr="00FF20B1">
        <w:rPr>
          <w:rFonts w:ascii="Arial" w:hAnsi="Arial"/>
          <w:sz w:val="22"/>
          <w:szCs w:val="22"/>
          <w:lang w:val="es-CL"/>
        </w:rPr>
        <w:t xml:space="preserve">, expresó que el contexto macroeconómico de la invasión de Rusia a Ucrania y las sanciones impuestas, han implicado un alza significativa del precio internacional de los combustibles, y en particular del kerosene. </w:t>
      </w:r>
    </w:p>
    <w:p w:rsidR="00FF20B1" w:rsidRPr="00FF20B1" w:rsidRDefault="00FF20B1" w:rsidP="00FF20B1">
      <w:pPr>
        <w:spacing w:line="276" w:lineRule="auto"/>
        <w:ind w:right="-1"/>
        <w:jc w:val="both"/>
        <w:rPr>
          <w:rFonts w:ascii="Arial" w:hAnsi="Arial"/>
          <w:sz w:val="22"/>
          <w:szCs w:val="22"/>
          <w:lang w:val="es-CL"/>
        </w:rPr>
      </w:pPr>
      <w:r w:rsidRPr="00FF20B1">
        <w:rPr>
          <w:rFonts w:ascii="Arial" w:hAnsi="Arial"/>
          <w:noProof/>
          <w:sz w:val="22"/>
          <w:szCs w:val="22"/>
          <w:lang w:val="es-ES"/>
        </w:rPr>
        <w:lastRenderedPageBreak/>
        <w:drawing>
          <wp:inline distT="0" distB="0" distL="0" distR="0">
            <wp:extent cx="5391150" cy="2402205"/>
            <wp:effectExtent l="19050" t="0" r="0" b="0"/>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 cstate="print"/>
                    <a:srcRect/>
                    <a:stretch>
                      <a:fillRect/>
                    </a:stretch>
                  </pic:blipFill>
                  <pic:spPr bwMode="auto">
                    <a:xfrm>
                      <a:off x="0" y="0"/>
                      <a:ext cx="5391150" cy="2402205"/>
                    </a:xfrm>
                    <a:prstGeom prst="rect">
                      <a:avLst/>
                    </a:prstGeom>
                    <a:noFill/>
                    <a:ln w="9525">
                      <a:noFill/>
                      <a:miter lim="800000"/>
                      <a:headEnd/>
                      <a:tailEnd/>
                    </a:ln>
                  </pic:spPr>
                </pic:pic>
              </a:graphicData>
            </a:graphic>
          </wp:inline>
        </w:drawing>
      </w:r>
    </w:p>
    <w:p w:rsidR="00A96796" w:rsidRDefault="00A96796" w:rsidP="00FF20B1">
      <w:pPr>
        <w:spacing w:line="276" w:lineRule="auto"/>
        <w:ind w:right="-1" w:firstLine="1701"/>
        <w:jc w:val="both"/>
        <w:rPr>
          <w:rFonts w:ascii="Arial" w:hAnsi="Arial"/>
          <w:sz w:val="22"/>
          <w:szCs w:val="22"/>
          <w:lang w:val="es-ES"/>
        </w:rPr>
      </w:pPr>
    </w:p>
    <w:p w:rsidR="00FF20B1" w:rsidRPr="00FF20B1" w:rsidRDefault="00FF20B1" w:rsidP="00FF20B1">
      <w:pPr>
        <w:spacing w:line="276" w:lineRule="auto"/>
        <w:ind w:right="-1" w:firstLine="1701"/>
        <w:jc w:val="both"/>
        <w:rPr>
          <w:rFonts w:ascii="Arial" w:hAnsi="Arial"/>
          <w:sz w:val="22"/>
          <w:szCs w:val="22"/>
          <w:lang w:val="es-ES"/>
        </w:rPr>
      </w:pPr>
      <w:r w:rsidRPr="00FF20B1">
        <w:rPr>
          <w:rFonts w:ascii="Arial" w:hAnsi="Arial"/>
          <w:sz w:val="22"/>
          <w:szCs w:val="22"/>
          <w:lang w:val="es-ES"/>
        </w:rPr>
        <w:t>El Fondo de Estabilización de Precios del Petróleo (FEPP)se creó el año 1991 mediante la Ley 19 020 para atenuar los efectos en las alzas de los precios de los combustibles derivadas de la guerra del Golfo Sin embargo, tras la modificación introducida por Ley N 20 493 en 2011 el único combustible afecto al FEPP es el kerosene doméstico o parafina</w:t>
      </w:r>
      <w:proofErr w:type="gramStart"/>
      <w:r w:rsidRPr="00FF20B1">
        <w:rPr>
          <w:rFonts w:ascii="Arial" w:hAnsi="Arial"/>
          <w:sz w:val="22"/>
          <w:szCs w:val="22"/>
          <w:lang w:val="es-ES"/>
        </w:rPr>
        <w:t>..</w:t>
      </w:r>
      <w:proofErr w:type="gramEnd"/>
      <w:r w:rsidRPr="00FF20B1">
        <w:rPr>
          <w:rFonts w:ascii="Arial" w:hAnsi="Arial"/>
          <w:sz w:val="22"/>
          <w:szCs w:val="22"/>
          <w:lang w:val="es-ES"/>
        </w:rPr>
        <w:t xml:space="preserve"> El Fondo, que actualmente cuenta con alrededor de US 4 millones de dólares, subsidia o grava el precio mayorista del kerosene. El cálculo del precio de paridad (PP) y precio de referencia intermedio (PRI) se establecen mediante Decreto del Ministerio de Energía, previo informe de la CNE. El precio de referencia intermedio se determina ponderando tres componentes (Precios históricos Proyección de precios de corto plazo y Proyección de precios de largo plazo de hasta 10 años)</w:t>
      </w:r>
    </w:p>
    <w:p w:rsidR="00A96796" w:rsidRDefault="00A96796" w:rsidP="00FF20B1">
      <w:pPr>
        <w:spacing w:line="276" w:lineRule="auto"/>
        <w:ind w:right="-1" w:firstLine="1701"/>
        <w:jc w:val="both"/>
        <w:rPr>
          <w:rFonts w:ascii="Arial" w:hAnsi="Arial"/>
          <w:sz w:val="22"/>
          <w:szCs w:val="22"/>
          <w:lang w:val="es-ES"/>
        </w:rPr>
      </w:pPr>
    </w:p>
    <w:p w:rsidR="00FF20B1" w:rsidRPr="00FF20B1" w:rsidRDefault="00FF20B1" w:rsidP="00FF20B1">
      <w:pPr>
        <w:spacing w:line="276" w:lineRule="auto"/>
        <w:ind w:right="-1" w:firstLine="1701"/>
        <w:jc w:val="both"/>
        <w:rPr>
          <w:rFonts w:ascii="Arial" w:hAnsi="Arial"/>
          <w:sz w:val="22"/>
          <w:szCs w:val="22"/>
          <w:lang w:val="es-ES"/>
        </w:rPr>
      </w:pPr>
      <w:r w:rsidRPr="00FF20B1">
        <w:rPr>
          <w:rFonts w:ascii="Arial" w:hAnsi="Arial"/>
          <w:sz w:val="22"/>
          <w:szCs w:val="22"/>
          <w:lang w:val="es-ES"/>
        </w:rPr>
        <w:t>La banda de referencia se construye aplicando un 12 5 en torno al PRI. El mecanismo se evalúa semanalmente y opera cuando:</w:t>
      </w:r>
    </w:p>
    <w:p w:rsidR="00FF20B1" w:rsidRPr="00FF20B1" w:rsidRDefault="00FF20B1" w:rsidP="00FF20B1">
      <w:pPr>
        <w:spacing w:line="276" w:lineRule="auto"/>
        <w:ind w:right="-1" w:firstLine="1701"/>
        <w:jc w:val="both"/>
        <w:rPr>
          <w:rFonts w:ascii="Arial" w:hAnsi="Arial"/>
          <w:sz w:val="22"/>
          <w:szCs w:val="22"/>
          <w:lang w:val="es-ES"/>
        </w:rPr>
      </w:pPr>
      <w:r w:rsidRPr="00FF20B1">
        <w:rPr>
          <w:rFonts w:ascii="Arial" w:hAnsi="Arial"/>
          <w:sz w:val="22"/>
          <w:szCs w:val="22"/>
          <w:lang w:val="es-ES"/>
        </w:rPr>
        <w:t>1. El PP sobrepasa el precio de referencia superior (techo de la banda), otorgando un crédito o subsidio equivalente a la diferencia entre ambos, financiado por el FEPP</w:t>
      </w:r>
    </w:p>
    <w:p w:rsidR="00FF20B1" w:rsidRPr="00FF20B1" w:rsidRDefault="00FF20B1" w:rsidP="00FF20B1">
      <w:pPr>
        <w:spacing w:line="276" w:lineRule="auto"/>
        <w:ind w:right="-1" w:firstLine="1701"/>
        <w:jc w:val="both"/>
        <w:rPr>
          <w:rFonts w:ascii="Arial" w:hAnsi="Arial"/>
          <w:sz w:val="22"/>
          <w:szCs w:val="22"/>
          <w:lang w:val="es-ES"/>
        </w:rPr>
      </w:pPr>
      <w:r w:rsidRPr="00FF20B1">
        <w:rPr>
          <w:rFonts w:ascii="Arial" w:hAnsi="Arial"/>
          <w:sz w:val="22"/>
          <w:szCs w:val="22"/>
          <w:lang w:val="es-ES"/>
        </w:rPr>
        <w:t>2. El PP se ubica por debajo de la referencia inferior (piso de la banda), se adiciona un impuesto, cuya recaudación se acumula en el FEPP</w:t>
      </w:r>
    </w:p>
    <w:p w:rsidR="00A96796" w:rsidRDefault="00A96796" w:rsidP="00FF20B1">
      <w:pPr>
        <w:spacing w:line="276" w:lineRule="auto"/>
        <w:ind w:right="-1" w:firstLine="1701"/>
        <w:jc w:val="both"/>
        <w:rPr>
          <w:rFonts w:ascii="Arial" w:hAnsi="Arial"/>
          <w:sz w:val="22"/>
          <w:szCs w:val="22"/>
          <w:lang w:val="es-ES"/>
        </w:rPr>
      </w:pPr>
    </w:p>
    <w:p w:rsidR="00FF20B1" w:rsidRPr="00FF20B1" w:rsidRDefault="00FF20B1" w:rsidP="00FF20B1">
      <w:pPr>
        <w:spacing w:line="276" w:lineRule="auto"/>
        <w:ind w:right="-1" w:firstLine="1701"/>
        <w:jc w:val="both"/>
        <w:rPr>
          <w:rFonts w:ascii="Arial" w:hAnsi="Arial"/>
          <w:sz w:val="22"/>
          <w:szCs w:val="22"/>
          <w:lang w:val="es-ES"/>
        </w:rPr>
      </w:pPr>
      <w:r w:rsidRPr="00FF20B1">
        <w:rPr>
          <w:rFonts w:ascii="Arial" w:hAnsi="Arial"/>
          <w:sz w:val="22"/>
          <w:szCs w:val="22"/>
          <w:lang w:val="es-ES"/>
        </w:rPr>
        <w:t>Mientras la paridad se encuentra dentro de los límites de la banda de referencia el mecanismo no opera. El crédito puede ser reducido por la aplicación de un factor de ajuste que busca asegurar la sostenibilidad del Fondo para las próximos 12 semanas Este factor considera (i) el tamaño del fondo (</w:t>
      </w:r>
      <w:proofErr w:type="spellStart"/>
      <w:r w:rsidRPr="00FF20B1">
        <w:rPr>
          <w:rFonts w:ascii="Arial" w:hAnsi="Arial"/>
          <w:sz w:val="22"/>
          <w:szCs w:val="22"/>
          <w:lang w:val="es-ES"/>
        </w:rPr>
        <w:t>ii</w:t>
      </w:r>
      <w:proofErr w:type="spellEnd"/>
      <w:r w:rsidRPr="00FF20B1">
        <w:rPr>
          <w:rFonts w:ascii="Arial" w:hAnsi="Arial"/>
          <w:sz w:val="22"/>
          <w:szCs w:val="22"/>
          <w:lang w:val="es-ES"/>
        </w:rPr>
        <w:t>) la proyección de consumo esperado en las próximas 12 semanas (</w:t>
      </w:r>
      <w:proofErr w:type="spellStart"/>
      <w:r w:rsidRPr="00FF20B1">
        <w:rPr>
          <w:rFonts w:ascii="Arial" w:hAnsi="Arial"/>
          <w:sz w:val="22"/>
          <w:szCs w:val="22"/>
          <w:lang w:val="es-ES"/>
        </w:rPr>
        <w:t>iii</w:t>
      </w:r>
      <w:proofErr w:type="spellEnd"/>
      <w:r w:rsidRPr="00FF20B1">
        <w:rPr>
          <w:rFonts w:ascii="Arial" w:hAnsi="Arial"/>
          <w:sz w:val="22"/>
          <w:szCs w:val="22"/>
          <w:lang w:val="es-ES"/>
        </w:rPr>
        <w:t xml:space="preserve">) la magnitud del crédito inicial Por lo tanto, si se reducen sustantivamente los recursos disponibles del Fondo, el monto que puede subsidiar también disminuye. A la semana de vigencia del 26 de abril de 2022 el crédito se sitúa en US </w:t>
      </w:r>
      <w:smartTag w:uri="urn:schemas-microsoft-com:office:smarttags" w:element="metricconverter">
        <w:smartTagPr>
          <w:attr w:name="ProductID" w:val="50,35 m3"/>
        </w:smartTagPr>
        <w:r w:rsidRPr="00FF20B1">
          <w:rPr>
            <w:rFonts w:ascii="Arial" w:hAnsi="Arial"/>
            <w:sz w:val="22"/>
            <w:szCs w:val="22"/>
            <w:lang w:val="es-ES"/>
          </w:rPr>
          <w:t>50,35 m3</w:t>
        </w:r>
      </w:smartTag>
      <w:r w:rsidRPr="00FF20B1">
        <w:rPr>
          <w:rFonts w:ascii="Arial" w:hAnsi="Arial"/>
          <w:sz w:val="22"/>
          <w:szCs w:val="22"/>
          <w:lang w:val="es-ES"/>
        </w:rPr>
        <w:t xml:space="preserve"> lo que equivale a 42,5 pesos por litro.</w:t>
      </w:r>
    </w:p>
    <w:p w:rsidR="00FF20B1" w:rsidRPr="00FF20B1" w:rsidRDefault="00FF20B1" w:rsidP="00FF20B1">
      <w:pPr>
        <w:spacing w:line="276" w:lineRule="auto"/>
        <w:ind w:right="-1" w:firstLine="1701"/>
        <w:jc w:val="both"/>
        <w:rPr>
          <w:rFonts w:ascii="Arial" w:hAnsi="Arial"/>
          <w:sz w:val="22"/>
          <w:szCs w:val="22"/>
          <w:lang w:val="es-ES"/>
        </w:rPr>
      </w:pPr>
      <w:r w:rsidRPr="00FF20B1">
        <w:rPr>
          <w:rFonts w:ascii="Arial" w:hAnsi="Arial"/>
          <w:sz w:val="22"/>
          <w:szCs w:val="22"/>
          <w:lang w:val="es-ES"/>
        </w:rPr>
        <w:t>Destacó que el crédito de esa semana se encuentra reducido a un 24 debido al tamaño limitado del fondo. De entregarse el total del subsidio es posible que el fondo se acabe antes de 12 semanas De esta forma se reduce el crédito entregado para no acabar el fondo en menos de ese periodo Si estuviese a un 100%, el crédito llegaría a 177/litro.</w:t>
      </w:r>
    </w:p>
    <w:p w:rsidR="00FF20B1" w:rsidRPr="00FF20B1" w:rsidRDefault="00FF20B1" w:rsidP="00FF20B1">
      <w:pPr>
        <w:spacing w:line="276" w:lineRule="auto"/>
        <w:ind w:right="-1" w:firstLine="1701"/>
        <w:jc w:val="both"/>
        <w:rPr>
          <w:rFonts w:ascii="Arial" w:hAnsi="Arial"/>
          <w:sz w:val="22"/>
          <w:szCs w:val="22"/>
          <w:lang w:val="es-ES"/>
        </w:rPr>
      </w:pPr>
      <w:r w:rsidRPr="00FF20B1">
        <w:rPr>
          <w:rFonts w:ascii="Arial" w:hAnsi="Arial"/>
          <w:sz w:val="22"/>
          <w:szCs w:val="22"/>
          <w:lang w:val="es-ES"/>
        </w:rPr>
        <w:lastRenderedPageBreak/>
        <w:t xml:space="preserve">Simulación de evolución del Fondo y Crédito: con desembolso de $US40 millones junto con fondo existente se podría mantener el precio en torno a $1.000/ </w:t>
      </w:r>
      <w:proofErr w:type="spellStart"/>
      <w:r w:rsidRPr="00FF20B1">
        <w:rPr>
          <w:rFonts w:ascii="Arial" w:hAnsi="Arial"/>
          <w:sz w:val="22"/>
          <w:szCs w:val="22"/>
          <w:lang w:val="es-ES"/>
        </w:rPr>
        <w:t>lt</w:t>
      </w:r>
      <w:proofErr w:type="spellEnd"/>
      <w:r w:rsidRPr="00FF20B1">
        <w:rPr>
          <w:rFonts w:ascii="Arial" w:hAnsi="Arial"/>
          <w:sz w:val="22"/>
          <w:szCs w:val="22"/>
          <w:lang w:val="es-ES"/>
        </w:rPr>
        <w:t xml:space="preserve"> hasta fin de septiembre:</w:t>
      </w:r>
    </w:p>
    <w:p w:rsidR="00FF20B1" w:rsidRPr="00FF20B1" w:rsidRDefault="00FF20B1" w:rsidP="00FF20B1">
      <w:pPr>
        <w:spacing w:line="276" w:lineRule="auto"/>
        <w:ind w:right="-1" w:firstLine="1701"/>
        <w:jc w:val="both"/>
        <w:rPr>
          <w:rFonts w:ascii="Arial" w:hAnsi="Arial"/>
          <w:sz w:val="22"/>
          <w:szCs w:val="22"/>
          <w:lang w:val="es-ES"/>
        </w:rPr>
      </w:pPr>
    </w:p>
    <w:p w:rsidR="00FF20B1" w:rsidRPr="00FF20B1" w:rsidRDefault="00FF20B1" w:rsidP="00FF20B1">
      <w:pPr>
        <w:spacing w:line="276" w:lineRule="auto"/>
        <w:ind w:right="-1"/>
        <w:jc w:val="both"/>
        <w:rPr>
          <w:rFonts w:ascii="Arial" w:hAnsi="Arial"/>
          <w:sz w:val="22"/>
          <w:szCs w:val="22"/>
          <w:lang w:val="es-ES"/>
        </w:rPr>
      </w:pPr>
      <w:r w:rsidRPr="00FF20B1">
        <w:rPr>
          <w:rFonts w:ascii="Arial" w:hAnsi="Arial"/>
          <w:noProof/>
          <w:sz w:val="22"/>
          <w:szCs w:val="22"/>
          <w:lang w:val="es-ES"/>
        </w:rPr>
        <w:drawing>
          <wp:inline distT="0" distB="0" distL="0" distR="0">
            <wp:extent cx="5391150" cy="3261995"/>
            <wp:effectExtent l="19050" t="0" r="0" b="0"/>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3" cstate="print"/>
                    <a:srcRect/>
                    <a:stretch>
                      <a:fillRect/>
                    </a:stretch>
                  </pic:blipFill>
                  <pic:spPr bwMode="auto">
                    <a:xfrm>
                      <a:off x="0" y="0"/>
                      <a:ext cx="5391150" cy="3261995"/>
                    </a:xfrm>
                    <a:prstGeom prst="rect">
                      <a:avLst/>
                    </a:prstGeom>
                    <a:noFill/>
                    <a:ln w="9525">
                      <a:noFill/>
                      <a:miter lim="800000"/>
                      <a:headEnd/>
                      <a:tailEnd/>
                    </a:ln>
                  </pic:spPr>
                </pic:pic>
              </a:graphicData>
            </a:graphic>
          </wp:inline>
        </w:drawing>
      </w:r>
    </w:p>
    <w:p w:rsidR="00A96796" w:rsidRDefault="00A96796" w:rsidP="00FF20B1">
      <w:pPr>
        <w:spacing w:line="276" w:lineRule="auto"/>
        <w:ind w:right="-1" w:firstLine="1701"/>
        <w:jc w:val="both"/>
        <w:rPr>
          <w:rFonts w:ascii="Arial" w:hAnsi="Arial"/>
          <w:sz w:val="22"/>
          <w:szCs w:val="22"/>
          <w:lang w:val="es-ES"/>
        </w:rPr>
      </w:pPr>
    </w:p>
    <w:p w:rsidR="00FF20B1" w:rsidRPr="00FF20B1" w:rsidRDefault="00FF20B1" w:rsidP="00FF20B1">
      <w:pPr>
        <w:spacing w:line="276" w:lineRule="auto"/>
        <w:ind w:right="-1" w:firstLine="1701"/>
        <w:jc w:val="both"/>
        <w:rPr>
          <w:rFonts w:ascii="Arial" w:hAnsi="Arial"/>
          <w:sz w:val="22"/>
          <w:szCs w:val="22"/>
          <w:lang w:val="es-ES"/>
        </w:rPr>
      </w:pPr>
      <w:r w:rsidRPr="00FF20B1">
        <w:rPr>
          <w:rFonts w:ascii="Arial" w:hAnsi="Arial"/>
          <w:sz w:val="22"/>
          <w:szCs w:val="22"/>
          <w:lang w:val="es-ES"/>
        </w:rPr>
        <w:t>Los resultados muestran que contando con un saldo inicial del fondo de US 44 millones aumenta el crédito y por consiguiente el precio estimado del kerosene de mantiene en torno 1000. El crédito sube de 43/</w:t>
      </w:r>
      <w:proofErr w:type="spellStart"/>
      <w:r w:rsidRPr="00FF20B1">
        <w:rPr>
          <w:rFonts w:ascii="Arial" w:hAnsi="Arial"/>
          <w:sz w:val="22"/>
          <w:szCs w:val="22"/>
          <w:lang w:val="es-ES"/>
        </w:rPr>
        <w:t>lt</w:t>
      </w:r>
      <w:proofErr w:type="spellEnd"/>
      <w:r w:rsidRPr="00FF20B1">
        <w:rPr>
          <w:rFonts w:ascii="Arial" w:hAnsi="Arial"/>
          <w:sz w:val="22"/>
          <w:szCs w:val="22"/>
          <w:lang w:val="es-ES"/>
        </w:rPr>
        <w:t xml:space="preserve"> a 277/</w:t>
      </w:r>
      <w:proofErr w:type="spellStart"/>
      <w:r w:rsidRPr="00FF20B1">
        <w:rPr>
          <w:rFonts w:ascii="Arial" w:hAnsi="Arial"/>
          <w:sz w:val="22"/>
          <w:szCs w:val="22"/>
          <w:lang w:val="es-ES"/>
        </w:rPr>
        <w:t>lt</w:t>
      </w:r>
      <w:proofErr w:type="spellEnd"/>
      <w:r w:rsidRPr="00FF20B1">
        <w:rPr>
          <w:rFonts w:ascii="Arial" w:hAnsi="Arial"/>
          <w:sz w:val="22"/>
          <w:szCs w:val="22"/>
          <w:lang w:val="es-ES"/>
        </w:rPr>
        <w:t xml:space="preserve"> debido al alza del fondo y a cambios de parámetros para incrementar el crédito.</w:t>
      </w:r>
    </w:p>
    <w:p w:rsidR="00FF20B1" w:rsidRPr="00FF20B1" w:rsidRDefault="00FF20B1" w:rsidP="00FF20B1">
      <w:pPr>
        <w:spacing w:line="276" w:lineRule="auto"/>
        <w:ind w:right="-1" w:firstLine="1701"/>
        <w:jc w:val="both"/>
        <w:rPr>
          <w:rFonts w:ascii="Arial" w:hAnsi="Arial"/>
          <w:sz w:val="22"/>
          <w:szCs w:val="22"/>
          <w:lang w:val="es-ES"/>
        </w:rPr>
      </w:pPr>
      <w:r w:rsidRPr="00FF20B1">
        <w:rPr>
          <w:rFonts w:ascii="Arial" w:hAnsi="Arial"/>
          <w:sz w:val="22"/>
          <w:szCs w:val="22"/>
          <w:lang w:val="es-ES"/>
        </w:rPr>
        <w:t>Precio de Paridad y referencia semana de vigencia del 28 de abril:</w:t>
      </w:r>
    </w:p>
    <w:p w:rsidR="00FF20B1" w:rsidRPr="00FF20B1" w:rsidRDefault="00FF20B1" w:rsidP="00FF20B1">
      <w:pPr>
        <w:spacing w:line="276" w:lineRule="auto"/>
        <w:ind w:right="-1"/>
        <w:jc w:val="both"/>
        <w:rPr>
          <w:rFonts w:ascii="Arial" w:hAnsi="Arial"/>
          <w:sz w:val="22"/>
          <w:szCs w:val="22"/>
          <w:lang w:val="es-ES"/>
        </w:rPr>
      </w:pPr>
      <w:r w:rsidRPr="00FF20B1">
        <w:rPr>
          <w:rFonts w:ascii="Arial" w:hAnsi="Arial"/>
          <w:noProof/>
          <w:sz w:val="22"/>
          <w:szCs w:val="22"/>
          <w:lang w:val="es-ES"/>
        </w:rPr>
        <w:drawing>
          <wp:inline distT="0" distB="0" distL="0" distR="0">
            <wp:extent cx="5391150" cy="2156460"/>
            <wp:effectExtent l="19050" t="0" r="0" b="0"/>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4" cstate="print"/>
                    <a:srcRect/>
                    <a:stretch>
                      <a:fillRect/>
                    </a:stretch>
                  </pic:blipFill>
                  <pic:spPr bwMode="auto">
                    <a:xfrm>
                      <a:off x="0" y="0"/>
                      <a:ext cx="5391150" cy="2156460"/>
                    </a:xfrm>
                    <a:prstGeom prst="rect">
                      <a:avLst/>
                    </a:prstGeom>
                    <a:noFill/>
                    <a:ln w="9525">
                      <a:noFill/>
                      <a:miter lim="800000"/>
                      <a:headEnd/>
                      <a:tailEnd/>
                    </a:ln>
                  </pic:spPr>
                </pic:pic>
              </a:graphicData>
            </a:graphic>
          </wp:inline>
        </w:drawing>
      </w:r>
    </w:p>
    <w:p w:rsidR="00FF20B1" w:rsidRPr="00FF20B1" w:rsidRDefault="00FF20B1" w:rsidP="00FF20B1">
      <w:pPr>
        <w:spacing w:line="276" w:lineRule="auto"/>
        <w:ind w:right="-1" w:firstLine="1701"/>
        <w:jc w:val="both"/>
        <w:rPr>
          <w:rFonts w:ascii="Arial" w:hAnsi="Arial"/>
          <w:sz w:val="22"/>
          <w:szCs w:val="22"/>
          <w:lang w:val="es-ES"/>
        </w:rPr>
      </w:pPr>
    </w:p>
    <w:p w:rsidR="00FF20B1" w:rsidRPr="00FF20B1" w:rsidRDefault="00FF20B1" w:rsidP="00FF20B1">
      <w:pPr>
        <w:spacing w:line="276" w:lineRule="auto"/>
        <w:ind w:right="-1" w:firstLine="1701"/>
        <w:jc w:val="both"/>
        <w:rPr>
          <w:rFonts w:ascii="Arial" w:hAnsi="Arial"/>
          <w:sz w:val="22"/>
          <w:szCs w:val="22"/>
          <w:lang w:val="es-ES"/>
        </w:rPr>
      </w:pPr>
      <w:r w:rsidRPr="00FF20B1">
        <w:rPr>
          <w:rFonts w:ascii="Arial" w:hAnsi="Arial"/>
          <w:sz w:val="22"/>
          <w:szCs w:val="22"/>
          <w:lang w:val="es-ES"/>
        </w:rPr>
        <w:t>Cálculo del precio de paridad se determina utilizando los datos conocidos para las fechas indicadas de precios FOB, adicionándole flete marítimo, tasa de seguro, tasa de arancel, dólar observado, tasa libor, tarifas de almacenamiento y descarga, entre otros elementos</w:t>
      </w:r>
    </w:p>
    <w:p w:rsidR="00A96796" w:rsidRDefault="00A96796" w:rsidP="00FF20B1">
      <w:pPr>
        <w:spacing w:line="276" w:lineRule="auto"/>
        <w:ind w:right="-1" w:firstLine="1701"/>
        <w:jc w:val="both"/>
        <w:rPr>
          <w:rFonts w:ascii="Arial" w:hAnsi="Arial"/>
          <w:b/>
          <w:sz w:val="22"/>
          <w:szCs w:val="22"/>
          <w:lang w:val="es-ES"/>
        </w:rPr>
      </w:pPr>
    </w:p>
    <w:p w:rsidR="00FF20B1" w:rsidRPr="00FF20B1" w:rsidRDefault="00FF20B1" w:rsidP="00FF20B1">
      <w:pPr>
        <w:spacing w:line="276" w:lineRule="auto"/>
        <w:ind w:right="-1" w:firstLine="1701"/>
        <w:jc w:val="both"/>
        <w:rPr>
          <w:rFonts w:ascii="Arial" w:hAnsi="Arial"/>
          <w:b/>
          <w:sz w:val="22"/>
          <w:szCs w:val="22"/>
          <w:lang w:val="es-ES"/>
        </w:rPr>
      </w:pPr>
      <w:r w:rsidRPr="00FF20B1">
        <w:rPr>
          <w:rFonts w:ascii="Arial" w:hAnsi="Arial"/>
          <w:b/>
          <w:sz w:val="22"/>
          <w:szCs w:val="22"/>
          <w:lang w:val="es-ES"/>
        </w:rPr>
        <w:t>Cálculo del Impuesto/Crédito</w:t>
      </w:r>
    </w:p>
    <w:p w:rsidR="00FF20B1" w:rsidRPr="00FF20B1" w:rsidRDefault="00FF20B1" w:rsidP="00FF20B1">
      <w:pPr>
        <w:spacing w:line="276" w:lineRule="auto"/>
        <w:ind w:right="-1" w:firstLine="1701"/>
        <w:jc w:val="both"/>
        <w:rPr>
          <w:rFonts w:ascii="Arial" w:hAnsi="Arial"/>
          <w:sz w:val="22"/>
          <w:szCs w:val="22"/>
          <w:lang w:val="es-ES"/>
        </w:rPr>
      </w:pPr>
      <w:r w:rsidRPr="00FF20B1">
        <w:rPr>
          <w:rFonts w:ascii="Arial" w:hAnsi="Arial"/>
          <w:sz w:val="22"/>
          <w:szCs w:val="22"/>
          <w:lang w:val="es-ES"/>
        </w:rPr>
        <w:t>a) Si el precio de referencia inferior es mayor que el precio de paridad el impuesto específico sería igual a la diferencia entre ambos precios</w:t>
      </w:r>
    </w:p>
    <w:p w:rsidR="00FF20B1" w:rsidRPr="00FF20B1" w:rsidRDefault="00FF20B1" w:rsidP="00FF20B1">
      <w:pPr>
        <w:spacing w:line="276" w:lineRule="auto"/>
        <w:ind w:right="-1" w:firstLine="1701"/>
        <w:jc w:val="both"/>
        <w:rPr>
          <w:rFonts w:ascii="Arial" w:hAnsi="Arial"/>
          <w:sz w:val="22"/>
          <w:szCs w:val="22"/>
          <w:lang w:val="es-ES"/>
        </w:rPr>
      </w:pPr>
    </w:p>
    <w:p w:rsidR="00FF20B1" w:rsidRPr="00FF20B1" w:rsidRDefault="00FF20B1" w:rsidP="00FF20B1">
      <w:pPr>
        <w:spacing w:line="276" w:lineRule="auto"/>
        <w:ind w:right="-1"/>
        <w:jc w:val="center"/>
        <w:rPr>
          <w:rFonts w:ascii="Arial" w:hAnsi="Arial"/>
          <w:sz w:val="22"/>
          <w:szCs w:val="22"/>
          <w:lang w:val="es-ES"/>
        </w:rPr>
      </w:pPr>
      <w:r w:rsidRPr="00FF20B1">
        <w:rPr>
          <w:rFonts w:ascii="Arial" w:hAnsi="Arial"/>
          <w:noProof/>
          <w:sz w:val="22"/>
          <w:szCs w:val="22"/>
          <w:lang w:val="es-ES"/>
        </w:rPr>
        <w:drawing>
          <wp:inline distT="0" distB="0" distL="0" distR="0">
            <wp:extent cx="3070860" cy="409575"/>
            <wp:effectExtent l="19050" t="0" r="0" b="0"/>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5" cstate="print"/>
                    <a:srcRect/>
                    <a:stretch>
                      <a:fillRect/>
                    </a:stretch>
                  </pic:blipFill>
                  <pic:spPr bwMode="auto">
                    <a:xfrm>
                      <a:off x="0" y="0"/>
                      <a:ext cx="3070860" cy="409575"/>
                    </a:xfrm>
                    <a:prstGeom prst="rect">
                      <a:avLst/>
                    </a:prstGeom>
                    <a:noFill/>
                    <a:ln w="9525">
                      <a:noFill/>
                      <a:miter lim="800000"/>
                      <a:headEnd/>
                      <a:tailEnd/>
                    </a:ln>
                  </pic:spPr>
                </pic:pic>
              </a:graphicData>
            </a:graphic>
          </wp:inline>
        </w:drawing>
      </w:r>
    </w:p>
    <w:p w:rsidR="00FF20B1" w:rsidRPr="00FF20B1" w:rsidRDefault="00FF20B1" w:rsidP="00FF20B1">
      <w:pPr>
        <w:spacing w:line="276" w:lineRule="auto"/>
        <w:ind w:right="-1" w:firstLine="1701"/>
        <w:jc w:val="both"/>
        <w:rPr>
          <w:rFonts w:ascii="Arial" w:hAnsi="Arial"/>
          <w:sz w:val="22"/>
          <w:szCs w:val="22"/>
          <w:lang w:val="es-ES"/>
        </w:rPr>
      </w:pPr>
    </w:p>
    <w:p w:rsidR="00FF20B1" w:rsidRPr="00FF20B1" w:rsidRDefault="00FF20B1" w:rsidP="00FF20B1">
      <w:pPr>
        <w:spacing w:line="276" w:lineRule="auto"/>
        <w:ind w:right="-1" w:firstLine="1701"/>
        <w:jc w:val="both"/>
        <w:rPr>
          <w:rFonts w:ascii="Arial" w:hAnsi="Arial"/>
          <w:sz w:val="22"/>
          <w:szCs w:val="22"/>
          <w:lang w:val="es-ES"/>
        </w:rPr>
      </w:pPr>
      <w:r w:rsidRPr="00FF20B1">
        <w:rPr>
          <w:rFonts w:ascii="Arial" w:hAnsi="Arial"/>
          <w:sz w:val="22"/>
          <w:szCs w:val="22"/>
          <w:lang w:val="es-ES"/>
        </w:rPr>
        <w:t>b) Si el precio de paridad excede el precio de referencia superior operará un crédito fiscal de un monto igual a la diferencia entre ambos precios multiplicada por la cantidad menor entre 1 y la razón del fondo disponible sobre la cantidad de consumo semanal promedio esperado de las próximas 12 semanas multiplicado por el diferencial entre el precio de paridad y el precio de referencia superior y por un parámetro de protección temporal</w:t>
      </w:r>
    </w:p>
    <w:p w:rsidR="00FF20B1" w:rsidRPr="00FF20B1" w:rsidRDefault="00FF20B1" w:rsidP="00FF20B1">
      <w:pPr>
        <w:spacing w:line="276" w:lineRule="auto"/>
        <w:ind w:right="-1" w:firstLine="1701"/>
        <w:jc w:val="both"/>
        <w:rPr>
          <w:rFonts w:ascii="Arial" w:hAnsi="Arial"/>
          <w:sz w:val="22"/>
          <w:szCs w:val="22"/>
          <w:lang w:val="es-ES"/>
        </w:rPr>
      </w:pPr>
    </w:p>
    <w:p w:rsidR="00FF20B1" w:rsidRPr="00FF20B1" w:rsidRDefault="00FF20B1" w:rsidP="00FF20B1">
      <w:pPr>
        <w:spacing w:line="276" w:lineRule="auto"/>
        <w:ind w:right="-1"/>
        <w:jc w:val="center"/>
        <w:rPr>
          <w:rFonts w:ascii="Arial" w:hAnsi="Arial"/>
          <w:sz w:val="22"/>
          <w:szCs w:val="22"/>
          <w:lang w:val="es-ES"/>
        </w:rPr>
      </w:pPr>
      <w:r w:rsidRPr="00FF20B1">
        <w:rPr>
          <w:rFonts w:ascii="Arial" w:hAnsi="Arial"/>
          <w:noProof/>
          <w:sz w:val="22"/>
          <w:szCs w:val="22"/>
          <w:lang w:val="es-ES"/>
        </w:rPr>
        <w:drawing>
          <wp:inline distT="0" distB="0" distL="0" distR="0">
            <wp:extent cx="4790440" cy="409575"/>
            <wp:effectExtent l="19050" t="0" r="0" b="0"/>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6" cstate="print"/>
                    <a:srcRect/>
                    <a:stretch>
                      <a:fillRect/>
                    </a:stretch>
                  </pic:blipFill>
                  <pic:spPr bwMode="auto">
                    <a:xfrm>
                      <a:off x="0" y="0"/>
                      <a:ext cx="4790440" cy="409575"/>
                    </a:xfrm>
                    <a:prstGeom prst="rect">
                      <a:avLst/>
                    </a:prstGeom>
                    <a:noFill/>
                    <a:ln w="9525">
                      <a:noFill/>
                      <a:miter lim="800000"/>
                      <a:headEnd/>
                      <a:tailEnd/>
                    </a:ln>
                  </pic:spPr>
                </pic:pic>
              </a:graphicData>
            </a:graphic>
          </wp:inline>
        </w:drawing>
      </w:r>
    </w:p>
    <w:p w:rsidR="00FF20B1" w:rsidRPr="00FF20B1" w:rsidRDefault="00FF20B1" w:rsidP="00FF20B1">
      <w:pPr>
        <w:spacing w:line="276" w:lineRule="auto"/>
        <w:ind w:right="-1"/>
        <w:jc w:val="center"/>
        <w:rPr>
          <w:rFonts w:ascii="Arial" w:hAnsi="Arial"/>
          <w:sz w:val="22"/>
          <w:szCs w:val="22"/>
          <w:lang w:val="es-ES"/>
        </w:rPr>
      </w:pPr>
    </w:p>
    <w:p w:rsidR="00FF20B1" w:rsidRPr="00FF20B1" w:rsidRDefault="00FF20B1" w:rsidP="00FF20B1">
      <w:pPr>
        <w:spacing w:line="276" w:lineRule="auto"/>
        <w:ind w:right="-1"/>
        <w:jc w:val="center"/>
        <w:rPr>
          <w:rFonts w:ascii="Arial" w:hAnsi="Arial"/>
          <w:sz w:val="22"/>
          <w:szCs w:val="22"/>
          <w:lang w:val="es-ES"/>
        </w:rPr>
      </w:pPr>
    </w:p>
    <w:p w:rsidR="00FF20B1" w:rsidRPr="00FF20B1" w:rsidRDefault="00FF20B1" w:rsidP="00FF20B1">
      <w:pPr>
        <w:spacing w:line="276" w:lineRule="auto"/>
        <w:ind w:right="-1" w:firstLine="1701"/>
        <w:jc w:val="both"/>
        <w:rPr>
          <w:rFonts w:ascii="Arial" w:hAnsi="Arial"/>
          <w:b/>
          <w:sz w:val="22"/>
          <w:szCs w:val="22"/>
          <w:lang w:val="es-ES"/>
        </w:rPr>
      </w:pPr>
      <w:r w:rsidRPr="00FF20B1">
        <w:rPr>
          <w:rFonts w:ascii="Arial" w:hAnsi="Arial"/>
          <w:b/>
          <w:sz w:val="22"/>
          <w:szCs w:val="22"/>
          <w:lang w:val="es-ES"/>
        </w:rPr>
        <w:t>Cálculo del precio de Referencia (Banda)</w:t>
      </w:r>
    </w:p>
    <w:p w:rsidR="00FF20B1" w:rsidRPr="00FF20B1" w:rsidRDefault="00FF20B1" w:rsidP="00FF20B1">
      <w:pPr>
        <w:spacing w:line="276" w:lineRule="auto"/>
        <w:ind w:right="-1" w:firstLine="1701"/>
        <w:jc w:val="both"/>
        <w:rPr>
          <w:rFonts w:ascii="Arial" w:hAnsi="Arial"/>
          <w:sz w:val="22"/>
          <w:szCs w:val="22"/>
          <w:lang w:val="es-ES"/>
        </w:rPr>
      </w:pPr>
      <w:r w:rsidRPr="00FF20B1">
        <w:rPr>
          <w:rFonts w:ascii="Arial" w:hAnsi="Arial"/>
          <w:sz w:val="22"/>
          <w:szCs w:val="22"/>
          <w:lang w:val="es-ES"/>
        </w:rPr>
        <w:t>Los precios de referencia intermedios deberán reflejar el precio esperado de mediano y largo plazo del mercado petrolero.  Se deben considerar la evolución de los precios históricos y las perspectivas futuras del mercado petrolero A su vez, los precios de referencia intermedios calculados no podrán diferir en más de un 20 del promedio de los precios de paridad observados</w:t>
      </w:r>
    </w:p>
    <w:p w:rsidR="00FF20B1" w:rsidRPr="00FF20B1" w:rsidRDefault="00FF20B1" w:rsidP="00FF20B1">
      <w:pPr>
        <w:spacing w:line="276" w:lineRule="auto"/>
        <w:ind w:right="-1" w:firstLine="1701"/>
        <w:jc w:val="both"/>
        <w:rPr>
          <w:rFonts w:ascii="Arial" w:hAnsi="Arial"/>
          <w:sz w:val="22"/>
          <w:szCs w:val="22"/>
          <w:lang w:val="es-ES"/>
        </w:rPr>
      </w:pPr>
      <w:r w:rsidRPr="00FF20B1">
        <w:rPr>
          <w:rFonts w:ascii="Arial" w:hAnsi="Arial"/>
          <w:sz w:val="22"/>
          <w:szCs w:val="22"/>
          <w:lang w:val="es-ES"/>
        </w:rPr>
        <w:t>Adicionalmente Para el caso de los precios referencia superior e inferior se tiene que estos no podrán diferir de un doce y medio por ciento del precio de referencia intermedio correspondiente</w:t>
      </w:r>
    </w:p>
    <w:p w:rsidR="00A96796" w:rsidRDefault="00A96796" w:rsidP="00FF20B1">
      <w:pPr>
        <w:spacing w:line="276" w:lineRule="auto"/>
        <w:ind w:right="-1" w:firstLine="1701"/>
        <w:jc w:val="both"/>
        <w:rPr>
          <w:rFonts w:ascii="Arial" w:hAnsi="Arial"/>
          <w:sz w:val="22"/>
          <w:szCs w:val="22"/>
          <w:lang w:val="es-ES"/>
        </w:rPr>
      </w:pPr>
    </w:p>
    <w:p w:rsidR="00FF20B1" w:rsidRPr="00FF20B1" w:rsidRDefault="00FF20B1" w:rsidP="00FF20B1">
      <w:pPr>
        <w:spacing w:line="276" w:lineRule="auto"/>
        <w:ind w:right="-1" w:firstLine="1701"/>
        <w:jc w:val="both"/>
        <w:rPr>
          <w:rFonts w:ascii="Arial" w:hAnsi="Arial"/>
          <w:sz w:val="22"/>
          <w:szCs w:val="22"/>
          <w:lang w:val="es-ES"/>
        </w:rPr>
      </w:pPr>
      <w:r w:rsidRPr="00FF20B1">
        <w:rPr>
          <w:rFonts w:ascii="Arial" w:hAnsi="Arial"/>
          <w:sz w:val="22"/>
          <w:szCs w:val="22"/>
          <w:lang w:val="es-ES"/>
        </w:rPr>
        <w:t>Tabla 1.</w:t>
      </w:r>
    </w:p>
    <w:p w:rsidR="00FF20B1" w:rsidRPr="00FF20B1" w:rsidRDefault="00FF20B1" w:rsidP="00FF20B1">
      <w:pPr>
        <w:spacing w:line="276" w:lineRule="auto"/>
        <w:ind w:right="-1" w:firstLine="1701"/>
        <w:jc w:val="both"/>
        <w:rPr>
          <w:rFonts w:ascii="Arial" w:hAnsi="Arial"/>
          <w:sz w:val="22"/>
          <w:szCs w:val="22"/>
          <w:lang w:val="es-ES"/>
        </w:rPr>
      </w:pPr>
      <w:r w:rsidRPr="00FF20B1">
        <w:rPr>
          <w:rFonts w:ascii="Arial" w:hAnsi="Arial"/>
          <w:sz w:val="22"/>
          <w:szCs w:val="22"/>
          <w:lang w:val="es-ES"/>
        </w:rPr>
        <w:t>Cálculo del precio de referencia vigencia 26 de abril</w:t>
      </w:r>
    </w:p>
    <w:p w:rsidR="00FF20B1" w:rsidRPr="00FF20B1" w:rsidRDefault="00FF20B1" w:rsidP="00FF20B1">
      <w:pPr>
        <w:spacing w:line="276" w:lineRule="auto"/>
        <w:ind w:right="-1" w:firstLine="1701"/>
        <w:jc w:val="both"/>
        <w:rPr>
          <w:rFonts w:ascii="Arial" w:hAnsi="Arial"/>
          <w:sz w:val="22"/>
          <w:szCs w:val="22"/>
          <w:lang w:val="es-ES"/>
        </w:rPr>
      </w:pPr>
    </w:p>
    <w:p w:rsidR="00FF20B1" w:rsidRPr="00FF20B1" w:rsidRDefault="00FF20B1" w:rsidP="00FF20B1">
      <w:pPr>
        <w:spacing w:line="276" w:lineRule="auto"/>
        <w:ind w:right="-1"/>
        <w:jc w:val="center"/>
        <w:rPr>
          <w:rFonts w:ascii="Arial" w:hAnsi="Arial"/>
          <w:sz w:val="22"/>
          <w:szCs w:val="22"/>
          <w:lang w:val="es-ES"/>
        </w:rPr>
      </w:pPr>
      <w:r w:rsidRPr="00FF20B1">
        <w:rPr>
          <w:rFonts w:ascii="Arial" w:hAnsi="Arial"/>
          <w:noProof/>
          <w:sz w:val="22"/>
          <w:szCs w:val="22"/>
          <w:lang w:val="es-ES"/>
        </w:rPr>
        <w:drawing>
          <wp:inline distT="0" distB="0" distL="0" distR="0">
            <wp:extent cx="5391150" cy="1310005"/>
            <wp:effectExtent l="19050" t="0" r="0" b="0"/>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7" cstate="print"/>
                    <a:srcRect/>
                    <a:stretch>
                      <a:fillRect/>
                    </a:stretch>
                  </pic:blipFill>
                  <pic:spPr bwMode="auto">
                    <a:xfrm>
                      <a:off x="0" y="0"/>
                      <a:ext cx="5391150" cy="1310005"/>
                    </a:xfrm>
                    <a:prstGeom prst="rect">
                      <a:avLst/>
                    </a:prstGeom>
                    <a:noFill/>
                    <a:ln w="9525">
                      <a:noFill/>
                      <a:miter lim="800000"/>
                      <a:headEnd/>
                      <a:tailEnd/>
                    </a:ln>
                  </pic:spPr>
                </pic:pic>
              </a:graphicData>
            </a:graphic>
          </wp:inline>
        </w:drawing>
      </w:r>
    </w:p>
    <w:p w:rsidR="00FF20B1" w:rsidRPr="00FF20B1" w:rsidRDefault="00FF20B1" w:rsidP="00FF20B1">
      <w:pPr>
        <w:spacing w:line="276" w:lineRule="auto"/>
        <w:ind w:right="-1" w:firstLine="1701"/>
        <w:jc w:val="both"/>
        <w:rPr>
          <w:rFonts w:ascii="Arial" w:hAnsi="Arial"/>
          <w:sz w:val="22"/>
          <w:szCs w:val="22"/>
          <w:lang w:val="es-ES"/>
        </w:rPr>
      </w:pPr>
    </w:p>
    <w:p w:rsidR="00FF20B1" w:rsidRPr="00FF20B1" w:rsidRDefault="00FF20B1" w:rsidP="00FF20B1">
      <w:pPr>
        <w:spacing w:line="276" w:lineRule="auto"/>
        <w:ind w:right="-1" w:firstLine="1701"/>
        <w:jc w:val="both"/>
        <w:rPr>
          <w:rFonts w:ascii="Arial" w:hAnsi="Arial"/>
          <w:sz w:val="22"/>
          <w:szCs w:val="22"/>
          <w:lang w:val="es-ES"/>
        </w:rPr>
      </w:pPr>
      <w:r w:rsidRPr="00FF20B1">
        <w:rPr>
          <w:rFonts w:ascii="Arial" w:hAnsi="Arial"/>
          <w:b/>
          <w:sz w:val="22"/>
          <w:szCs w:val="22"/>
          <w:lang w:val="es-ES"/>
        </w:rPr>
        <w:t xml:space="preserve">El Ministro de Energía, señor Claudio </w:t>
      </w:r>
      <w:proofErr w:type="spellStart"/>
      <w:r w:rsidRPr="00FF20B1">
        <w:rPr>
          <w:rFonts w:ascii="Arial" w:hAnsi="Arial"/>
          <w:b/>
          <w:sz w:val="22"/>
          <w:szCs w:val="22"/>
          <w:lang w:val="es-ES"/>
        </w:rPr>
        <w:t>Huepe</w:t>
      </w:r>
      <w:proofErr w:type="spellEnd"/>
      <w:r w:rsidRPr="00FF20B1">
        <w:rPr>
          <w:rFonts w:ascii="Arial" w:hAnsi="Arial"/>
          <w:sz w:val="22"/>
          <w:szCs w:val="22"/>
          <w:lang w:val="es-ES"/>
        </w:rPr>
        <w:t xml:space="preserve">, coincidió en lo expuesto por su antecesora. Manifestó que es de la mayor importancia generar este aumento del fondo, de manera que logre efectivamente la reducción de precios a que apunta. El que se ha propuesto debería ser suficiente para cubrir los meses de invierno, dadas las proyecciones que se han formulado. Hoy la operación del fondo está limitada por el hecho de su bajo monto, además de que los factores de ajuste no le permiten actuar en el caso del kerosene. </w:t>
      </w:r>
    </w:p>
    <w:p w:rsidR="00A96796" w:rsidRDefault="00FF20B1" w:rsidP="00FF20B1">
      <w:pPr>
        <w:spacing w:line="276" w:lineRule="auto"/>
        <w:ind w:right="-1" w:firstLine="1701"/>
        <w:jc w:val="both"/>
        <w:rPr>
          <w:rFonts w:ascii="Arial" w:hAnsi="Arial"/>
          <w:sz w:val="22"/>
          <w:szCs w:val="22"/>
          <w:lang w:val="es-ES"/>
        </w:rPr>
      </w:pPr>
      <w:r w:rsidRPr="00FF20B1">
        <w:rPr>
          <w:rFonts w:ascii="Arial" w:hAnsi="Arial"/>
          <w:b/>
          <w:sz w:val="22"/>
          <w:szCs w:val="22"/>
          <w:lang w:val="es-ES"/>
        </w:rPr>
        <w:t>El diputado Naranjo</w:t>
      </w:r>
      <w:r w:rsidRPr="00FF20B1">
        <w:rPr>
          <w:rFonts w:ascii="Arial" w:hAnsi="Arial"/>
          <w:sz w:val="22"/>
          <w:szCs w:val="22"/>
          <w:lang w:val="es-ES"/>
        </w:rPr>
        <w:t xml:space="preserve"> consultó en qué situación queda el gas licuado domiciliario. La Subsecretaria indicó que esto se encuentra dentro de una serie de medidas que se están tomando en materia energética para estabilizar los precios. Se está preparando un proyecto de ley para las cuentas de electricidad, otro para el gas licuado y otro para biocombustibles sólidos, al que se le ha aplicado suma urgencia. En </w:t>
      </w:r>
      <w:r w:rsidRPr="00FF20B1">
        <w:rPr>
          <w:rFonts w:ascii="Arial" w:hAnsi="Arial"/>
          <w:sz w:val="22"/>
          <w:szCs w:val="22"/>
          <w:lang w:val="es-ES"/>
        </w:rPr>
        <w:lastRenderedPageBreak/>
        <w:t xml:space="preserve">específico respecto al gas, se aplicará un plan piloto de precios minoristas y se refuerzan las competencias de la Fiscalía Nacional Económica para controlar la competencia en este mercado. </w:t>
      </w:r>
    </w:p>
    <w:p w:rsidR="00FF20B1" w:rsidRPr="00FF20B1" w:rsidRDefault="00FF20B1" w:rsidP="00FF20B1">
      <w:pPr>
        <w:spacing w:line="276" w:lineRule="auto"/>
        <w:ind w:right="-1" w:firstLine="1701"/>
        <w:jc w:val="both"/>
        <w:rPr>
          <w:rFonts w:ascii="Arial" w:hAnsi="Arial"/>
          <w:sz w:val="22"/>
          <w:szCs w:val="22"/>
          <w:lang w:val="es-ES"/>
        </w:rPr>
      </w:pPr>
      <w:r w:rsidRPr="00FF20B1">
        <w:rPr>
          <w:rFonts w:ascii="Arial" w:hAnsi="Arial"/>
          <w:b/>
          <w:sz w:val="22"/>
          <w:szCs w:val="22"/>
          <w:lang w:val="es-ES"/>
        </w:rPr>
        <w:t xml:space="preserve">El Ministro </w:t>
      </w:r>
      <w:proofErr w:type="spellStart"/>
      <w:r w:rsidRPr="00FF20B1">
        <w:rPr>
          <w:rFonts w:ascii="Arial" w:hAnsi="Arial"/>
          <w:b/>
          <w:sz w:val="22"/>
          <w:szCs w:val="22"/>
          <w:lang w:val="es-ES"/>
        </w:rPr>
        <w:t>Huepe</w:t>
      </w:r>
      <w:proofErr w:type="spellEnd"/>
      <w:r w:rsidRPr="00FF20B1">
        <w:rPr>
          <w:rFonts w:ascii="Arial" w:hAnsi="Arial"/>
          <w:sz w:val="22"/>
          <w:szCs w:val="22"/>
          <w:lang w:val="es-ES"/>
        </w:rPr>
        <w:t xml:space="preserve"> añadió que, además del proyecto de ley, se avanzará en un rol más activo de ENAP en el mercado mayorista del gas licuado envasado. </w:t>
      </w:r>
    </w:p>
    <w:p w:rsidR="00FF20B1" w:rsidRPr="00FF20B1" w:rsidRDefault="00FF20B1" w:rsidP="00FF20B1">
      <w:pPr>
        <w:spacing w:line="276" w:lineRule="auto"/>
        <w:ind w:right="-1" w:firstLine="1701"/>
        <w:jc w:val="both"/>
        <w:rPr>
          <w:rFonts w:ascii="Arial" w:hAnsi="Arial"/>
          <w:sz w:val="22"/>
          <w:szCs w:val="22"/>
          <w:lang w:val="es-ES"/>
        </w:rPr>
      </w:pPr>
      <w:r w:rsidRPr="00FF20B1">
        <w:rPr>
          <w:rFonts w:ascii="Arial" w:hAnsi="Arial"/>
          <w:sz w:val="22"/>
          <w:szCs w:val="22"/>
          <w:lang w:val="es-ES"/>
        </w:rPr>
        <w:t xml:space="preserve">El diputado </w:t>
      </w:r>
      <w:r w:rsidRPr="00FF20B1">
        <w:rPr>
          <w:rFonts w:ascii="Arial" w:hAnsi="Arial"/>
          <w:b/>
          <w:sz w:val="22"/>
          <w:szCs w:val="22"/>
          <w:lang w:val="es-ES"/>
        </w:rPr>
        <w:t>Cifuentes</w:t>
      </w:r>
      <w:r w:rsidRPr="00FF20B1">
        <w:rPr>
          <w:rFonts w:ascii="Arial" w:hAnsi="Arial"/>
          <w:sz w:val="22"/>
          <w:szCs w:val="22"/>
          <w:lang w:val="es-ES"/>
        </w:rPr>
        <w:t xml:space="preserve"> preguntó por qué se fija la banda en torno a un 12,5, cómo se llega a ese guarismo. Consultó también con qué frecuencia se actualiza. Finalmente, preguntó por qué la parafina tiene que costar $1.000. </w:t>
      </w:r>
    </w:p>
    <w:p w:rsidR="00FF20B1" w:rsidRPr="00FF20B1" w:rsidRDefault="00FF20B1" w:rsidP="00FF20B1">
      <w:pPr>
        <w:spacing w:line="276" w:lineRule="auto"/>
        <w:ind w:right="-1" w:firstLine="1701"/>
        <w:jc w:val="both"/>
        <w:rPr>
          <w:rFonts w:ascii="Arial" w:hAnsi="Arial"/>
          <w:sz w:val="22"/>
          <w:szCs w:val="22"/>
          <w:lang w:val="es-ES"/>
        </w:rPr>
      </w:pPr>
      <w:r w:rsidRPr="00FF20B1">
        <w:rPr>
          <w:rFonts w:ascii="Arial" w:hAnsi="Arial"/>
          <w:b/>
          <w:sz w:val="22"/>
          <w:szCs w:val="22"/>
          <w:lang w:val="es-ES"/>
        </w:rPr>
        <w:t>El diputado Bianchi</w:t>
      </w:r>
      <w:r w:rsidRPr="00FF20B1">
        <w:rPr>
          <w:rFonts w:ascii="Arial" w:hAnsi="Arial"/>
          <w:sz w:val="22"/>
          <w:szCs w:val="22"/>
          <w:lang w:val="es-ES"/>
        </w:rPr>
        <w:t xml:space="preserve"> manifestó su preocupación en torno a la situación del año siguiente. Preguntó qué políticas se definirán, para no tener que seguir trabajando con medidas parche. </w:t>
      </w:r>
    </w:p>
    <w:p w:rsidR="00FF20B1" w:rsidRPr="00FF20B1" w:rsidRDefault="00FF20B1" w:rsidP="00FF20B1">
      <w:pPr>
        <w:spacing w:line="276" w:lineRule="auto"/>
        <w:ind w:right="-1" w:firstLine="1701"/>
        <w:jc w:val="both"/>
        <w:rPr>
          <w:rFonts w:ascii="Arial" w:hAnsi="Arial"/>
          <w:sz w:val="22"/>
          <w:szCs w:val="22"/>
          <w:lang w:val="es-ES"/>
        </w:rPr>
      </w:pPr>
      <w:r w:rsidRPr="00FF20B1">
        <w:rPr>
          <w:rFonts w:ascii="Arial" w:hAnsi="Arial"/>
          <w:b/>
          <w:sz w:val="22"/>
          <w:szCs w:val="22"/>
          <w:lang w:val="es-ES"/>
        </w:rPr>
        <w:t>El diputado Romero</w:t>
      </w:r>
      <w:r w:rsidRPr="00FF20B1">
        <w:rPr>
          <w:rFonts w:ascii="Arial" w:hAnsi="Arial"/>
          <w:sz w:val="22"/>
          <w:szCs w:val="22"/>
          <w:lang w:val="es-ES"/>
        </w:rPr>
        <w:t xml:space="preserve"> llamó a actuar con sentido de urgencia y utilizar los mecanismos con que ya cuenta la institucionalidad. </w:t>
      </w:r>
    </w:p>
    <w:p w:rsidR="00FF20B1" w:rsidRPr="00FF20B1" w:rsidRDefault="00FF20B1" w:rsidP="00FF20B1">
      <w:pPr>
        <w:spacing w:line="276" w:lineRule="auto"/>
        <w:ind w:right="-1" w:firstLine="1701"/>
        <w:jc w:val="both"/>
        <w:rPr>
          <w:rFonts w:ascii="Arial" w:hAnsi="Arial"/>
          <w:sz w:val="22"/>
          <w:szCs w:val="22"/>
          <w:lang w:val="es-ES"/>
        </w:rPr>
      </w:pPr>
      <w:r w:rsidRPr="00FF20B1">
        <w:rPr>
          <w:rFonts w:ascii="Arial" w:hAnsi="Arial"/>
          <w:b/>
          <w:sz w:val="22"/>
          <w:szCs w:val="22"/>
          <w:lang w:val="es-ES"/>
        </w:rPr>
        <w:t>El diputado Mellado</w:t>
      </w:r>
      <w:r w:rsidRPr="00FF20B1">
        <w:rPr>
          <w:rFonts w:ascii="Arial" w:hAnsi="Arial"/>
          <w:sz w:val="22"/>
          <w:szCs w:val="22"/>
          <w:lang w:val="es-ES"/>
        </w:rPr>
        <w:t xml:space="preserve"> preguntó qué lapso se considera para determinar el precio histórico, factor esencial para la determinación de la banda. Consideró que el proyecto contempla plazos pensados sólo desde la perspectiva metropolitana, sin hacerse cargo de la realidad de las regiones. </w:t>
      </w:r>
    </w:p>
    <w:p w:rsidR="00FF20B1" w:rsidRPr="00FF20B1" w:rsidRDefault="00FF20B1" w:rsidP="00FF20B1">
      <w:pPr>
        <w:spacing w:line="276" w:lineRule="auto"/>
        <w:ind w:right="-1" w:firstLine="1701"/>
        <w:jc w:val="both"/>
        <w:rPr>
          <w:rFonts w:ascii="Arial" w:hAnsi="Arial"/>
          <w:sz w:val="22"/>
          <w:szCs w:val="22"/>
          <w:lang w:val="es-ES"/>
        </w:rPr>
      </w:pPr>
      <w:r w:rsidRPr="00FF20B1">
        <w:rPr>
          <w:rFonts w:ascii="Arial" w:hAnsi="Arial"/>
          <w:b/>
          <w:sz w:val="22"/>
          <w:szCs w:val="22"/>
          <w:lang w:val="es-ES"/>
        </w:rPr>
        <w:t>El diputado Barrera</w:t>
      </w:r>
      <w:r w:rsidRPr="00FF20B1">
        <w:rPr>
          <w:rFonts w:ascii="Arial" w:hAnsi="Arial"/>
          <w:sz w:val="22"/>
          <w:szCs w:val="22"/>
          <w:lang w:val="es-ES"/>
        </w:rPr>
        <w:t xml:space="preserve"> consultó por qué se busca estabilizar el precio en $1.000, en lugar de llevarlo al precio que tenía hace 12 meses, cercano a los $650. </w:t>
      </w:r>
    </w:p>
    <w:p w:rsidR="00FF20B1" w:rsidRPr="00FF20B1" w:rsidRDefault="00FF20B1" w:rsidP="00FF20B1">
      <w:pPr>
        <w:spacing w:line="276" w:lineRule="auto"/>
        <w:ind w:right="-1" w:firstLine="1701"/>
        <w:jc w:val="both"/>
        <w:rPr>
          <w:rFonts w:ascii="Arial" w:hAnsi="Arial"/>
          <w:sz w:val="22"/>
          <w:szCs w:val="22"/>
          <w:lang w:val="es-ES"/>
        </w:rPr>
      </w:pPr>
      <w:r w:rsidRPr="00FF20B1">
        <w:rPr>
          <w:rFonts w:ascii="Arial" w:hAnsi="Arial"/>
          <w:b/>
          <w:sz w:val="22"/>
          <w:szCs w:val="22"/>
          <w:lang w:val="es-ES"/>
        </w:rPr>
        <w:t>El diputado Sauerbaum</w:t>
      </w:r>
      <w:r w:rsidRPr="00FF20B1">
        <w:rPr>
          <w:rFonts w:ascii="Arial" w:hAnsi="Arial"/>
          <w:sz w:val="22"/>
          <w:szCs w:val="22"/>
          <w:lang w:val="es-ES"/>
        </w:rPr>
        <w:t xml:space="preserve"> preguntó si se realizará el estudio anunciado a propósito de la presunta colusión en el mercado del gas licuado. Por otra parte, preguntó si se tomarán medidas relativas a los problemas que se han presentado en torno a la producción de alimentos, particularmente en el ámbito de los cereales. </w:t>
      </w:r>
    </w:p>
    <w:p w:rsidR="00FF20B1" w:rsidRPr="00FF20B1" w:rsidRDefault="00FF20B1" w:rsidP="00FF20B1">
      <w:pPr>
        <w:spacing w:line="276" w:lineRule="auto"/>
        <w:ind w:right="-1" w:firstLine="1701"/>
        <w:jc w:val="both"/>
        <w:rPr>
          <w:rFonts w:ascii="Arial" w:hAnsi="Arial"/>
          <w:sz w:val="22"/>
          <w:szCs w:val="22"/>
          <w:lang w:val="es-ES"/>
        </w:rPr>
      </w:pPr>
      <w:r w:rsidRPr="00FF20B1">
        <w:rPr>
          <w:rFonts w:ascii="Arial" w:hAnsi="Arial"/>
          <w:b/>
          <w:sz w:val="22"/>
          <w:szCs w:val="22"/>
          <w:lang w:val="es-ES"/>
        </w:rPr>
        <w:t>El diputado Von Mühlenbrock</w:t>
      </w:r>
      <w:r w:rsidRPr="00FF20B1">
        <w:rPr>
          <w:rFonts w:ascii="Arial" w:hAnsi="Arial"/>
          <w:sz w:val="22"/>
          <w:szCs w:val="22"/>
          <w:lang w:val="es-ES"/>
        </w:rPr>
        <w:t xml:space="preserve"> consultó si se contemplan políticas públicas o medidas especiales para las regiones extremas. </w:t>
      </w:r>
    </w:p>
    <w:p w:rsidR="00FF20B1" w:rsidRPr="00FF20B1" w:rsidRDefault="00FF20B1" w:rsidP="00FF20B1">
      <w:pPr>
        <w:spacing w:line="276" w:lineRule="auto"/>
        <w:ind w:right="-1" w:firstLine="1701"/>
        <w:jc w:val="both"/>
        <w:rPr>
          <w:rFonts w:ascii="Arial" w:hAnsi="Arial"/>
          <w:sz w:val="22"/>
          <w:szCs w:val="22"/>
          <w:lang w:val="es-ES"/>
        </w:rPr>
      </w:pPr>
      <w:r w:rsidRPr="00FF20B1">
        <w:rPr>
          <w:rFonts w:ascii="Arial" w:hAnsi="Arial"/>
          <w:b/>
          <w:sz w:val="22"/>
          <w:szCs w:val="22"/>
          <w:lang w:val="es-ES"/>
        </w:rPr>
        <w:t>El diputado Naranjo</w:t>
      </w:r>
      <w:r w:rsidR="00A96796">
        <w:rPr>
          <w:rFonts w:ascii="Arial" w:hAnsi="Arial"/>
          <w:b/>
          <w:sz w:val="22"/>
          <w:szCs w:val="22"/>
          <w:lang w:val="es-ES"/>
        </w:rPr>
        <w:t xml:space="preserve"> (Presidente)</w:t>
      </w:r>
      <w:r w:rsidRPr="00FF20B1">
        <w:rPr>
          <w:rFonts w:ascii="Arial" w:hAnsi="Arial"/>
          <w:sz w:val="22"/>
          <w:szCs w:val="22"/>
          <w:lang w:val="es-ES"/>
        </w:rPr>
        <w:t xml:space="preserve"> coincidió con el diputado Sauerbaum, en el sentido de la necesidad de tomar medidas que apunten a la agricultura, dado el actual complejo contexto que se vive, que ha provocado una profunda dependencia en numerosas cosechas. </w:t>
      </w:r>
    </w:p>
    <w:p w:rsidR="005E1663" w:rsidRDefault="005E1663" w:rsidP="00FF20B1">
      <w:pPr>
        <w:spacing w:line="276" w:lineRule="auto"/>
        <w:ind w:right="-1" w:firstLine="1701"/>
        <w:jc w:val="both"/>
        <w:rPr>
          <w:rFonts w:ascii="Arial" w:hAnsi="Arial"/>
          <w:sz w:val="22"/>
          <w:szCs w:val="22"/>
          <w:lang w:val="es-ES"/>
        </w:rPr>
      </w:pPr>
    </w:p>
    <w:p w:rsidR="00FF20B1" w:rsidRPr="00FF20B1" w:rsidRDefault="00FF20B1" w:rsidP="00FF20B1">
      <w:pPr>
        <w:spacing w:line="276" w:lineRule="auto"/>
        <w:ind w:right="-1" w:firstLine="1701"/>
        <w:jc w:val="both"/>
        <w:rPr>
          <w:rFonts w:ascii="Arial" w:hAnsi="Arial"/>
          <w:sz w:val="22"/>
          <w:szCs w:val="22"/>
          <w:lang w:val="es-ES"/>
        </w:rPr>
      </w:pPr>
      <w:r w:rsidRPr="00FF20B1">
        <w:rPr>
          <w:rFonts w:ascii="Arial" w:hAnsi="Arial"/>
          <w:b/>
          <w:sz w:val="22"/>
          <w:szCs w:val="22"/>
          <w:lang w:val="es-ES"/>
        </w:rPr>
        <w:t>La Subsecretaria Sanhueza</w:t>
      </w:r>
      <w:r w:rsidRPr="00FF20B1">
        <w:rPr>
          <w:rFonts w:ascii="Arial" w:hAnsi="Arial"/>
          <w:sz w:val="22"/>
          <w:szCs w:val="22"/>
          <w:lang w:val="es-ES"/>
        </w:rPr>
        <w:t xml:space="preserve"> señaló que las simulaciones, hechas hasta septiembre, no implican que tras ese mes los precios vayan a aumentar intempestivamente. Si llegaran a cambiar los parámetros de la estimación, alternando las proyecciones de precios, se asignarían más recursos al fondo para asegurar que el precio se estabilice durante el invierno. Por otra parte, manifestó que el subsidio llega a todo el país y no sólo a algunas regiones. Si no se producen incrementos en los precios internacionales, el mecanismo igualmente actúa. El precio de $1.000, en lugar de los $650 del año anterior, obedece a un motivo práctico, a saber, el hecho de estar alineado en cierta medida a los parámetros estructurales, y su relación con el comportamiento estimado de los precios en el mediano y largo plazo. Este precio, a su vez, garantiza cierta estabilidad en el fondo. Tratándose de la agricultura, indicó que es un problema propio del Ministerio de Agricultura, órgano con el que se está conversando. Respecto al año siguiente, señaló que las cifras inflacionarias deberían tender a una estabilidad en torno al 3%, bajo la expectativa de que los factores globales, particularmente la guerra en Ucrania, también se estabilicen. </w:t>
      </w:r>
    </w:p>
    <w:p w:rsidR="00FF20B1" w:rsidRPr="00FF20B1" w:rsidRDefault="00FF20B1" w:rsidP="00FF20B1">
      <w:pPr>
        <w:spacing w:line="276" w:lineRule="auto"/>
        <w:ind w:right="-1" w:firstLine="1701"/>
        <w:jc w:val="both"/>
        <w:rPr>
          <w:rFonts w:ascii="Arial" w:hAnsi="Arial"/>
          <w:sz w:val="22"/>
          <w:szCs w:val="22"/>
          <w:lang w:val="es-ES"/>
        </w:rPr>
      </w:pPr>
      <w:r w:rsidRPr="00FF20B1">
        <w:rPr>
          <w:rFonts w:ascii="Arial" w:hAnsi="Arial"/>
          <w:b/>
          <w:sz w:val="22"/>
          <w:szCs w:val="22"/>
          <w:lang w:val="es-ES"/>
        </w:rPr>
        <w:t xml:space="preserve">El Ministro </w:t>
      </w:r>
      <w:proofErr w:type="spellStart"/>
      <w:r w:rsidRPr="00FF20B1">
        <w:rPr>
          <w:rFonts w:ascii="Arial" w:hAnsi="Arial"/>
          <w:b/>
          <w:sz w:val="22"/>
          <w:szCs w:val="22"/>
          <w:lang w:val="es-ES"/>
        </w:rPr>
        <w:t>Huepe</w:t>
      </w:r>
      <w:proofErr w:type="spellEnd"/>
      <w:r w:rsidRPr="00FF20B1">
        <w:rPr>
          <w:rFonts w:ascii="Arial" w:hAnsi="Arial"/>
          <w:sz w:val="22"/>
          <w:szCs w:val="22"/>
          <w:lang w:val="es-ES"/>
        </w:rPr>
        <w:t xml:space="preserve"> agregó que el cálculo del precio de referencia y de la banda, se hace mirando dos años hacia atrás y diez hacia delante, en la búsqueda de </w:t>
      </w:r>
      <w:r w:rsidRPr="00FF20B1">
        <w:rPr>
          <w:rFonts w:ascii="Arial" w:hAnsi="Arial"/>
          <w:sz w:val="22"/>
          <w:szCs w:val="22"/>
          <w:lang w:val="es-ES"/>
        </w:rPr>
        <w:lastRenderedPageBreak/>
        <w:t xml:space="preserve">un precio que sea poco volátil. Respecto al plan piloto con ENAP, se trata de una primera etapa de desarrollo, que antecede a una de consolidación del negocio, que dependerá enteramente del análisis del negocio y del potencial de la empresa de aportar en un gas de menor precio, sin afectar su mandato operacional. </w:t>
      </w:r>
    </w:p>
    <w:p w:rsidR="005E1663" w:rsidRDefault="005E1663" w:rsidP="00FF20B1">
      <w:pPr>
        <w:spacing w:line="276" w:lineRule="auto"/>
        <w:ind w:right="-1" w:firstLine="1701"/>
        <w:jc w:val="both"/>
        <w:rPr>
          <w:rFonts w:ascii="Arial" w:hAnsi="Arial"/>
          <w:sz w:val="22"/>
          <w:szCs w:val="22"/>
          <w:lang w:val="es-ES"/>
        </w:rPr>
      </w:pPr>
    </w:p>
    <w:p w:rsidR="00FF20B1" w:rsidRPr="00FF20B1" w:rsidRDefault="00FF20B1" w:rsidP="00FF20B1">
      <w:pPr>
        <w:spacing w:line="276" w:lineRule="auto"/>
        <w:ind w:right="-1" w:firstLine="1701"/>
        <w:jc w:val="both"/>
        <w:rPr>
          <w:rFonts w:ascii="Arial" w:hAnsi="Arial"/>
          <w:sz w:val="22"/>
          <w:szCs w:val="22"/>
          <w:lang w:val="es-ES"/>
        </w:rPr>
      </w:pPr>
      <w:r w:rsidRPr="00FF20B1">
        <w:rPr>
          <w:rFonts w:ascii="Arial" w:hAnsi="Arial"/>
          <w:b/>
          <w:sz w:val="22"/>
          <w:szCs w:val="22"/>
          <w:lang w:val="es-ES"/>
        </w:rPr>
        <w:t>El diputado Mellado</w:t>
      </w:r>
      <w:r w:rsidRPr="00FF20B1">
        <w:rPr>
          <w:rFonts w:ascii="Arial" w:hAnsi="Arial"/>
          <w:sz w:val="22"/>
          <w:szCs w:val="22"/>
          <w:lang w:val="es-ES"/>
        </w:rPr>
        <w:t xml:space="preserve"> expresó que, dado el contexto actual, el alza de los precios en los combustibles ha llevado a un límite al mecanismo de estabilización, que provocaría que en mayo se agote, implicando un alza de cerca de $300. Hizo entrega a la Subsecretaria de una propuesta que podría abordar este problema. Destacó que apoya el proyecto sometido a consideración de la Comisión, pero que por su insuficiencia, será necesario presentar uno nuevo en pocos meses más. </w:t>
      </w:r>
    </w:p>
    <w:p w:rsidR="00FF20B1" w:rsidRPr="00FF20B1" w:rsidRDefault="00FF20B1" w:rsidP="00FF20B1">
      <w:pPr>
        <w:spacing w:line="276" w:lineRule="auto"/>
        <w:ind w:right="-1" w:firstLine="1701"/>
        <w:jc w:val="both"/>
        <w:rPr>
          <w:rFonts w:ascii="Arial" w:hAnsi="Arial"/>
          <w:sz w:val="22"/>
          <w:szCs w:val="22"/>
          <w:lang w:val="es-ES"/>
        </w:rPr>
      </w:pPr>
    </w:p>
    <w:p w:rsidR="00FF20B1" w:rsidRPr="00FF20B1" w:rsidRDefault="00FF20B1" w:rsidP="00FF20B1">
      <w:pPr>
        <w:spacing w:line="276" w:lineRule="auto"/>
        <w:ind w:right="-1" w:firstLine="1701"/>
        <w:jc w:val="both"/>
        <w:rPr>
          <w:rFonts w:ascii="Arial" w:hAnsi="Arial"/>
          <w:b/>
          <w:sz w:val="22"/>
          <w:szCs w:val="22"/>
          <w:lang w:val="es-ES"/>
        </w:rPr>
      </w:pPr>
      <w:r w:rsidRPr="00FF20B1">
        <w:rPr>
          <w:rFonts w:ascii="Arial" w:hAnsi="Arial"/>
          <w:b/>
          <w:sz w:val="22"/>
          <w:szCs w:val="22"/>
          <w:lang w:val="es-ES"/>
        </w:rPr>
        <w:t>Tras las intervenciones se procedió a la votación del proyecto de ley:</w:t>
      </w:r>
    </w:p>
    <w:p w:rsidR="00FF20B1" w:rsidRPr="00FF20B1" w:rsidRDefault="00FF20B1" w:rsidP="00FF20B1">
      <w:pPr>
        <w:spacing w:line="276" w:lineRule="auto"/>
        <w:ind w:right="-1" w:firstLine="1701"/>
        <w:jc w:val="both"/>
        <w:rPr>
          <w:rFonts w:ascii="Arial" w:hAnsi="Arial"/>
          <w:sz w:val="22"/>
          <w:szCs w:val="22"/>
          <w:lang w:val="es-ES"/>
        </w:rPr>
      </w:pPr>
      <w:r w:rsidRPr="00FF20B1">
        <w:rPr>
          <w:rFonts w:ascii="Arial" w:hAnsi="Arial"/>
          <w:sz w:val="22"/>
          <w:szCs w:val="22"/>
          <w:lang w:val="es-ES"/>
        </w:rPr>
        <w:t>“Artículo Único.-</w:t>
      </w:r>
      <w:r w:rsidRPr="00FF20B1">
        <w:rPr>
          <w:rFonts w:ascii="Arial" w:hAnsi="Arial"/>
          <w:sz w:val="22"/>
          <w:szCs w:val="22"/>
          <w:lang w:val="es-ES"/>
        </w:rPr>
        <w:tab/>
        <w:t>Incorpórase en el artículo 5° de la ley Nº 19.030, que crea el Fondo de Estabilización de Precios del Petróleo, el siguiente inciso final, nuevo:</w:t>
      </w:r>
    </w:p>
    <w:p w:rsidR="00FF20B1" w:rsidRPr="00FF20B1" w:rsidRDefault="00FF20B1" w:rsidP="00FF20B1">
      <w:pPr>
        <w:spacing w:line="276" w:lineRule="auto"/>
        <w:ind w:right="-1" w:firstLine="1701"/>
        <w:jc w:val="both"/>
        <w:rPr>
          <w:rFonts w:ascii="Arial" w:hAnsi="Arial"/>
          <w:sz w:val="22"/>
          <w:szCs w:val="22"/>
          <w:lang w:val="es-ES"/>
        </w:rPr>
      </w:pPr>
      <w:r w:rsidRPr="00FF20B1">
        <w:rPr>
          <w:rFonts w:ascii="Arial" w:hAnsi="Arial"/>
          <w:sz w:val="22"/>
          <w:szCs w:val="22"/>
          <w:lang w:val="es-ES"/>
        </w:rPr>
        <w:t>“</w:t>
      </w:r>
      <w:proofErr w:type="spellStart"/>
      <w:r w:rsidRPr="00FF20B1">
        <w:rPr>
          <w:rFonts w:ascii="Arial" w:hAnsi="Arial"/>
          <w:sz w:val="22"/>
          <w:szCs w:val="22"/>
          <w:lang w:val="es-ES"/>
        </w:rPr>
        <w:t>Facúltase</w:t>
      </w:r>
      <w:proofErr w:type="spellEnd"/>
      <w:r w:rsidRPr="00FF20B1">
        <w:rPr>
          <w:rFonts w:ascii="Arial" w:hAnsi="Arial"/>
          <w:sz w:val="22"/>
          <w:szCs w:val="22"/>
          <w:lang w:val="es-ES"/>
        </w:rPr>
        <w:t xml:space="preserve"> al Ministro de Hacienda para incrementar, mediante decreto expedido bajo la fórmula "Por orden del Presidente de la República", el Fondo en cuarenta millones de dólares de los Estados Unidos de América, mediante una o más transferencias de recursos disponibles en activos financieros del Tesoro Público. Dicha facultad podrá ser ejercida hasta el 31 de diciembre del año 2022.”.”.</w:t>
      </w:r>
    </w:p>
    <w:p w:rsidR="00FF20B1" w:rsidRPr="00FF20B1" w:rsidRDefault="00FF20B1" w:rsidP="00FF20B1">
      <w:pPr>
        <w:spacing w:line="276" w:lineRule="auto"/>
        <w:ind w:right="-1" w:firstLine="1701"/>
        <w:jc w:val="both"/>
        <w:rPr>
          <w:rFonts w:ascii="Arial" w:hAnsi="Arial"/>
          <w:sz w:val="22"/>
          <w:szCs w:val="22"/>
          <w:lang w:val="es-ES"/>
        </w:rPr>
      </w:pPr>
    </w:p>
    <w:p w:rsidR="00FF20B1" w:rsidRPr="00FF20B1" w:rsidRDefault="00FF20B1" w:rsidP="00FF20B1">
      <w:pPr>
        <w:spacing w:line="276" w:lineRule="auto"/>
        <w:ind w:right="-1" w:firstLine="1701"/>
        <w:jc w:val="both"/>
        <w:rPr>
          <w:rFonts w:ascii="Arial" w:hAnsi="Arial"/>
          <w:b/>
          <w:bCs/>
          <w:sz w:val="22"/>
          <w:szCs w:val="22"/>
          <w:lang w:val="es-ES"/>
        </w:rPr>
      </w:pPr>
      <w:r w:rsidRPr="00FF20B1">
        <w:rPr>
          <w:rFonts w:ascii="Arial" w:hAnsi="Arial"/>
          <w:b/>
          <w:bCs/>
          <w:sz w:val="22"/>
          <w:szCs w:val="22"/>
          <w:lang w:val="es-ES"/>
        </w:rPr>
        <w:t>Indicación del diputado Mellado:</w:t>
      </w:r>
    </w:p>
    <w:p w:rsidR="00FF20B1" w:rsidRPr="00FF20B1" w:rsidRDefault="00FF20B1" w:rsidP="00FF20B1">
      <w:pPr>
        <w:spacing w:line="276" w:lineRule="auto"/>
        <w:ind w:right="-1" w:firstLine="1701"/>
        <w:jc w:val="both"/>
        <w:rPr>
          <w:rFonts w:ascii="Arial" w:hAnsi="Arial"/>
          <w:sz w:val="22"/>
          <w:szCs w:val="22"/>
          <w:lang w:val="es-ES"/>
        </w:rPr>
      </w:pPr>
      <w:r w:rsidRPr="00FF20B1">
        <w:rPr>
          <w:rFonts w:ascii="Arial" w:hAnsi="Arial"/>
          <w:sz w:val="22"/>
          <w:szCs w:val="22"/>
          <w:lang w:val="es-ES"/>
        </w:rPr>
        <w:t>Para incorporar un nuevo número 2 al artículo único, del siguiente tenor:</w:t>
      </w:r>
    </w:p>
    <w:p w:rsidR="00FF20B1" w:rsidRPr="00FF20B1" w:rsidRDefault="00FF20B1" w:rsidP="00FF20B1">
      <w:pPr>
        <w:spacing w:line="276" w:lineRule="auto"/>
        <w:ind w:right="-1" w:firstLine="1701"/>
        <w:jc w:val="both"/>
        <w:rPr>
          <w:rFonts w:ascii="Arial" w:hAnsi="Arial"/>
          <w:sz w:val="22"/>
          <w:szCs w:val="22"/>
          <w:lang w:val="es-ES"/>
        </w:rPr>
      </w:pPr>
      <w:r w:rsidRPr="00FF20B1">
        <w:rPr>
          <w:rFonts w:ascii="Arial" w:hAnsi="Arial"/>
          <w:sz w:val="22"/>
          <w:szCs w:val="22"/>
          <w:lang w:val="es-ES"/>
        </w:rPr>
        <w:t>“2) Sustitúyese en el artículo 4° de la ley N° 20.765, que Crea Mecanismo de Estabilización de Precios de los Combustibles que indica, las dos veces que aparece, el guarismo “</w:t>
      </w:r>
      <w:smartTag w:uri="urn:schemas-microsoft-com:office:smarttags" w:element="metricconverter">
        <w:smartTagPr>
          <w:attr w:name="ProductID" w:val="1.500”"/>
        </w:smartTagPr>
        <w:r w:rsidRPr="00FF20B1">
          <w:rPr>
            <w:rFonts w:ascii="Arial" w:hAnsi="Arial"/>
            <w:sz w:val="22"/>
            <w:szCs w:val="22"/>
            <w:lang w:val="es-ES"/>
          </w:rPr>
          <w:t>1.500”</w:t>
        </w:r>
      </w:smartTag>
      <w:r w:rsidRPr="00FF20B1">
        <w:rPr>
          <w:rFonts w:ascii="Arial" w:hAnsi="Arial"/>
          <w:sz w:val="22"/>
          <w:szCs w:val="22"/>
          <w:lang w:val="es-ES"/>
        </w:rPr>
        <w:t xml:space="preserve"> por “</w:t>
      </w:r>
      <w:smartTag w:uri="urn:schemas-microsoft-com:office:smarttags" w:element="metricconverter">
        <w:smartTagPr>
          <w:attr w:name="ProductID" w:val="2.500”"/>
        </w:smartTagPr>
        <w:r w:rsidRPr="00FF20B1">
          <w:rPr>
            <w:rFonts w:ascii="Arial" w:hAnsi="Arial"/>
            <w:sz w:val="22"/>
            <w:szCs w:val="22"/>
            <w:lang w:val="es-ES"/>
          </w:rPr>
          <w:t>2.500”</w:t>
        </w:r>
      </w:smartTag>
      <w:r w:rsidRPr="00FF20B1">
        <w:rPr>
          <w:rFonts w:ascii="Arial" w:hAnsi="Arial"/>
          <w:sz w:val="22"/>
          <w:szCs w:val="22"/>
          <w:lang w:val="es-ES"/>
        </w:rPr>
        <w:t xml:space="preserve">. </w:t>
      </w:r>
    </w:p>
    <w:p w:rsidR="00FF20B1" w:rsidRPr="00FF20B1" w:rsidRDefault="00FF20B1" w:rsidP="00FF20B1">
      <w:pPr>
        <w:spacing w:line="276" w:lineRule="auto"/>
        <w:ind w:right="-1" w:firstLine="1701"/>
        <w:jc w:val="both"/>
        <w:rPr>
          <w:rFonts w:ascii="Arial" w:hAnsi="Arial"/>
          <w:sz w:val="22"/>
          <w:szCs w:val="22"/>
          <w:lang w:val="es-ES"/>
        </w:rPr>
      </w:pPr>
      <w:r w:rsidRPr="00FF20B1">
        <w:rPr>
          <w:rFonts w:ascii="Arial" w:hAnsi="Arial"/>
          <w:sz w:val="22"/>
          <w:szCs w:val="22"/>
          <w:lang w:val="es-ES"/>
        </w:rPr>
        <w:t xml:space="preserve">La indicación fue declarada inadmisible por el Presidente de la Comisión, por exceder las ideas matrices del proyecto de ley. </w:t>
      </w:r>
    </w:p>
    <w:p w:rsidR="00FF20B1" w:rsidRDefault="00FF20B1" w:rsidP="00FF20B1">
      <w:pPr>
        <w:spacing w:line="276" w:lineRule="auto"/>
        <w:ind w:right="-1" w:firstLine="1701"/>
        <w:jc w:val="both"/>
        <w:rPr>
          <w:rFonts w:ascii="Arial" w:hAnsi="Arial"/>
          <w:sz w:val="22"/>
          <w:szCs w:val="22"/>
          <w:lang w:val="es-ES"/>
        </w:rPr>
      </w:pPr>
    </w:p>
    <w:p w:rsidR="005E1663" w:rsidRPr="00FF20B1" w:rsidRDefault="005E1663" w:rsidP="00FF20B1">
      <w:pPr>
        <w:spacing w:line="276" w:lineRule="auto"/>
        <w:ind w:right="-1" w:firstLine="1701"/>
        <w:jc w:val="both"/>
        <w:rPr>
          <w:rFonts w:ascii="Arial" w:hAnsi="Arial"/>
          <w:b/>
          <w:sz w:val="22"/>
          <w:szCs w:val="22"/>
          <w:lang w:val="es-ES"/>
        </w:rPr>
      </w:pPr>
      <w:r w:rsidRPr="005E1663">
        <w:rPr>
          <w:rFonts w:ascii="Arial" w:hAnsi="Arial"/>
          <w:b/>
          <w:sz w:val="22"/>
          <w:szCs w:val="22"/>
          <w:lang w:val="es-ES"/>
        </w:rPr>
        <w:t>VOTACIÓN</w:t>
      </w:r>
    </w:p>
    <w:p w:rsidR="00FF20B1" w:rsidRPr="00FF20B1" w:rsidRDefault="00FF20B1" w:rsidP="00FF20B1">
      <w:pPr>
        <w:spacing w:line="276" w:lineRule="auto"/>
        <w:ind w:right="-1" w:firstLine="1701"/>
        <w:jc w:val="both"/>
        <w:rPr>
          <w:rFonts w:ascii="Arial" w:hAnsi="Arial"/>
          <w:sz w:val="22"/>
          <w:szCs w:val="22"/>
          <w:lang w:val="es-ES"/>
        </w:rPr>
      </w:pPr>
      <w:r w:rsidRPr="00FF20B1">
        <w:rPr>
          <w:rFonts w:ascii="Arial" w:hAnsi="Arial"/>
          <w:sz w:val="22"/>
          <w:szCs w:val="22"/>
          <w:lang w:val="es-ES"/>
        </w:rPr>
        <w:t xml:space="preserve">En votación en general y en particular, resultó aprobado por la unanimidad de los doce diputados presentes. Votaron a favor los diputados Barrera, Bianchi, Brito, Cifuentes, Mellado, Naranjo, Ramírez, Romero, Sauerbaum, Sepúlveda, Von Mühlenbrock y Yeomans. </w:t>
      </w:r>
    </w:p>
    <w:p w:rsidR="00FF20B1" w:rsidRDefault="00FF20B1" w:rsidP="00FF20B1">
      <w:pPr>
        <w:tabs>
          <w:tab w:val="left" w:pos="2694"/>
        </w:tabs>
        <w:autoSpaceDE w:val="0"/>
        <w:autoSpaceDN w:val="0"/>
        <w:adjustRightInd w:val="0"/>
        <w:spacing w:line="276" w:lineRule="auto"/>
        <w:ind w:firstLine="1701"/>
        <w:jc w:val="both"/>
        <w:rPr>
          <w:rFonts w:ascii="Arial" w:hAnsi="Arial" w:cs="Courier New"/>
          <w:b/>
          <w:sz w:val="22"/>
          <w:szCs w:val="22"/>
        </w:rPr>
      </w:pPr>
    </w:p>
    <w:p w:rsidR="00FF20B1" w:rsidRDefault="00DB657F" w:rsidP="00DB657F">
      <w:pPr>
        <w:tabs>
          <w:tab w:val="left" w:pos="2694"/>
        </w:tabs>
        <w:autoSpaceDE w:val="0"/>
        <w:autoSpaceDN w:val="0"/>
        <w:adjustRightInd w:val="0"/>
        <w:spacing w:line="276" w:lineRule="auto"/>
        <w:jc w:val="center"/>
        <w:rPr>
          <w:rFonts w:ascii="Arial" w:hAnsi="Arial" w:cs="Courier New"/>
          <w:b/>
          <w:sz w:val="22"/>
          <w:szCs w:val="22"/>
        </w:rPr>
      </w:pPr>
      <w:r>
        <w:rPr>
          <w:rFonts w:ascii="Arial" w:hAnsi="Arial" w:cs="Courier New"/>
          <w:b/>
          <w:sz w:val="22"/>
          <w:szCs w:val="22"/>
        </w:rPr>
        <w:t>*****</w:t>
      </w:r>
    </w:p>
    <w:p w:rsidR="00FF20B1" w:rsidRDefault="00FF20B1" w:rsidP="00A4322B">
      <w:pPr>
        <w:tabs>
          <w:tab w:val="left" w:pos="2694"/>
        </w:tabs>
        <w:autoSpaceDE w:val="0"/>
        <w:autoSpaceDN w:val="0"/>
        <w:adjustRightInd w:val="0"/>
        <w:spacing w:line="276" w:lineRule="auto"/>
        <w:ind w:firstLine="1622"/>
        <w:jc w:val="both"/>
        <w:rPr>
          <w:rFonts w:ascii="Arial" w:hAnsi="Arial" w:cs="Courier New"/>
          <w:b/>
          <w:sz w:val="22"/>
          <w:szCs w:val="22"/>
        </w:rPr>
      </w:pPr>
    </w:p>
    <w:p w:rsidR="00DB657F" w:rsidRPr="00346FC3" w:rsidRDefault="00DB657F" w:rsidP="00DB657F">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346FC3">
        <w:rPr>
          <w:rFonts w:ascii="Arial" w:hAnsi="Arial" w:cs="Arial"/>
          <w:spacing w:val="-3"/>
          <w:sz w:val="22"/>
          <w:szCs w:val="22"/>
        </w:rPr>
        <w:t xml:space="preserve">Por las razones señaladas y consideraciones que expondrá </w:t>
      </w:r>
      <w:r>
        <w:rPr>
          <w:rFonts w:ascii="Arial" w:hAnsi="Arial" w:cs="Arial"/>
          <w:spacing w:val="-3"/>
          <w:sz w:val="22"/>
          <w:szCs w:val="22"/>
        </w:rPr>
        <w:t>el señor</w:t>
      </w:r>
      <w:r w:rsidRPr="00346FC3">
        <w:rPr>
          <w:rFonts w:ascii="Arial" w:hAnsi="Arial" w:cs="Arial"/>
          <w:spacing w:val="-3"/>
          <w:sz w:val="22"/>
          <w:szCs w:val="22"/>
        </w:rPr>
        <w:t xml:space="preserve"> Diputad</w:t>
      </w:r>
      <w:r>
        <w:rPr>
          <w:rFonts w:ascii="Arial" w:hAnsi="Arial" w:cs="Arial"/>
          <w:spacing w:val="-3"/>
          <w:sz w:val="22"/>
          <w:szCs w:val="22"/>
        </w:rPr>
        <w:t>o</w:t>
      </w:r>
      <w:r w:rsidRPr="00346FC3">
        <w:rPr>
          <w:rFonts w:ascii="Arial" w:hAnsi="Arial" w:cs="Arial"/>
          <w:spacing w:val="-3"/>
          <w:sz w:val="22"/>
          <w:szCs w:val="22"/>
        </w:rPr>
        <w:t xml:space="preserve"> Informante, la Comisión de Hacienda recomienda </w:t>
      </w:r>
      <w:r>
        <w:rPr>
          <w:rFonts w:ascii="Arial" w:hAnsi="Arial" w:cs="Arial"/>
          <w:b/>
          <w:spacing w:val="-3"/>
          <w:sz w:val="22"/>
          <w:szCs w:val="22"/>
        </w:rPr>
        <w:t xml:space="preserve">aprobar </w:t>
      </w:r>
      <w:r w:rsidRPr="00346FC3">
        <w:rPr>
          <w:rFonts w:ascii="Arial" w:hAnsi="Arial" w:cs="Arial"/>
          <w:spacing w:val="-3"/>
          <w:sz w:val="22"/>
          <w:szCs w:val="22"/>
        </w:rPr>
        <w:t>el siguiente</w:t>
      </w:r>
    </w:p>
    <w:p w:rsidR="00DB657F" w:rsidRPr="00346FC3" w:rsidRDefault="00DB657F" w:rsidP="00DB657F">
      <w:pPr>
        <w:tabs>
          <w:tab w:val="left" w:pos="2268"/>
        </w:tabs>
        <w:spacing w:line="276" w:lineRule="auto"/>
        <w:jc w:val="both"/>
        <w:rPr>
          <w:rFonts w:ascii="Arial" w:hAnsi="Arial" w:cs="Arial"/>
          <w:sz w:val="22"/>
          <w:szCs w:val="22"/>
        </w:rPr>
      </w:pPr>
    </w:p>
    <w:p w:rsidR="00DB657F" w:rsidRDefault="00DB657F" w:rsidP="00DB657F">
      <w:pPr>
        <w:tabs>
          <w:tab w:val="left" w:pos="2268"/>
        </w:tabs>
        <w:jc w:val="center"/>
        <w:outlineLvl w:val="0"/>
        <w:rPr>
          <w:rFonts w:ascii="Arial" w:hAnsi="Arial" w:cs="Arial"/>
          <w:b/>
          <w:spacing w:val="-3"/>
          <w:sz w:val="22"/>
          <w:szCs w:val="22"/>
        </w:rPr>
      </w:pPr>
    </w:p>
    <w:p w:rsidR="00DB657F" w:rsidRDefault="00DB657F" w:rsidP="00DB657F">
      <w:pPr>
        <w:tabs>
          <w:tab w:val="left" w:pos="2268"/>
        </w:tabs>
        <w:jc w:val="center"/>
        <w:outlineLvl w:val="0"/>
        <w:rPr>
          <w:rFonts w:ascii="Arial" w:hAnsi="Arial" w:cs="Arial"/>
          <w:b/>
          <w:spacing w:val="-3"/>
          <w:sz w:val="22"/>
          <w:szCs w:val="22"/>
        </w:rPr>
      </w:pPr>
    </w:p>
    <w:p w:rsidR="00DB657F" w:rsidRDefault="00DB657F" w:rsidP="00DB657F">
      <w:pPr>
        <w:tabs>
          <w:tab w:val="left" w:pos="2268"/>
        </w:tabs>
        <w:jc w:val="center"/>
        <w:outlineLvl w:val="0"/>
        <w:rPr>
          <w:rFonts w:ascii="Arial" w:hAnsi="Arial" w:cs="Arial"/>
          <w:b/>
          <w:spacing w:val="-3"/>
          <w:sz w:val="22"/>
          <w:szCs w:val="22"/>
        </w:rPr>
      </w:pPr>
      <w:r w:rsidRPr="00346FC3">
        <w:rPr>
          <w:rFonts w:ascii="Arial" w:hAnsi="Arial" w:cs="Arial"/>
          <w:b/>
          <w:spacing w:val="-3"/>
          <w:sz w:val="22"/>
          <w:szCs w:val="22"/>
        </w:rPr>
        <w:t>PROYECTO DE LEY</w:t>
      </w:r>
    </w:p>
    <w:p w:rsidR="007633B1" w:rsidRDefault="007633B1" w:rsidP="00566FF1">
      <w:pPr>
        <w:spacing w:line="276" w:lineRule="auto"/>
        <w:ind w:firstLine="1701"/>
        <w:jc w:val="both"/>
        <w:rPr>
          <w:rFonts w:ascii="Arial" w:eastAsia="Arial" w:hAnsi="Arial" w:cs="Arial"/>
          <w:sz w:val="22"/>
          <w:szCs w:val="22"/>
          <w:lang w:val="es-CL" w:eastAsia="es-CL"/>
        </w:rPr>
      </w:pPr>
    </w:p>
    <w:p w:rsidR="008B4199" w:rsidRDefault="008B4199" w:rsidP="00DB657F">
      <w:pPr>
        <w:spacing w:line="276" w:lineRule="auto"/>
        <w:ind w:right="-1" w:firstLine="1701"/>
        <w:jc w:val="both"/>
        <w:rPr>
          <w:rFonts w:ascii="Arial" w:hAnsi="Arial"/>
          <w:sz w:val="22"/>
          <w:szCs w:val="22"/>
          <w:lang w:val="es-ES"/>
        </w:rPr>
      </w:pPr>
    </w:p>
    <w:p w:rsidR="00DB657F" w:rsidRPr="00FF20B1" w:rsidRDefault="00DB657F" w:rsidP="00DB657F">
      <w:pPr>
        <w:spacing w:line="276" w:lineRule="auto"/>
        <w:ind w:right="-1" w:firstLine="1701"/>
        <w:jc w:val="both"/>
        <w:rPr>
          <w:rFonts w:ascii="Arial" w:hAnsi="Arial"/>
          <w:sz w:val="22"/>
          <w:szCs w:val="22"/>
          <w:lang w:val="es-ES"/>
        </w:rPr>
      </w:pPr>
      <w:r w:rsidRPr="00FF20B1">
        <w:rPr>
          <w:rFonts w:ascii="Arial" w:hAnsi="Arial"/>
          <w:sz w:val="22"/>
          <w:szCs w:val="22"/>
          <w:lang w:val="es-ES"/>
        </w:rPr>
        <w:lastRenderedPageBreak/>
        <w:t xml:space="preserve">Artículo </w:t>
      </w:r>
      <w:r>
        <w:rPr>
          <w:rFonts w:ascii="Arial" w:hAnsi="Arial"/>
          <w:sz w:val="22"/>
          <w:szCs w:val="22"/>
          <w:lang w:val="es-ES"/>
        </w:rPr>
        <w:t>ú</w:t>
      </w:r>
      <w:r w:rsidRPr="00FF20B1">
        <w:rPr>
          <w:rFonts w:ascii="Arial" w:hAnsi="Arial"/>
          <w:sz w:val="22"/>
          <w:szCs w:val="22"/>
          <w:lang w:val="es-ES"/>
        </w:rPr>
        <w:t>nico.-</w:t>
      </w:r>
      <w:r w:rsidRPr="00FF20B1">
        <w:rPr>
          <w:rFonts w:ascii="Arial" w:hAnsi="Arial"/>
          <w:sz w:val="22"/>
          <w:szCs w:val="22"/>
          <w:lang w:val="es-ES"/>
        </w:rPr>
        <w:tab/>
        <w:t>Incorpórase en el artículo 5° de la ley Nº 19.030, que crea el Fondo de Estabilización de Precios del Petróleo, el siguiente inciso final, nuevo:</w:t>
      </w:r>
    </w:p>
    <w:p w:rsidR="00DB657F" w:rsidRDefault="00DB657F" w:rsidP="00DB657F">
      <w:pPr>
        <w:spacing w:line="276" w:lineRule="auto"/>
        <w:ind w:right="-1" w:firstLine="1701"/>
        <w:jc w:val="both"/>
        <w:rPr>
          <w:rFonts w:ascii="Arial" w:hAnsi="Arial"/>
          <w:sz w:val="22"/>
          <w:szCs w:val="22"/>
          <w:lang w:val="es-ES"/>
        </w:rPr>
      </w:pPr>
    </w:p>
    <w:p w:rsidR="00DB657F" w:rsidRPr="00FF20B1" w:rsidRDefault="00DB657F" w:rsidP="00DB657F">
      <w:pPr>
        <w:spacing w:line="276" w:lineRule="auto"/>
        <w:ind w:right="-1" w:firstLine="1701"/>
        <w:jc w:val="both"/>
        <w:rPr>
          <w:rFonts w:ascii="Arial" w:hAnsi="Arial"/>
          <w:sz w:val="22"/>
          <w:szCs w:val="22"/>
          <w:lang w:val="es-ES"/>
        </w:rPr>
      </w:pPr>
      <w:r w:rsidRPr="00FF20B1">
        <w:rPr>
          <w:rFonts w:ascii="Arial" w:hAnsi="Arial"/>
          <w:sz w:val="22"/>
          <w:szCs w:val="22"/>
          <w:lang w:val="es-ES"/>
        </w:rPr>
        <w:t>“</w:t>
      </w:r>
      <w:proofErr w:type="spellStart"/>
      <w:r w:rsidRPr="00FF20B1">
        <w:rPr>
          <w:rFonts w:ascii="Arial" w:hAnsi="Arial"/>
          <w:sz w:val="22"/>
          <w:szCs w:val="22"/>
          <w:lang w:val="es-ES"/>
        </w:rPr>
        <w:t>Facúltase</w:t>
      </w:r>
      <w:proofErr w:type="spellEnd"/>
      <w:r w:rsidRPr="00FF20B1">
        <w:rPr>
          <w:rFonts w:ascii="Arial" w:hAnsi="Arial"/>
          <w:sz w:val="22"/>
          <w:szCs w:val="22"/>
          <w:lang w:val="es-ES"/>
        </w:rPr>
        <w:t xml:space="preserve"> al Ministro de Hacienda para incrementar, mediante decreto expedido bajo la fórmula "Por orden del Presidente de la República", el Fondo en cuarenta millones de dólares de los Estados Unidos de América, mediante una o más transferencias de recursos disponibles en activos financieros del Tesoro Público. Dicha facultad podrá ser ejercida hasta el 31 de diciembre del año 2022”.</w:t>
      </w:r>
    </w:p>
    <w:p w:rsidR="00F9676A" w:rsidRPr="00110481" w:rsidRDefault="00F9676A" w:rsidP="00F9676A">
      <w:pPr>
        <w:spacing w:line="276" w:lineRule="auto"/>
        <w:ind w:firstLine="1701"/>
        <w:jc w:val="both"/>
        <w:rPr>
          <w:rFonts w:ascii="Arial" w:hAnsi="Arial" w:cs="Arial"/>
          <w:sz w:val="22"/>
          <w:szCs w:val="22"/>
          <w:lang w:val="es-ES"/>
        </w:rPr>
      </w:pPr>
    </w:p>
    <w:p w:rsidR="00346FC3" w:rsidRDefault="00346FC3" w:rsidP="00157D61">
      <w:pPr>
        <w:tabs>
          <w:tab w:val="left" w:pos="4751"/>
        </w:tabs>
        <w:spacing w:line="276" w:lineRule="auto"/>
        <w:jc w:val="center"/>
        <w:rPr>
          <w:rFonts w:ascii="Arial" w:hAnsi="Arial" w:cs="Arial"/>
          <w:sz w:val="22"/>
          <w:szCs w:val="22"/>
        </w:rPr>
      </w:pPr>
      <w:r>
        <w:rPr>
          <w:rFonts w:ascii="Arial" w:hAnsi="Arial" w:cs="Arial"/>
          <w:sz w:val="22"/>
          <w:szCs w:val="22"/>
        </w:rPr>
        <w:t>*******</w:t>
      </w:r>
    </w:p>
    <w:p w:rsidR="00C41963" w:rsidRPr="00C41963" w:rsidRDefault="00C41963" w:rsidP="002E7F31">
      <w:pPr>
        <w:tabs>
          <w:tab w:val="left" w:pos="4751"/>
        </w:tabs>
        <w:spacing w:line="276" w:lineRule="auto"/>
        <w:jc w:val="both"/>
        <w:rPr>
          <w:rFonts w:ascii="Arial" w:hAnsi="Arial" w:cs="Arial"/>
          <w:sz w:val="22"/>
          <w:szCs w:val="22"/>
        </w:rPr>
      </w:pPr>
    </w:p>
    <w:p w:rsidR="0012300B" w:rsidRDefault="007370EF" w:rsidP="0012300B">
      <w:pPr>
        <w:spacing w:line="276" w:lineRule="auto"/>
        <w:ind w:firstLine="1701"/>
        <w:jc w:val="both"/>
        <w:rPr>
          <w:rFonts w:ascii="Arial" w:hAnsi="Arial" w:cs="Arial"/>
          <w:sz w:val="22"/>
          <w:szCs w:val="22"/>
        </w:rPr>
      </w:pPr>
      <w:r>
        <w:rPr>
          <w:rFonts w:ascii="Arial" w:hAnsi="Arial" w:cs="Arial"/>
          <w:sz w:val="22"/>
          <w:szCs w:val="22"/>
        </w:rPr>
        <w:t xml:space="preserve">Tratado y acordado en </w:t>
      </w:r>
      <w:r w:rsidR="0012300B">
        <w:rPr>
          <w:rFonts w:ascii="Arial" w:hAnsi="Arial" w:cs="Arial"/>
          <w:sz w:val="22"/>
          <w:szCs w:val="22"/>
        </w:rPr>
        <w:t>la sesión especial celebrada en el día de hoy</w:t>
      </w:r>
      <w:r w:rsidR="00DB657F">
        <w:rPr>
          <w:rFonts w:ascii="Arial" w:hAnsi="Arial" w:cs="Arial"/>
          <w:sz w:val="22"/>
          <w:szCs w:val="22"/>
        </w:rPr>
        <w:t>,</w:t>
      </w:r>
      <w:r w:rsidR="0012300B">
        <w:rPr>
          <w:rFonts w:ascii="Arial" w:hAnsi="Arial" w:cs="Arial"/>
          <w:sz w:val="22"/>
          <w:szCs w:val="22"/>
        </w:rPr>
        <w:t xml:space="preserve"> con la asistencia presencial o remota, de</w:t>
      </w:r>
      <w:r w:rsidR="0012300B" w:rsidRPr="00520907">
        <w:rPr>
          <w:rFonts w:ascii="Arial" w:hAnsi="Arial" w:cs="Arial"/>
          <w:sz w:val="22"/>
          <w:szCs w:val="22"/>
        </w:rPr>
        <w:t xml:space="preserve"> lo</w:t>
      </w:r>
      <w:r w:rsidR="0012300B">
        <w:rPr>
          <w:rFonts w:ascii="Arial" w:hAnsi="Arial" w:cs="Arial"/>
          <w:sz w:val="22"/>
          <w:szCs w:val="22"/>
        </w:rPr>
        <w:t xml:space="preserve">s diputados(a) señores Boris Barrera Moreno, Carlos Bianchi </w:t>
      </w:r>
      <w:proofErr w:type="spellStart"/>
      <w:r w:rsidR="0012300B">
        <w:rPr>
          <w:rFonts w:ascii="Arial" w:hAnsi="Arial" w:cs="Arial"/>
          <w:sz w:val="22"/>
          <w:szCs w:val="22"/>
        </w:rPr>
        <w:t>Chelech</w:t>
      </w:r>
      <w:proofErr w:type="spellEnd"/>
      <w:r w:rsidR="0012300B">
        <w:rPr>
          <w:rFonts w:ascii="Arial" w:hAnsi="Arial" w:cs="Arial"/>
          <w:sz w:val="22"/>
          <w:szCs w:val="22"/>
        </w:rPr>
        <w:t xml:space="preserve">, </w:t>
      </w:r>
      <w:r w:rsidR="00DB657F">
        <w:rPr>
          <w:rFonts w:ascii="Arial" w:hAnsi="Arial" w:cs="Arial"/>
          <w:sz w:val="22"/>
          <w:szCs w:val="22"/>
        </w:rPr>
        <w:t xml:space="preserve">Jorge Brito Hasbún, </w:t>
      </w:r>
      <w:r w:rsidR="0012300B">
        <w:rPr>
          <w:rFonts w:ascii="Arial" w:hAnsi="Arial" w:cs="Arial"/>
          <w:sz w:val="22"/>
          <w:szCs w:val="22"/>
        </w:rPr>
        <w:t>Ricardo Cifuentes Lillo, Miguel Mellado Suazo, Jaime Naranjo Ortiz (Presidente), Guillermo Ramírez Diez, Agustín Romero Leiva, Frank Sauerbaum Muñoz, Alexis Sepúlveda Soto, Gastón Von Mühlenbrock Zamora y señor</w:t>
      </w:r>
      <w:r w:rsidR="00DB657F">
        <w:rPr>
          <w:rFonts w:ascii="Arial" w:hAnsi="Arial" w:cs="Arial"/>
          <w:sz w:val="22"/>
          <w:szCs w:val="22"/>
        </w:rPr>
        <w:t>it</w:t>
      </w:r>
      <w:r w:rsidR="0012300B">
        <w:rPr>
          <w:rFonts w:ascii="Arial" w:hAnsi="Arial" w:cs="Arial"/>
          <w:sz w:val="22"/>
          <w:szCs w:val="22"/>
        </w:rPr>
        <w:t>a Gael Yeomans Araya.</w:t>
      </w:r>
      <w:r w:rsidR="0012300B" w:rsidRPr="0087793E">
        <w:rPr>
          <w:rFonts w:ascii="Arial" w:hAnsi="Arial" w:cs="Arial"/>
          <w:sz w:val="22"/>
          <w:szCs w:val="22"/>
        </w:rPr>
        <w:t xml:space="preserve"> </w:t>
      </w:r>
    </w:p>
    <w:p w:rsidR="0012300B" w:rsidRDefault="0012300B" w:rsidP="0012300B">
      <w:pPr>
        <w:spacing w:line="276" w:lineRule="auto"/>
        <w:ind w:firstLine="1701"/>
        <w:jc w:val="both"/>
        <w:rPr>
          <w:rFonts w:ascii="Arial" w:hAnsi="Arial" w:cs="Arial"/>
          <w:sz w:val="22"/>
          <w:szCs w:val="22"/>
        </w:rPr>
      </w:pPr>
    </w:p>
    <w:p w:rsidR="0012300B" w:rsidRDefault="0012300B" w:rsidP="0012300B">
      <w:pPr>
        <w:spacing w:line="276" w:lineRule="auto"/>
        <w:jc w:val="both"/>
        <w:rPr>
          <w:rFonts w:ascii="Arial" w:hAnsi="Arial" w:cs="Arial"/>
          <w:sz w:val="22"/>
          <w:szCs w:val="22"/>
        </w:rPr>
      </w:pPr>
    </w:p>
    <w:p w:rsidR="0055265D" w:rsidRDefault="0055265D" w:rsidP="002E7F31">
      <w:pPr>
        <w:tabs>
          <w:tab w:val="left" w:pos="4751"/>
        </w:tabs>
        <w:spacing w:line="276" w:lineRule="auto"/>
        <w:jc w:val="right"/>
        <w:rPr>
          <w:rFonts w:ascii="Arial" w:hAnsi="Arial" w:cs="Arial"/>
          <w:sz w:val="22"/>
          <w:szCs w:val="22"/>
        </w:rPr>
      </w:pPr>
    </w:p>
    <w:p w:rsidR="001C44DC" w:rsidRPr="00850205" w:rsidRDefault="0006386A" w:rsidP="002E7F31">
      <w:pPr>
        <w:tabs>
          <w:tab w:val="left" w:pos="4751"/>
        </w:tabs>
        <w:spacing w:line="276" w:lineRule="auto"/>
        <w:jc w:val="right"/>
        <w:rPr>
          <w:rFonts w:ascii="Arial" w:hAnsi="Arial" w:cs="Arial"/>
          <w:sz w:val="22"/>
          <w:szCs w:val="22"/>
        </w:rPr>
      </w:pPr>
      <w:r>
        <w:rPr>
          <w:rFonts w:ascii="Arial" w:hAnsi="Arial" w:cs="Arial"/>
          <w:sz w:val="22"/>
          <w:szCs w:val="22"/>
        </w:rPr>
        <w:t xml:space="preserve">Sala de la Comisión, a </w:t>
      </w:r>
      <w:r w:rsidR="00DB657F">
        <w:rPr>
          <w:rFonts w:ascii="Arial" w:hAnsi="Arial" w:cs="Arial"/>
          <w:sz w:val="22"/>
          <w:szCs w:val="22"/>
        </w:rPr>
        <w:t>10 de mayo</w:t>
      </w:r>
      <w:r w:rsidR="007D5F02">
        <w:rPr>
          <w:rFonts w:ascii="Arial" w:hAnsi="Arial" w:cs="Arial"/>
          <w:sz w:val="22"/>
          <w:szCs w:val="22"/>
        </w:rPr>
        <w:t xml:space="preserve"> de</w:t>
      </w:r>
      <w:r>
        <w:rPr>
          <w:rFonts w:ascii="Arial" w:hAnsi="Arial" w:cs="Arial"/>
          <w:sz w:val="22"/>
          <w:szCs w:val="22"/>
        </w:rPr>
        <w:t xml:space="preserve"> 202</w:t>
      </w:r>
      <w:r w:rsidR="00B27EAC">
        <w:rPr>
          <w:rFonts w:ascii="Arial" w:hAnsi="Arial" w:cs="Arial"/>
          <w:sz w:val="22"/>
          <w:szCs w:val="22"/>
        </w:rPr>
        <w:t>2</w:t>
      </w:r>
      <w:r w:rsidR="00DB657F">
        <w:rPr>
          <w:rFonts w:ascii="Arial" w:hAnsi="Arial" w:cs="Arial"/>
          <w:sz w:val="22"/>
          <w:szCs w:val="22"/>
        </w:rPr>
        <w:t>.</w:t>
      </w:r>
    </w:p>
    <w:p w:rsidR="001C44DC" w:rsidRDefault="001C44DC" w:rsidP="002E7F31">
      <w:pPr>
        <w:tabs>
          <w:tab w:val="left" w:pos="4751"/>
        </w:tabs>
        <w:spacing w:line="276" w:lineRule="auto"/>
        <w:jc w:val="right"/>
        <w:rPr>
          <w:rFonts w:ascii="Arial" w:hAnsi="Arial" w:cs="Arial"/>
          <w:sz w:val="22"/>
          <w:szCs w:val="22"/>
        </w:rPr>
      </w:pPr>
    </w:p>
    <w:p w:rsidR="007B2010" w:rsidRDefault="007B2010" w:rsidP="002E7F31">
      <w:pPr>
        <w:tabs>
          <w:tab w:val="left" w:pos="4751"/>
        </w:tabs>
        <w:spacing w:line="276" w:lineRule="auto"/>
        <w:jc w:val="right"/>
        <w:rPr>
          <w:rFonts w:ascii="Arial" w:hAnsi="Arial" w:cs="Arial"/>
          <w:sz w:val="22"/>
          <w:szCs w:val="22"/>
        </w:rPr>
      </w:pPr>
    </w:p>
    <w:p w:rsidR="007B2010" w:rsidRDefault="007B2010" w:rsidP="002E7F31">
      <w:pPr>
        <w:tabs>
          <w:tab w:val="left" w:pos="4751"/>
        </w:tabs>
        <w:spacing w:line="276" w:lineRule="auto"/>
        <w:jc w:val="right"/>
        <w:rPr>
          <w:rFonts w:ascii="Arial" w:hAnsi="Arial" w:cs="Arial"/>
          <w:sz w:val="22"/>
          <w:szCs w:val="22"/>
        </w:rPr>
      </w:pPr>
    </w:p>
    <w:p w:rsidR="006D295D" w:rsidRDefault="006D295D" w:rsidP="002E7F31">
      <w:pPr>
        <w:tabs>
          <w:tab w:val="left" w:pos="4751"/>
        </w:tabs>
        <w:spacing w:line="276" w:lineRule="auto"/>
        <w:jc w:val="right"/>
        <w:rPr>
          <w:rFonts w:ascii="Arial" w:hAnsi="Arial" w:cs="Arial"/>
          <w:sz w:val="22"/>
          <w:szCs w:val="22"/>
        </w:rPr>
      </w:pPr>
    </w:p>
    <w:p w:rsidR="006D295D" w:rsidRDefault="006D295D" w:rsidP="002E7F31">
      <w:pPr>
        <w:tabs>
          <w:tab w:val="left" w:pos="4751"/>
        </w:tabs>
        <w:spacing w:line="276" w:lineRule="auto"/>
        <w:jc w:val="right"/>
        <w:rPr>
          <w:rFonts w:ascii="Arial" w:hAnsi="Arial" w:cs="Arial"/>
          <w:sz w:val="22"/>
          <w:szCs w:val="22"/>
        </w:rPr>
      </w:pPr>
    </w:p>
    <w:p w:rsidR="006D295D" w:rsidRDefault="006D295D" w:rsidP="002E7F31">
      <w:pPr>
        <w:tabs>
          <w:tab w:val="left" w:pos="4751"/>
        </w:tabs>
        <w:spacing w:line="276" w:lineRule="auto"/>
        <w:jc w:val="right"/>
        <w:rPr>
          <w:rFonts w:ascii="Arial" w:hAnsi="Arial" w:cs="Arial"/>
          <w:sz w:val="22"/>
          <w:szCs w:val="22"/>
        </w:rPr>
      </w:pPr>
    </w:p>
    <w:p w:rsidR="007B2010" w:rsidRDefault="007B2010" w:rsidP="002E7F31">
      <w:pPr>
        <w:tabs>
          <w:tab w:val="left" w:pos="4751"/>
        </w:tabs>
        <w:spacing w:line="276" w:lineRule="auto"/>
        <w:jc w:val="right"/>
        <w:rPr>
          <w:rFonts w:ascii="Arial" w:hAnsi="Arial" w:cs="Arial"/>
          <w:sz w:val="22"/>
          <w:szCs w:val="22"/>
        </w:rPr>
      </w:pPr>
    </w:p>
    <w:p w:rsidR="001C44DC" w:rsidRPr="00850205" w:rsidRDefault="001C44DC" w:rsidP="002E7F31">
      <w:pPr>
        <w:tabs>
          <w:tab w:val="left" w:pos="4751"/>
        </w:tabs>
        <w:spacing w:line="276" w:lineRule="auto"/>
        <w:jc w:val="center"/>
        <w:rPr>
          <w:rFonts w:ascii="Arial" w:hAnsi="Arial" w:cs="Arial"/>
          <w:b/>
          <w:sz w:val="22"/>
          <w:szCs w:val="22"/>
        </w:rPr>
      </w:pPr>
      <w:r w:rsidRPr="00850205">
        <w:rPr>
          <w:rFonts w:ascii="Arial" w:hAnsi="Arial" w:cs="Arial"/>
          <w:b/>
          <w:sz w:val="22"/>
          <w:szCs w:val="22"/>
        </w:rPr>
        <w:t>MARÍA EUGENIA SILVA FERRER</w:t>
      </w:r>
    </w:p>
    <w:p w:rsidR="00000546" w:rsidRPr="00850205" w:rsidRDefault="00000546" w:rsidP="002E7F31">
      <w:pPr>
        <w:tabs>
          <w:tab w:val="left" w:pos="4751"/>
        </w:tabs>
        <w:spacing w:line="276" w:lineRule="auto"/>
        <w:jc w:val="center"/>
        <w:rPr>
          <w:rFonts w:ascii="Arial" w:hAnsi="Arial" w:cs="Arial"/>
          <w:b/>
          <w:sz w:val="22"/>
          <w:szCs w:val="22"/>
        </w:rPr>
      </w:pPr>
      <w:r w:rsidRPr="00850205">
        <w:rPr>
          <w:rFonts w:ascii="Arial" w:hAnsi="Arial" w:cs="Arial"/>
          <w:b/>
          <w:sz w:val="22"/>
          <w:szCs w:val="22"/>
        </w:rPr>
        <w:t>Abogado Secretari</w:t>
      </w:r>
      <w:r w:rsidR="00DF31C3" w:rsidRPr="00850205">
        <w:rPr>
          <w:rFonts w:ascii="Arial" w:hAnsi="Arial" w:cs="Arial"/>
          <w:b/>
          <w:sz w:val="22"/>
          <w:szCs w:val="22"/>
        </w:rPr>
        <w:t>a</w:t>
      </w:r>
      <w:r w:rsidRPr="00850205">
        <w:rPr>
          <w:rFonts w:ascii="Arial" w:hAnsi="Arial" w:cs="Arial"/>
          <w:b/>
          <w:sz w:val="22"/>
          <w:szCs w:val="22"/>
        </w:rPr>
        <w:t xml:space="preserve"> de la Comisión</w:t>
      </w:r>
    </w:p>
    <w:p w:rsidR="0003528C" w:rsidRPr="00850205" w:rsidRDefault="0003528C" w:rsidP="002E7F31">
      <w:pPr>
        <w:tabs>
          <w:tab w:val="left" w:pos="3686"/>
        </w:tabs>
        <w:spacing w:line="276" w:lineRule="auto"/>
        <w:ind w:left="3686"/>
        <w:jc w:val="both"/>
        <w:rPr>
          <w:rFonts w:ascii="Arial" w:hAnsi="Arial" w:cs="Arial"/>
          <w:sz w:val="22"/>
          <w:szCs w:val="22"/>
        </w:rPr>
      </w:pPr>
    </w:p>
    <w:sectPr w:rsidR="0003528C" w:rsidRPr="00850205" w:rsidSect="0090074D">
      <w:headerReference w:type="even" r:id="rId18"/>
      <w:headerReference w:type="default" r:id="rId19"/>
      <w:footnotePr>
        <w:numFmt w:val="lowerRoman"/>
      </w:footnotePr>
      <w:endnotePr>
        <w:numFmt w:val="decimal"/>
      </w:endnotePr>
      <w:pgSz w:w="12242" w:h="20163" w:code="5"/>
      <w:pgMar w:top="2410" w:right="1327" w:bottom="3544" w:left="2268" w:header="1701"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103" w:rsidRDefault="00890103">
      <w:r>
        <w:separator/>
      </w:r>
    </w:p>
  </w:endnote>
  <w:endnote w:type="continuationSeparator" w:id="0">
    <w:p w:rsidR="00890103" w:rsidRDefault="008901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charset w:val="00"/>
    <w:family w:val="roman"/>
    <w:pitch w:val="variable"/>
    <w:sig w:usb0="00000000" w:usb1="00000000" w:usb2="00000000" w:usb3="00000000" w:csb0="00000000"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103" w:rsidRDefault="00890103">
      <w:r>
        <w:separator/>
      </w:r>
    </w:p>
  </w:footnote>
  <w:footnote w:type="continuationSeparator" w:id="0">
    <w:p w:rsidR="00890103" w:rsidRDefault="00890103">
      <w:r>
        <w:continuationSeparator/>
      </w:r>
    </w:p>
  </w:footnote>
  <w:footnote w:id="1">
    <w:p w:rsidR="0030720A" w:rsidRPr="00ED1A16" w:rsidRDefault="0030720A" w:rsidP="0030720A">
      <w:pPr>
        <w:pStyle w:val="Sangradetextonormal"/>
        <w:tabs>
          <w:tab w:val="clear" w:pos="3195"/>
          <w:tab w:val="clear" w:pos="3544"/>
        </w:tabs>
        <w:spacing w:before="0" w:after="0"/>
        <w:ind w:left="0"/>
        <w:rPr>
          <w:rFonts w:ascii="Arial" w:hAnsi="Arial" w:cs="Arial"/>
          <w:sz w:val="18"/>
          <w:szCs w:val="18"/>
          <w:lang w:val="es-ES"/>
        </w:rPr>
      </w:pPr>
      <w:r w:rsidRPr="0030720A">
        <w:rPr>
          <w:rStyle w:val="Refdenotaalpie"/>
          <w:rFonts w:ascii="Arial" w:hAnsi="Arial" w:cs="Arial"/>
          <w:sz w:val="18"/>
          <w:szCs w:val="18"/>
        </w:rPr>
        <w:footnoteRef/>
      </w:r>
      <w:r w:rsidRPr="00ED1A16">
        <w:rPr>
          <w:rFonts w:ascii="Arial" w:hAnsi="Arial" w:cs="Arial"/>
          <w:sz w:val="18"/>
          <w:szCs w:val="18"/>
        </w:rPr>
        <w:t>La ley</w:t>
      </w:r>
      <w:r w:rsidRPr="00ED1A16">
        <w:rPr>
          <w:rFonts w:ascii="Arial" w:hAnsi="Arial" w:cs="Arial"/>
          <w:sz w:val="18"/>
          <w:szCs w:val="18"/>
          <w:lang w:val="es-ES"/>
        </w:rPr>
        <w:t xml:space="preserve"> N° 20.493 de</w:t>
      </w:r>
      <w:r w:rsidRPr="00ED1A16">
        <w:rPr>
          <w:rFonts w:ascii="Arial" w:hAnsi="Arial" w:cs="Arial"/>
          <w:sz w:val="18"/>
          <w:szCs w:val="18"/>
        </w:rPr>
        <w:t xml:space="preserve"> 2011, incorporó como único combustible afecto al FEPP al kerosene doméstico o parafina.</w:t>
      </w:r>
    </w:p>
  </w:footnote>
  <w:footnote w:id="2">
    <w:p w:rsidR="0030720A" w:rsidRPr="00ED1A16" w:rsidRDefault="0030720A" w:rsidP="0030720A">
      <w:pPr>
        <w:pStyle w:val="Textonotapie"/>
        <w:rPr>
          <w:rFonts w:ascii="Arial" w:hAnsi="Arial" w:cs="Arial"/>
          <w:sz w:val="18"/>
          <w:szCs w:val="18"/>
          <w:lang w:val="es-ES"/>
        </w:rPr>
      </w:pPr>
      <w:r w:rsidRPr="0030720A">
        <w:rPr>
          <w:rStyle w:val="Refdenotaalpie"/>
          <w:rFonts w:ascii="Arial" w:hAnsi="Arial" w:cs="Arial"/>
          <w:sz w:val="18"/>
          <w:szCs w:val="18"/>
        </w:rPr>
        <w:footnoteRef/>
      </w:r>
      <w:r w:rsidRPr="00ED1A16">
        <w:rPr>
          <w:rFonts w:ascii="Arial" w:hAnsi="Arial" w:cs="Arial"/>
          <w:sz w:val="18"/>
          <w:szCs w:val="18"/>
        </w:rPr>
        <w:t xml:space="preserve"> </w:t>
      </w:r>
      <w:r w:rsidRPr="00ED1A16">
        <w:rPr>
          <w:rFonts w:ascii="Arial" w:hAnsi="Arial" w:cs="Arial"/>
          <w:sz w:val="18"/>
          <w:szCs w:val="18"/>
          <w:lang w:val="es-ES"/>
        </w:rPr>
        <w:t>Creado en la ley N° 19.030 de 15 de enero de 1991.</w:t>
      </w:r>
    </w:p>
  </w:footnote>
  <w:footnote w:id="3">
    <w:p w:rsidR="00A801F3" w:rsidRPr="00A53E8E" w:rsidRDefault="00A801F3" w:rsidP="00A801F3">
      <w:pPr>
        <w:pStyle w:val="Textonotapie"/>
        <w:rPr>
          <w:sz w:val="18"/>
          <w:szCs w:val="18"/>
        </w:rPr>
      </w:pPr>
      <w:r w:rsidRPr="00A53E8E">
        <w:rPr>
          <w:rStyle w:val="Refdenotaalpie"/>
          <w:sz w:val="18"/>
          <w:szCs w:val="18"/>
        </w:rPr>
        <w:footnoteRef/>
      </w:r>
      <w:r w:rsidRPr="00A53E8E">
        <w:rPr>
          <w:rStyle w:val="Refdenotaalpie"/>
          <w:sz w:val="18"/>
          <w:szCs w:val="18"/>
        </w:rPr>
        <w:footnoteRef/>
      </w:r>
      <w:r w:rsidRPr="00A53E8E">
        <w:rPr>
          <w:sz w:val="18"/>
          <w:szCs w:val="18"/>
        </w:rPr>
        <w:t xml:space="preserve"> BCN, 2022. Ley 19.030, crea el Fondo de estabilización de precios del petróleo, publicada el 15 de enero de 1991. Disponible en: </w:t>
      </w:r>
      <w:hyperlink r:id="rId1" w:history="1">
        <w:r w:rsidRPr="00A53E8E">
          <w:rPr>
            <w:rStyle w:val="Hipervnculo1"/>
            <w:sz w:val="18"/>
            <w:szCs w:val="18"/>
          </w:rPr>
          <w:t>https://www.bcn.cl/leychile/navegar?i=30397&amp;f=2012-09-13&amp;p</w:t>
        </w:r>
      </w:hyperlink>
      <w:r w:rsidRPr="00A53E8E">
        <w:rPr>
          <w:sz w:val="18"/>
          <w:szCs w:val="18"/>
        </w:rPr>
        <w:t>=. Su última modificación se realizó el 13 de septiembre de 2012.</w:t>
      </w:r>
    </w:p>
  </w:footnote>
  <w:footnote w:id="4">
    <w:p w:rsidR="00A801F3" w:rsidRPr="00C266FE" w:rsidRDefault="00A801F3" w:rsidP="00A801F3">
      <w:pPr>
        <w:pStyle w:val="Textonotapie"/>
        <w:rPr>
          <w:sz w:val="18"/>
          <w:szCs w:val="18"/>
        </w:rPr>
      </w:pPr>
      <w:r w:rsidRPr="00C266FE">
        <w:rPr>
          <w:rStyle w:val="Refdenotaalpie"/>
          <w:sz w:val="18"/>
          <w:szCs w:val="18"/>
        </w:rPr>
        <w:footnoteRef/>
      </w:r>
      <w:r w:rsidRPr="00C266FE">
        <w:rPr>
          <w:sz w:val="18"/>
          <w:szCs w:val="18"/>
        </w:rPr>
        <w:t xml:space="preserve"> El Mecanismo de Estabilización de Precios de los Combustibles (MEPCO) únicamente estabiliza el petróleo </w:t>
      </w:r>
      <w:proofErr w:type="spellStart"/>
      <w:r w:rsidRPr="00C266FE">
        <w:rPr>
          <w:sz w:val="18"/>
          <w:szCs w:val="18"/>
        </w:rPr>
        <w:t>diésel</w:t>
      </w:r>
      <w:proofErr w:type="spellEnd"/>
      <w:r w:rsidRPr="00C266FE">
        <w:rPr>
          <w:sz w:val="18"/>
          <w:szCs w:val="18"/>
        </w:rPr>
        <w:t xml:space="preserve"> y las bencinas</w:t>
      </w:r>
    </w:p>
  </w:footnote>
  <w:footnote w:id="5">
    <w:p w:rsidR="00A801F3" w:rsidRPr="00140538" w:rsidRDefault="00A801F3" w:rsidP="00A801F3">
      <w:pPr>
        <w:spacing w:after="60"/>
        <w:jc w:val="both"/>
        <w:rPr>
          <w:rFonts w:asciiTheme="majorHAnsi" w:hAnsiTheme="majorHAnsi" w:cstheme="majorHAnsi"/>
          <w:sz w:val="18"/>
          <w:szCs w:val="18"/>
        </w:rPr>
      </w:pPr>
      <w:r w:rsidRPr="00140538">
        <w:rPr>
          <w:rStyle w:val="Refdenotaalpie"/>
          <w:rFonts w:asciiTheme="majorHAnsi" w:hAnsiTheme="majorHAnsi" w:cstheme="majorHAnsi"/>
          <w:sz w:val="18"/>
          <w:szCs w:val="18"/>
        </w:rPr>
        <w:footnoteRef/>
      </w:r>
      <w:r w:rsidRPr="00140538">
        <w:rPr>
          <w:rFonts w:asciiTheme="majorHAnsi" w:hAnsiTheme="majorHAnsi" w:cstheme="majorHAnsi"/>
          <w:sz w:val="18"/>
          <w:szCs w:val="18"/>
        </w:rPr>
        <w:t xml:space="preserve"> Por ejemplo, el 5 de abril la </w:t>
      </w:r>
      <w:r w:rsidRPr="00140538">
        <w:rPr>
          <w:rFonts w:asciiTheme="majorHAnsi" w:hAnsiTheme="majorHAnsi" w:cstheme="majorHAnsi"/>
          <w:b/>
          <w:sz w:val="18"/>
          <w:szCs w:val="18"/>
        </w:rPr>
        <w:t xml:space="preserve">CNE (2022) vía decreto </w:t>
      </w:r>
      <w:r w:rsidRPr="00140538">
        <w:rPr>
          <w:rFonts w:asciiTheme="majorHAnsi" w:hAnsiTheme="majorHAnsi" w:cstheme="majorHAnsi"/>
          <w:sz w:val="18"/>
          <w:szCs w:val="18"/>
        </w:rPr>
        <w:t xml:space="preserve">N° 89 exento, se fijaron los denominados precios de referencia y paridad para kerosene doméstico, 5 de abril de 2022. Disponible en: </w:t>
      </w:r>
      <w:hyperlink r:id="rId2" w:history="1">
        <w:r w:rsidRPr="00140538">
          <w:rPr>
            <w:rStyle w:val="Hipervnculo1"/>
            <w:rFonts w:asciiTheme="majorHAnsi" w:hAnsiTheme="majorHAnsi" w:cstheme="majorHAnsi"/>
            <w:sz w:val="18"/>
            <w:szCs w:val="18"/>
          </w:rPr>
          <w:t>https://www.cne.cl/wp-content/uploads/2022/04/2022_04_07_FEPP.pdf</w:t>
        </w:r>
      </w:hyperlink>
    </w:p>
  </w:footnote>
  <w:footnote w:id="6">
    <w:p w:rsidR="00A801F3" w:rsidRPr="00B53F12" w:rsidRDefault="00A801F3" w:rsidP="00A801F3">
      <w:pPr>
        <w:pStyle w:val="Textonotapie"/>
      </w:pPr>
      <w:r>
        <w:rPr>
          <w:rStyle w:val="Refdenotaalpie"/>
        </w:rPr>
        <w:footnoteRef/>
      </w:r>
      <w:r>
        <w:t xml:space="preserve"> El art.2 de la Ley 19.030 establece que “los precios de referencia intermedio deberán reflejar el precio esperado de mediano y largo plazo del mercado petrolero”.</w:t>
      </w:r>
    </w:p>
  </w:footnote>
  <w:footnote w:id="7">
    <w:p w:rsidR="00A801F3" w:rsidRPr="002032D5" w:rsidRDefault="00A801F3" w:rsidP="00A801F3">
      <w:pPr>
        <w:pStyle w:val="Textonotapie"/>
      </w:pPr>
      <w:r>
        <w:rPr>
          <w:rStyle w:val="Refdenotaalpie"/>
        </w:rPr>
        <w:footnoteRef/>
      </w:r>
      <w:r>
        <w:t xml:space="preserve"> Se calcula como un promedio ponderado de los últimos 4 valores medios semestrales de precios de paridad, anteriores a la semana que se está calculando.</w:t>
      </w:r>
    </w:p>
  </w:footnote>
  <w:footnote w:id="8">
    <w:p w:rsidR="00A801F3" w:rsidRPr="002032D5" w:rsidRDefault="00A801F3" w:rsidP="00A801F3">
      <w:pPr>
        <w:pStyle w:val="Textonotapie"/>
      </w:pPr>
      <w:r>
        <w:rPr>
          <w:rStyle w:val="Refdenotaalpie"/>
        </w:rPr>
        <w:footnoteRef/>
      </w:r>
      <w:r>
        <w:t xml:space="preserve"> Se calcula aplicando que corresponde a determinar el precio de paridad en base a un precio FOB teórico de kerosene, que se calcula como el promedio simple de tres meses de precios futuros del curo WTI, equivalente a doce semanas, más el diferencial de refinación promedio de la última semana de datos conocida. Utiliza </w:t>
      </w:r>
      <w:proofErr w:type="spellStart"/>
      <w:r>
        <w:t>lso</w:t>
      </w:r>
      <w:proofErr w:type="spellEnd"/>
      <w:r>
        <w:t xml:space="preserve"> valores promedio de la última semana conocida de datos de flete marítimo y costo financiero. </w:t>
      </w:r>
    </w:p>
  </w:footnote>
  <w:footnote w:id="9">
    <w:p w:rsidR="00A801F3" w:rsidRPr="0077088C" w:rsidRDefault="00A801F3" w:rsidP="00A801F3">
      <w:pPr>
        <w:pStyle w:val="Textonotapie"/>
      </w:pPr>
      <w:r>
        <w:rPr>
          <w:rStyle w:val="Refdenotaalpie"/>
        </w:rPr>
        <w:footnoteRef/>
      </w:r>
      <w:r>
        <w:t xml:space="preserve"> Promedio simple de las proyecciones de precios de paridad promedios anuales para los próximos de años.</w:t>
      </w:r>
    </w:p>
  </w:footnote>
  <w:footnote w:id="10">
    <w:p w:rsidR="00A801F3" w:rsidRPr="0081406D" w:rsidRDefault="00A801F3" w:rsidP="00A801F3">
      <w:pPr>
        <w:pStyle w:val="Textonotapie"/>
      </w:pPr>
      <w:r>
        <w:rPr>
          <w:rStyle w:val="Refdenotaalpie"/>
        </w:rPr>
        <w:footnoteRef/>
      </w:r>
      <w:r>
        <w:t xml:space="preserve"> Comparativamente, de acuerdo con lo dispuesto por la Ley N° 20.765/2014, la banda de referencia en el Mecanismo de Estabilización de Precios de los Combustibles (MEPCO) es igual a un 5%.</w:t>
      </w:r>
    </w:p>
  </w:footnote>
  <w:footnote w:id="11">
    <w:p w:rsidR="00A801F3" w:rsidRPr="00571EEC" w:rsidRDefault="00A801F3" w:rsidP="00A801F3">
      <w:pPr>
        <w:pStyle w:val="Textonotapie"/>
        <w:rPr>
          <w:sz w:val="18"/>
          <w:lang w:val="es-CL"/>
        </w:rPr>
      </w:pPr>
      <w:r w:rsidRPr="00571EEC">
        <w:rPr>
          <w:rStyle w:val="Refdenotaalpie"/>
          <w:sz w:val="18"/>
        </w:rPr>
        <w:footnoteRef/>
      </w:r>
      <w:r w:rsidRPr="00571EEC">
        <w:rPr>
          <w:sz w:val="18"/>
        </w:rPr>
        <w:t xml:space="preserve"> </w:t>
      </w:r>
      <w:r w:rsidRPr="00571EEC">
        <w:rPr>
          <w:sz w:val="18"/>
          <w:lang w:val="es-CL"/>
        </w:rPr>
        <w:t xml:space="preserve">Hasta la fecha, el acumulado del alza del precio del kerosene en 2022 alcanza el 70%. </w:t>
      </w:r>
    </w:p>
  </w:footnote>
  <w:footnote w:id="12">
    <w:p w:rsidR="00A801F3" w:rsidRPr="00D4364D" w:rsidRDefault="00A801F3" w:rsidP="00A801F3">
      <w:pPr>
        <w:pStyle w:val="Textonotapie"/>
        <w:rPr>
          <w:lang w:val="es-CL"/>
        </w:rPr>
      </w:pPr>
      <w:r w:rsidRPr="00571EEC">
        <w:rPr>
          <w:rStyle w:val="Refdenotaalpie"/>
          <w:sz w:val="18"/>
        </w:rPr>
        <w:footnoteRef/>
      </w:r>
      <w:r w:rsidRPr="00571EEC">
        <w:rPr>
          <w:sz w:val="18"/>
        </w:rPr>
        <w:t xml:space="preserve"> </w:t>
      </w:r>
      <w:r w:rsidRPr="00571EEC">
        <w:rPr>
          <w:sz w:val="18"/>
          <w:lang w:val="es-CL"/>
        </w:rPr>
        <w:t>El cálculo presentado por el Ministerio de Hacienda considera la semana de vigencia del 26 de abril de 2022, periodo en el cuál el crédito se situó en US$ 50,35/m</w:t>
      </w:r>
      <w:r w:rsidRPr="00571EEC">
        <w:rPr>
          <w:sz w:val="18"/>
          <w:vertAlign w:val="superscript"/>
          <w:lang w:val="es-CL"/>
        </w:rPr>
        <w:t>3</w:t>
      </w:r>
      <w:r w:rsidRPr="00571EEC">
        <w:rPr>
          <w:sz w:val="18"/>
          <w:lang w:val="es-CL"/>
        </w:rPr>
        <w:t>, equivalente a $42,5 pesos por litro. Actualmente, para la semana correspondiente al 5 de mayo de 2022, el crédito fiscal fue equivalente a US$ 44,78 m</w:t>
      </w:r>
      <w:r w:rsidRPr="00571EEC">
        <w:rPr>
          <w:sz w:val="18"/>
          <w:vertAlign w:val="superscript"/>
          <w:lang w:val="es-CL"/>
        </w:rPr>
        <w:t>3</w:t>
      </w:r>
    </w:p>
  </w:footnote>
  <w:footnote w:id="13">
    <w:p w:rsidR="00E87F00" w:rsidRPr="00A801F3" w:rsidRDefault="00E87F00" w:rsidP="00A96796">
      <w:pPr>
        <w:tabs>
          <w:tab w:val="left" w:pos="814"/>
        </w:tabs>
        <w:ind w:right="1108"/>
        <w:jc w:val="both"/>
        <w:rPr>
          <w:rFonts w:ascii="Arial" w:eastAsia="Arial" w:hAnsi="Arial" w:cs="Arial"/>
          <w:color w:val="2A2A2A"/>
          <w:sz w:val="18"/>
          <w:szCs w:val="18"/>
          <w:lang w:val="es-ES"/>
        </w:rPr>
      </w:pPr>
      <w:r w:rsidRPr="00A96796">
        <w:rPr>
          <w:rStyle w:val="Refdenotaalpie"/>
          <w:rFonts w:ascii="Arial" w:hAnsi="Arial" w:cs="Arial"/>
          <w:sz w:val="18"/>
          <w:szCs w:val="18"/>
        </w:rPr>
        <w:footnoteRef/>
      </w:r>
      <w:r w:rsidRPr="00A96796">
        <w:rPr>
          <w:rFonts w:ascii="Arial" w:hAnsi="Arial" w:cs="Arial"/>
          <w:sz w:val="18"/>
          <w:szCs w:val="18"/>
        </w:rPr>
        <w:t xml:space="preserve"> </w:t>
      </w:r>
      <w:r w:rsidRPr="00A801F3">
        <w:rPr>
          <w:rFonts w:ascii="Arial" w:eastAsia="Arial" w:hAnsi="Arial" w:cs="Arial"/>
          <w:color w:val="2A2A2A"/>
          <w:w w:val="115"/>
          <w:sz w:val="18"/>
          <w:szCs w:val="18"/>
          <w:lang w:val="es-ES"/>
        </w:rPr>
        <w:t>Fuentes</w:t>
      </w:r>
      <w:r w:rsidRPr="00A801F3">
        <w:rPr>
          <w:rFonts w:ascii="Arial" w:eastAsia="Arial" w:hAnsi="Arial" w:cs="Arial"/>
          <w:color w:val="2A2A2A"/>
          <w:spacing w:val="1"/>
          <w:w w:val="115"/>
          <w:sz w:val="18"/>
          <w:szCs w:val="18"/>
          <w:lang w:val="es-ES"/>
        </w:rPr>
        <w:t xml:space="preserve"> </w:t>
      </w:r>
      <w:r w:rsidRPr="00A801F3">
        <w:rPr>
          <w:rFonts w:ascii="Arial" w:eastAsia="Arial" w:hAnsi="Arial" w:cs="Arial"/>
          <w:color w:val="2A2A2A"/>
          <w:w w:val="115"/>
          <w:sz w:val="18"/>
          <w:szCs w:val="18"/>
          <w:lang w:val="es-ES"/>
        </w:rPr>
        <w:t>de</w:t>
      </w:r>
      <w:r w:rsidRPr="00A801F3">
        <w:rPr>
          <w:rFonts w:ascii="Arial" w:eastAsia="Arial" w:hAnsi="Arial" w:cs="Arial"/>
          <w:color w:val="2A2A2A"/>
          <w:spacing w:val="8"/>
          <w:w w:val="115"/>
          <w:sz w:val="18"/>
          <w:szCs w:val="18"/>
          <w:lang w:val="es-ES"/>
        </w:rPr>
        <w:t xml:space="preserve"> </w:t>
      </w:r>
      <w:r w:rsidRPr="00A801F3">
        <w:rPr>
          <w:rFonts w:ascii="Arial" w:eastAsia="Arial" w:hAnsi="Arial" w:cs="Arial"/>
          <w:color w:val="2A2A2A"/>
          <w:spacing w:val="-2"/>
          <w:w w:val="115"/>
          <w:sz w:val="18"/>
          <w:szCs w:val="18"/>
          <w:lang w:val="es-ES"/>
        </w:rPr>
        <w:t>Información</w:t>
      </w:r>
    </w:p>
    <w:p w:rsidR="00E87F00" w:rsidRPr="00A801F3" w:rsidRDefault="00E87F00" w:rsidP="00A96796">
      <w:pPr>
        <w:widowControl w:val="0"/>
        <w:tabs>
          <w:tab w:val="left" w:pos="1025"/>
        </w:tabs>
        <w:autoSpaceDE w:val="0"/>
        <w:autoSpaceDN w:val="0"/>
        <w:ind w:right="1108"/>
        <w:jc w:val="both"/>
        <w:rPr>
          <w:rFonts w:ascii="Arial" w:eastAsia="Arial" w:hAnsi="Arial" w:cs="Arial"/>
          <w:sz w:val="18"/>
          <w:szCs w:val="18"/>
          <w:lang w:val="es-ES"/>
        </w:rPr>
      </w:pPr>
      <w:r w:rsidRPr="00A801F3">
        <w:rPr>
          <w:rFonts w:ascii="Arial" w:eastAsia="Arial" w:hAnsi="Arial" w:cs="Arial"/>
          <w:color w:val="2A2A2A"/>
          <w:w w:val="105"/>
          <w:sz w:val="18"/>
          <w:szCs w:val="18"/>
          <w:lang w:val="es-ES"/>
        </w:rPr>
        <w:t>Mensaje de</w:t>
      </w:r>
      <w:r w:rsidRPr="00A801F3">
        <w:rPr>
          <w:rFonts w:ascii="Arial" w:eastAsia="Arial" w:hAnsi="Arial" w:cs="Arial"/>
          <w:color w:val="2A2A2A"/>
          <w:spacing w:val="-5"/>
          <w:w w:val="105"/>
          <w:sz w:val="18"/>
          <w:szCs w:val="18"/>
          <w:lang w:val="es-ES"/>
        </w:rPr>
        <w:t xml:space="preserve"> </w:t>
      </w:r>
      <w:r w:rsidRPr="00A801F3">
        <w:rPr>
          <w:rFonts w:ascii="Arial" w:eastAsia="Arial" w:hAnsi="Arial" w:cs="Arial"/>
          <w:color w:val="2A2A2A"/>
          <w:w w:val="105"/>
          <w:sz w:val="18"/>
          <w:szCs w:val="18"/>
          <w:lang w:val="es-ES"/>
        </w:rPr>
        <w:t>S.E.</w:t>
      </w:r>
      <w:r w:rsidRPr="00A801F3">
        <w:rPr>
          <w:rFonts w:ascii="Arial" w:eastAsia="Arial" w:hAnsi="Arial" w:cs="Arial"/>
          <w:color w:val="2A2A2A"/>
          <w:spacing w:val="-9"/>
          <w:w w:val="105"/>
          <w:sz w:val="18"/>
          <w:szCs w:val="18"/>
          <w:lang w:val="es-ES"/>
        </w:rPr>
        <w:t xml:space="preserve"> </w:t>
      </w:r>
      <w:r w:rsidRPr="00A801F3">
        <w:rPr>
          <w:rFonts w:ascii="Arial" w:eastAsia="Arial" w:hAnsi="Arial" w:cs="Arial"/>
          <w:color w:val="2A2A2A"/>
          <w:w w:val="105"/>
          <w:sz w:val="18"/>
          <w:szCs w:val="18"/>
          <w:lang w:val="es-ES"/>
        </w:rPr>
        <w:t>el Presidente de la República con</w:t>
      </w:r>
      <w:r w:rsidRPr="00A801F3">
        <w:rPr>
          <w:rFonts w:ascii="Arial" w:eastAsia="Arial" w:hAnsi="Arial" w:cs="Arial"/>
          <w:color w:val="2A2A2A"/>
          <w:spacing w:val="-7"/>
          <w:w w:val="105"/>
          <w:sz w:val="18"/>
          <w:szCs w:val="18"/>
          <w:lang w:val="es-ES"/>
        </w:rPr>
        <w:t xml:space="preserve"> </w:t>
      </w:r>
      <w:r w:rsidRPr="00A801F3">
        <w:rPr>
          <w:rFonts w:ascii="Arial" w:eastAsia="Arial" w:hAnsi="Arial" w:cs="Arial"/>
          <w:color w:val="2A2A2A"/>
          <w:w w:val="105"/>
          <w:sz w:val="18"/>
          <w:szCs w:val="18"/>
          <w:lang w:val="es-ES"/>
        </w:rPr>
        <w:t>el que</w:t>
      </w:r>
      <w:r w:rsidRPr="00A801F3">
        <w:rPr>
          <w:rFonts w:ascii="Arial" w:eastAsia="Arial" w:hAnsi="Arial" w:cs="Arial"/>
          <w:color w:val="2A2A2A"/>
          <w:spacing w:val="-6"/>
          <w:w w:val="105"/>
          <w:sz w:val="18"/>
          <w:szCs w:val="18"/>
          <w:lang w:val="es-ES"/>
        </w:rPr>
        <w:t xml:space="preserve"> </w:t>
      </w:r>
      <w:r w:rsidRPr="00A801F3">
        <w:rPr>
          <w:rFonts w:ascii="Arial" w:eastAsia="Arial" w:hAnsi="Arial" w:cs="Arial"/>
          <w:color w:val="1A1A1A"/>
          <w:w w:val="105"/>
          <w:sz w:val="18"/>
          <w:szCs w:val="18"/>
          <w:lang w:val="es-ES"/>
        </w:rPr>
        <w:t xml:space="preserve">inicia </w:t>
      </w:r>
      <w:r w:rsidRPr="00A801F3">
        <w:rPr>
          <w:rFonts w:ascii="Arial" w:eastAsia="Arial" w:hAnsi="Arial" w:cs="Arial"/>
          <w:color w:val="2A2A2A"/>
          <w:w w:val="105"/>
          <w:sz w:val="18"/>
          <w:szCs w:val="18"/>
          <w:lang w:val="es-ES"/>
        </w:rPr>
        <w:t>un Proyecto de Ley que</w:t>
      </w:r>
      <w:r w:rsidRPr="00A801F3">
        <w:rPr>
          <w:rFonts w:ascii="Arial" w:eastAsia="Arial" w:hAnsi="Arial" w:cs="Arial"/>
          <w:color w:val="2A2A2A"/>
          <w:spacing w:val="-3"/>
          <w:w w:val="105"/>
          <w:sz w:val="18"/>
          <w:szCs w:val="18"/>
          <w:lang w:val="es-ES"/>
        </w:rPr>
        <w:t xml:space="preserve"> </w:t>
      </w:r>
      <w:r w:rsidRPr="00A801F3">
        <w:rPr>
          <w:rFonts w:ascii="Arial" w:eastAsia="Arial" w:hAnsi="Arial" w:cs="Arial"/>
          <w:color w:val="2A2A2A"/>
          <w:w w:val="105"/>
          <w:sz w:val="18"/>
          <w:szCs w:val="18"/>
          <w:lang w:val="es-ES"/>
        </w:rPr>
        <w:t>inyecta recursos al Fondo de Estabilización</w:t>
      </w:r>
      <w:r w:rsidRPr="00A801F3">
        <w:rPr>
          <w:rFonts w:ascii="Arial" w:eastAsia="Arial" w:hAnsi="Arial" w:cs="Arial"/>
          <w:color w:val="2A2A2A"/>
          <w:spacing w:val="-7"/>
          <w:w w:val="105"/>
          <w:sz w:val="18"/>
          <w:szCs w:val="18"/>
          <w:lang w:val="es-ES"/>
        </w:rPr>
        <w:t xml:space="preserve"> </w:t>
      </w:r>
      <w:r w:rsidRPr="00A801F3">
        <w:rPr>
          <w:rFonts w:ascii="Arial" w:eastAsia="Arial" w:hAnsi="Arial" w:cs="Arial"/>
          <w:color w:val="1A1A1A"/>
          <w:w w:val="105"/>
          <w:sz w:val="18"/>
          <w:szCs w:val="18"/>
          <w:lang w:val="es-ES"/>
        </w:rPr>
        <w:t xml:space="preserve">de </w:t>
      </w:r>
      <w:r w:rsidRPr="00A801F3">
        <w:rPr>
          <w:rFonts w:ascii="Arial" w:eastAsia="Arial" w:hAnsi="Arial" w:cs="Arial"/>
          <w:color w:val="2A2A2A"/>
          <w:w w:val="105"/>
          <w:sz w:val="18"/>
          <w:szCs w:val="18"/>
          <w:lang w:val="es-ES"/>
        </w:rPr>
        <w:t>Precios del</w:t>
      </w:r>
      <w:r w:rsidRPr="00A801F3">
        <w:rPr>
          <w:rFonts w:ascii="Arial" w:eastAsia="Arial" w:hAnsi="Arial" w:cs="Arial"/>
          <w:color w:val="2A2A2A"/>
          <w:spacing w:val="-6"/>
          <w:w w:val="105"/>
          <w:sz w:val="18"/>
          <w:szCs w:val="18"/>
          <w:lang w:val="es-ES"/>
        </w:rPr>
        <w:t xml:space="preserve"> </w:t>
      </w:r>
      <w:r w:rsidRPr="00A801F3">
        <w:rPr>
          <w:rFonts w:ascii="Arial" w:eastAsia="Arial" w:hAnsi="Arial" w:cs="Arial"/>
          <w:color w:val="2A2A2A"/>
          <w:w w:val="105"/>
          <w:sz w:val="18"/>
          <w:szCs w:val="18"/>
          <w:lang w:val="es-ES"/>
        </w:rPr>
        <w:t xml:space="preserve">Petróleo creado por la </w:t>
      </w:r>
      <w:r w:rsidRPr="00A801F3">
        <w:rPr>
          <w:rFonts w:ascii="Arial" w:eastAsia="Arial" w:hAnsi="Arial" w:cs="Arial"/>
          <w:color w:val="1A1A1A"/>
          <w:w w:val="105"/>
          <w:sz w:val="18"/>
          <w:szCs w:val="18"/>
          <w:lang w:val="es-ES"/>
        </w:rPr>
        <w:t>ley</w:t>
      </w:r>
      <w:r w:rsidRPr="00A801F3">
        <w:rPr>
          <w:rFonts w:ascii="Arial" w:eastAsia="Arial" w:hAnsi="Arial" w:cs="Arial"/>
          <w:color w:val="1A1A1A"/>
          <w:spacing w:val="40"/>
          <w:w w:val="105"/>
          <w:sz w:val="18"/>
          <w:szCs w:val="18"/>
          <w:lang w:val="es-ES"/>
        </w:rPr>
        <w:t xml:space="preserve"> </w:t>
      </w:r>
      <w:r w:rsidRPr="00A801F3">
        <w:rPr>
          <w:rFonts w:ascii="Arial" w:eastAsia="Arial" w:hAnsi="Arial" w:cs="Arial"/>
          <w:color w:val="2A2A2A"/>
          <w:w w:val="105"/>
          <w:sz w:val="18"/>
          <w:szCs w:val="18"/>
          <w:lang w:val="es-ES"/>
        </w:rPr>
        <w:t>Nºl9.030.</w:t>
      </w:r>
    </w:p>
    <w:p w:rsidR="00E87F00" w:rsidRPr="00A801F3" w:rsidRDefault="00E87F00" w:rsidP="00A96796">
      <w:pPr>
        <w:widowControl w:val="0"/>
        <w:tabs>
          <w:tab w:val="left" w:pos="1023"/>
        </w:tabs>
        <w:autoSpaceDE w:val="0"/>
        <w:autoSpaceDN w:val="0"/>
        <w:spacing w:before="133"/>
        <w:ind w:right="1108"/>
        <w:jc w:val="both"/>
        <w:rPr>
          <w:rFonts w:ascii="Arial" w:eastAsia="Arial" w:hAnsi="Arial" w:cs="Arial"/>
          <w:sz w:val="18"/>
          <w:szCs w:val="18"/>
          <w:lang w:val="es-ES"/>
        </w:rPr>
      </w:pPr>
      <w:r w:rsidRPr="00A801F3">
        <w:rPr>
          <w:rFonts w:ascii="Arial" w:eastAsia="Arial" w:hAnsi="Arial" w:cs="Arial"/>
          <w:color w:val="2A2A2A"/>
          <w:w w:val="110"/>
          <w:sz w:val="18"/>
          <w:szCs w:val="18"/>
          <w:lang w:val="es-ES"/>
        </w:rPr>
        <w:t>Análisis</w:t>
      </w:r>
      <w:r w:rsidRPr="00A801F3">
        <w:rPr>
          <w:rFonts w:ascii="Arial" w:eastAsia="Arial" w:hAnsi="Arial" w:cs="Arial"/>
          <w:color w:val="2A2A2A"/>
          <w:spacing w:val="-7"/>
          <w:w w:val="110"/>
          <w:sz w:val="18"/>
          <w:szCs w:val="18"/>
          <w:lang w:val="es-ES"/>
        </w:rPr>
        <w:t xml:space="preserve"> </w:t>
      </w:r>
      <w:r w:rsidRPr="00A801F3">
        <w:rPr>
          <w:rFonts w:ascii="Arial" w:eastAsia="Arial" w:hAnsi="Arial" w:cs="Arial"/>
          <w:color w:val="2A2A2A"/>
          <w:w w:val="110"/>
          <w:sz w:val="18"/>
          <w:szCs w:val="18"/>
          <w:lang w:val="es-ES"/>
        </w:rPr>
        <w:t>sobre</w:t>
      </w:r>
      <w:r w:rsidRPr="00A801F3">
        <w:rPr>
          <w:rFonts w:ascii="Arial" w:eastAsia="Arial" w:hAnsi="Arial" w:cs="Arial"/>
          <w:color w:val="2A2A2A"/>
          <w:spacing w:val="-7"/>
          <w:w w:val="110"/>
          <w:sz w:val="18"/>
          <w:szCs w:val="18"/>
          <w:lang w:val="es-ES"/>
        </w:rPr>
        <w:t xml:space="preserve"> </w:t>
      </w:r>
      <w:r w:rsidRPr="00A801F3">
        <w:rPr>
          <w:rFonts w:ascii="Arial" w:eastAsia="Arial" w:hAnsi="Arial" w:cs="Arial"/>
          <w:color w:val="2A2A2A"/>
          <w:w w:val="110"/>
          <w:sz w:val="18"/>
          <w:szCs w:val="18"/>
          <w:lang w:val="es-ES"/>
        </w:rPr>
        <w:t>el</w:t>
      </w:r>
      <w:r w:rsidRPr="00A801F3">
        <w:rPr>
          <w:rFonts w:ascii="Arial" w:eastAsia="Arial" w:hAnsi="Arial" w:cs="Arial"/>
          <w:color w:val="2A2A2A"/>
          <w:spacing w:val="-1"/>
          <w:w w:val="110"/>
          <w:sz w:val="18"/>
          <w:szCs w:val="18"/>
          <w:lang w:val="es-ES"/>
        </w:rPr>
        <w:t xml:space="preserve"> </w:t>
      </w:r>
      <w:r w:rsidRPr="00A801F3">
        <w:rPr>
          <w:rFonts w:ascii="Arial" w:eastAsia="Arial" w:hAnsi="Arial" w:cs="Arial"/>
          <w:color w:val="2A2A2A"/>
          <w:w w:val="110"/>
          <w:sz w:val="18"/>
          <w:szCs w:val="18"/>
          <w:lang w:val="es-ES"/>
        </w:rPr>
        <w:t>comportamiento</w:t>
      </w:r>
      <w:r w:rsidRPr="00A801F3">
        <w:rPr>
          <w:rFonts w:ascii="Arial" w:eastAsia="Arial" w:hAnsi="Arial" w:cs="Arial"/>
          <w:color w:val="2A2A2A"/>
          <w:spacing w:val="-11"/>
          <w:w w:val="110"/>
          <w:sz w:val="18"/>
          <w:szCs w:val="18"/>
          <w:lang w:val="es-ES"/>
        </w:rPr>
        <w:t xml:space="preserve"> </w:t>
      </w:r>
      <w:r w:rsidRPr="00A801F3">
        <w:rPr>
          <w:rFonts w:ascii="Arial" w:eastAsia="Arial" w:hAnsi="Arial" w:cs="Arial"/>
          <w:color w:val="2A2A2A"/>
          <w:w w:val="110"/>
          <w:sz w:val="18"/>
          <w:szCs w:val="18"/>
          <w:lang w:val="es-ES"/>
        </w:rPr>
        <w:t>del</w:t>
      </w:r>
      <w:r w:rsidRPr="00A801F3">
        <w:rPr>
          <w:rFonts w:ascii="Arial" w:eastAsia="Arial" w:hAnsi="Arial" w:cs="Arial"/>
          <w:color w:val="2A2A2A"/>
          <w:spacing w:val="-10"/>
          <w:w w:val="110"/>
          <w:sz w:val="18"/>
          <w:szCs w:val="18"/>
          <w:lang w:val="es-ES"/>
        </w:rPr>
        <w:t xml:space="preserve"> </w:t>
      </w:r>
      <w:r w:rsidRPr="00A801F3">
        <w:rPr>
          <w:rFonts w:ascii="Arial" w:eastAsia="Arial" w:hAnsi="Arial" w:cs="Arial"/>
          <w:color w:val="1A1A1A"/>
          <w:w w:val="110"/>
          <w:sz w:val="18"/>
          <w:szCs w:val="18"/>
          <w:lang w:val="es-ES"/>
        </w:rPr>
        <w:t>FEPP.</w:t>
      </w:r>
      <w:r w:rsidRPr="00A801F3">
        <w:rPr>
          <w:rFonts w:ascii="Arial" w:eastAsia="Arial" w:hAnsi="Arial" w:cs="Arial"/>
          <w:color w:val="1A1A1A"/>
          <w:spacing w:val="-5"/>
          <w:w w:val="110"/>
          <w:sz w:val="18"/>
          <w:szCs w:val="18"/>
          <w:lang w:val="es-ES"/>
        </w:rPr>
        <w:t xml:space="preserve"> </w:t>
      </w:r>
      <w:r w:rsidRPr="00A801F3">
        <w:rPr>
          <w:rFonts w:ascii="Arial" w:eastAsia="Arial" w:hAnsi="Arial" w:cs="Arial"/>
          <w:color w:val="1A1A1A"/>
          <w:w w:val="110"/>
          <w:sz w:val="18"/>
          <w:szCs w:val="18"/>
          <w:lang w:val="es-ES"/>
        </w:rPr>
        <w:t xml:space="preserve">Departamento </w:t>
      </w:r>
      <w:r w:rsidRPr="00A801F3">
        <w:rPr>
          <w:rFonts w:ascii="Arial" w:eastAsia="Arial" w:hAnsi="Arial" w:cs="Arial"/>
          <w:color w:val="2A2A2A"/>
          <w:w w:val="110"/>
          <w:sz w:val="18"/>
          <w:szCs w:val="18"/>
          <w:lang w:val="es-ES"/>
        </w:rPr>
        <w:t>Hidrocarburos,</w:t>
      </w:r>
      <w:r w:rsidRPr="00A801F3">
        <w:rPr>
          <w:rFonts w:ascii="Arial" w:eastAsia="Arial" w:hAnsi="Arial" w:cs="Arial"/>
          <w:color w:val="2A2A2A"/>
          <w:spacing w:val="-18"/>
          <w:w w:val="110"/>
          <w:sz w:val="18"/>
          <w:szCs w:val="18"/>
          <w:lang w:val="es-ES"/>
        </w:rPr>
        <w:t xml:space="preserve"> </w:t>
      </w:r>
      <w:r w:rsidRPr="00A801F3">
        <w:rPr>
          <w:rFonts w:ascii="Arial" w:eastAsia="Arial" w:hAnsi="Arial" w:cs="Arial"/>
          <w:color w:val="2A2A2A"/>
          <w:w w:val="110"/>
          <w:sz w:val="18"/>
          <w:szCs w:val="18"/>
          <w:lang w:val="es-ES"/>
        </w:rPr>
        <w:t>CNE, marzo de 2022.</w:t>
      </w:r>
    </w:p>
    <w:p w:rsidR="00E87F00" w:rsidRPr="00A801F3" w:rsidRDefault="00E87F00" w:rsidP="00A96796">
      <w:pPr>
        <w:widowControl w:val="0"/>
        <w:tabs>
          <w:tab w:val="left" w:pos="1016"/>
        </w:tabs>
        <w:autoSpaceDE w:val="0"/>
        <w:autoSpaceDN w:val="0"/>
        <w:spacing w:before="114"/>
        <w:ind w:right="1108"/>
        <w:jc w:val="both"/>
        <w:rPr>
          <w:rFonts w:ascii="Arial" w:eastAsia="Arial" w:hAnsi="Arial" w:cs="Arial"/>
          <w:sz w:val="18"/>
          <w:szCs w:val="18"/>
          <w:lang w:val="es-ES"/>
        </w:rPr>
      </w:pPr>
      <w:r w:rsidRPr="00A801F3">
        <w:rPr>
          <w:rFonts w:ascii="Arial" w:eastAsia="Arial" w:hAnsi="Arial" w:cs="Arial"/>
          <w:color w:val="1A1A1A"/>
          <w:w w:val="105"/>
          <w:sz w:val="18"/>
          <w:szCs w:val="18"/>
          <w:lang w:val="es-ES"/>
        </w:rPr>
        <w:t>Ley</w:t>
      </w:r>
      <w:r w:rsidRPr="00A801F3">
        <w:rPr>
          <w:rFonts w:ascii="Arial" w:eastAsia="Arial" w:hAnsi="Arial" w:cs="Arial"/>
          <w:color w:val="1A1A1A"/>
          <w:spacing w:val="6"/>
          <w:w w:val="105"/>
          <w:sz w:val="18"/>
          <w:szCs w:val="18"/>
          <w:lang w:val="es-ES"/>
        </w:rPr>
        <w:t xml:space="preserve"> </w:t>
      </w:r>
      <w:r w:rsidRPr="00A801F3">
        <w:rPr>
          <w:rFonts w:ascii="Arial" w:eastAsia="Arial" w:hAnsi="Arial" w:cs="Arial"/>
          <w:color w:val="2A2A2A"/>
          <w:w w:val="105"/>
          <w:sz w:val="18"/>
          <w:szCs w:val="18"/>
          <w:lang w:val="es-ES"/>
        </w:rPr>
        <w:t>de</w:t>
      </w:r>
      <w:r w:rsidRPr="00A801F3">
        <w:rPr>
          <w:rFonts w:ascii="Arial" w:eastAsia="Arial" w:hAnsi="Arial" w:cs="Arial"/>
          <w:color w:val="2A2A2A"/>
          <w:spacing w:val="-6"/>
          <w:w w:val="105"/>
          <w:sz w:val="18"/>
          <w:szCs w:val="18"/>
          <w:lang w:val="es-ES"/>
        </w:rPr>
        <w:t xml:space="preserve"> </w:t>
      </w:r>
      <w:r w:rsidRPr="00A801F3">
        <w:rPr>
          <w:rFonts w:ascii="Arial" w:eastAsia="Arial" w:hAnsi="Arial" w:cs="Arial"/>
          <w:color w:val="2A2A2A"/>
          <w:w w:val="105"/>
          <w:sz w:val="18"/>
          <w:szCs w:val="18"/>
          <w:lang w:val="es-ES"/>
        </w:rPr>
        <w:t>Presupuestos</w:t>
      </w:r>
      <w:r w:rsidRPr="00A801F3">
        <w:rPr>
          <w:rFonts w:ascii="Arial" w:eastAsia="Arial" w:hAnsi="Arial" w:cs="Arial"/>
          <w:color w:val="2A2A2A"/>
          <w:spacing w:val="26"/>
          <w:w w:val="105"/>
          <w:sz w:val="18"/>
          <w:szCs w:val="18"/>
          <w:lang w:val="es-ES"/>
        </w:rPr>
        <w:t xml:space="preserve"> </w:t>
      </w:r>
      <w:r w:rsidRPr="00A801F3">
        <w:rPr>
          <w:rFonts w:ascii="Arial" w:eastAsia="Arial" w:hAnsi="Arial" w:cs="Arial"/>
          <w:color w:val="2A2A2A"/>
          <w:w w:val="105"/>
          <w:sz w:val="18"/>
          <w:szCs w:val="18"/>
          <w:lang w:val="es-ES"/>
        </w:rPr>
        <w:t>del</w:t>
      </w:r>
      <w:r w:rsidRPr="00A801F3">
        <w:rPr>
          <w:rFonts w:ascii="Arial" w:eastAsia="Arial" w:hAnsi="Arial" w:cs="Arial"/>
          <w:color w:val="2A2A2A"/>
          <w:spacing w:val="3"/>
          <w:w w:val="105"/>
          <w:sz w:val="18"/>
          <w:szCs w:val="18"/>
          <w:lang w:val="es-ES"/>
        </w:rPr>
        <w:t xml:space="preserve"> </w:t>
      </w:r>
      <w:r w:rsidRPr="00A801F3">
        <w:rPr>
          <w:rFonts w:ascii="Arial" w:eastAsia="Arial" w:hAnsi="Arial" w:cs="Arial"/>
          <w:color w:val="2A2A2A"/>
          <w:w w:val="105"/>
          <w:sz w:val="18"/>
          <w:szCs w:val="18"/>
          <w:lang w:val="es-ES"/>
        </w:rPr>
        <w:t>Sector</w:t>
      </w:r>
      <w:r w:rsidRPr="00A801F3">
        <w:rPr>
          <w:rFonts w:ascii="Arial" w:eastAsia="Arial" w:hAnsi="Arial" w:cs="Arial"/>
          <w:color w:val="2A2A2A"/>
          <w:spacing w:val="9"/>
          <w:w w:val="105"/>
          <w:sz w:val="18"/>
          <w:szCs w:val="18"/>
          <w:lang w:val="es-ES"/>
        </w:rPr>
        <w:t xml:space="preserve"> </w:t>
      </w:r>
      <w:r w:rsidRPr="00A801F3">
        <w:rPr>
          <w:rFonts w:ascii="Arial" w:eastAsia="Arial" w:hAnsi="Arial" w:cs="Arial"/>
          <w:color w:val="2A2A2A"/>
          <w:w w:val="105"/>
          <w:sz w:val="18"/>
          <w:szCs w:val="18"/>
          <w:lang w:val="es-ES"/>
        </w:rPr>
        <w:t>Público,</w:t>
      </w:r>
      <w:r w:rsidRPr="00A801F3">
        <w:rPr>
          <w:rFonts w:ascii="Arial" w:eastAsia="Arial" w:hAnsi="Arial" w:cs="Arial"/>
          <w:color w:val="2A2A2A"/>
          <w:spacing w:val="5"/>
          <w:w w:val="105"/>
          <w:sz w:val="18"/>
          <w:szCs w:val="18"/>
          <w:lang w:val="es-ES"/>
        </w:rPr>
        <w:t xml:space="preserve"> </w:t>
      </w:r>
      <w:r w:rsidRPr="00A801F3">
        <w:rPr>
          <w:rFonts w:ascii="Arial" w:eastAsia="Arial" w:hAnsi="Arial" w:cs="Arial"/>
          <w:color w:val="2A2A2A"/>
          <w:w w:val="105"/>
          <w:sz w:val="18"/>
          <w:szCs w:val="18"/>
          <w:lang w:val="es-ES"/>
        </w:rPr>
        <w:t>año</w:t>
      </w:r>
      <w:r w:rsidRPr="00A801F3">
        <w:rPr>
          <w:rFonts w:ascii="Arial" w:eastAsia="Arial" w:hAnsi="Arial" w:cs="Arial"/>
          <w:color w:val="2A2A2A"/>
          <w:spacing w:val="8"/>
          <w:w w:val="105"/>
          <w:sz w:val="18"/>
          <w:szCs w:val="18"/>
          <w:lang w:val="es-ES"/>
        </w:rPr>
        <w:t xml:space="preserve"> </w:t>
      </w:r>
      <w:r w:rsidRPr="00A801F3">
        <w:rPr>
          <w:rFonts w:ascii="Arial" w:eastAsia="Arial" w:hAnsi="Arial" w:cs="Arial"/>
          <w:color w:val="1A1A1A"/>
          <w:spacing w:val="-2"/>
          <w:w w:val="105"/>
          <w:sz w:val="18"/>
          <w:szCs w:val="18"/>
          <w:lang w:val="es-ES"/>
        </w:rPr>
        <w:t>2022.</w:t>
      </w:r>
    </w:p>
    <w:p w:rsidR="00E87F00" w:rsidRPr="00A801F3" w:rsidRDefault="00E87F00" w:rsidP="00A96796">
      <w:pPr>
        <w:widowControl w:val="0"/>
        <w:tabs>
          <w:tab w:val="left" w:pos="1006"/>
        </w:tabs>
        <w:autoSpaceDE w:val="0"/>
        <w:autoSpaceDN w:val="0"/>
        <w:spacing w:before="131"/>
        <w:ind w:right="1108"/>
        <w:jc w:val="both"/>
        <w:rPr>
          <w:rFonts w:ascii="Arial" w:eastAsia="Arial" w:hAnsi="Arial" w:cs="Arial"/>
          <w:sz w:val="18"/>
          <w:szCs w:val="18"/>
          <w:lang w:val="es-ES"/>
        </w:rPr>
      </w:pPr>
      <w:r w:rsidRPr="00A801F3">
        <w:rPr>
          <w:rFonts w:ascii="Arial" w:eastAsia="Arial" w:hAnsi="Arial" w:cs="Arial"/>
          <w:color w:val="2A2A2A"/>
          <w:w w:val="105"/>
          <w:sz w:val="18"/>
          <w:szCs w:val="18"/>
          <w:lang w:val="es-ES"/>
        </w:rPr>
        <w:t>Ley</w:t>
      </w:r>
      <w:r w:rsidRPr="00A801F3">
        <w:rPr>
          <w:rFonts w:ascii="Arial" w:eastAsia="Arial" w:hAnsi="Arial" w:cs="Arial"/>
          <w:color w:val="2A2A2A"/>
          <w:spacing w:val="18"/>
          <w:w w:val="105"/>
          <w:sz w:val="18"/>
          <w:szCs w:val="18"/>
          <w:lang w:val="es-ES"/>
        </w:rPr>
        <w:t xml:space="preserve"> </w:t>
      </w:r>
      <w:r w:rsidRPr="00A801F3">
        <w:rPr>
          <w:rFonts w:ascii="Arial" w:eastAsia="Arial" w:hAnsi="Arial" w:cs="Arial"/>
          <w:color w:val="2A2A2A"/>
          <w:w w:val="105"/>
          <w:sz w:val="18"/>
          <w:szCs w:val="18"/>
          <w:lang w:val="es-ES"/>
        </w:rPr>
        <w:t>Nº</w:t>
      </w:r>
      <w:r w:rsidRPr="00A801F3">
        <w:rPr>
          <w:rFonts w:ascii="Arial" w:eastAsia="Arial" w:hAnsi="Arial" w:cs="Arial"/>
          <w:color w:val="2A2A2A"/>
          <w:spacing w:val="32"/>
          <w:w w:val="105"/>
          <w:sz w:val="18"/>
          <w:szCs w:val="18"/>
          <w:lang w:val="es-ES"/>
        </w:rPr>
        <w:t xml:space="preserve"> </w:t>
      </w:r>
      <w:r w:rsidRPr="00A801F3">
        <w:rPr>
          <w:rFonts w:ascii="Arial" w:eastAsia="Arial" w:hAnsi="Arial" w:cs="Arial"/>
          <w:color w:val="2A2A2A"/>
          <w:w w:val="105"/>
          <w:sz w:val="18"/>
          <w:szCs w:val="18"/>
          <w:lang w:val="es-ES"/>
        </w:rPr>
        <w:t>19.030</w:t>
      </w:r>
      <w:r w:rsidRPr="00A801F3">
        <w:rPr>
          <w:rFonts w:ascii="Arial" w:eastAsia="Arial" w:hAnsi="Arial" w:cs="Arial"/>
          <w:color w:val="2A2A2A"/>
          <w:spacing w:val="-5"/>
          <w:w w:val="105"/>
          <w:sz w:val="18"/>
          <w:szCs w:val="18"/>
          <w:lang w:val="es-ES"/>
        </w:rPr>
        <w:t xml:space="preserve"> </w:t>
      </w:r>
      <w:r w:rsidRPr="00A801F3">
        <w:rPr>
          <w:rFonts w:ascii="Arial" w:eastAsia="Arial" w:hAnsi="Arial" w:cs="Arial"/>
          <w:color w:val="2A2A2A"/>
          <w:w w:val="105"/>
          <w:sz w:val="18"/>
          <w:szCs w:val="18"/>
          <w:lang w:val="es-ES"/>
        </w:rPr>
        <w:t>Crea</w:t>
      </w:r>
      <w:r w:rsidRPr="00A801F3">
        <w:rPr>
          <w:rFonts w:ascii="Arial" w:eastAsia="Arial" w:hAnsi="Arial" w:cs="Arial"/>
          <w:color w:val="2A2A2A"/>
          <w:spacing w:val="-1"/>
          <w:w w:val="105"/>
          <w:sz w:val="18"/>
          <w:szCs w:val="18"/>
          <w:lang w:val="es-ES"/>
        </w:rPr>
        <w:t xml:space="preserve"> </w:t>
      </w:r>
      <w:r w:rsidRPr="00A801F3">
        <w:rPr>
          <w:rFonts w:ascii="Arial" w:eastAsia="Arial" w:hAnsi="Arial" w:cs="Arial"/>
          <w:color w:val="2A2A2A"/>
          <w:w w:val="105"/>
          <w:sz w:val="18"/>
          <w:szCs w:val="18"/>
          <w:lang w:val="es-ES"/>
        </w:rPr>
        <w:t>el</w:t>
      </w:r>
      <w:r w:rsidRPr="00A801F3">
        <w:rPr>
          <w:rFonts w:ascii="Arial" w:eastAsia="Arial" w:hAnsi="Arial" w:cs="Arial"/>
          <w:color w:val="2A2A2A"/>
          <w:spacing w:val="15"/>
          <w:w w:val="105"/>
          <w:sz w:val="18"/>
          <w:szCs w:val="18"/>
          <w:lang w:val="es-ES"/>
        </w:rPr>
        <w:t xml:space="preserve"> </w:t>
      </w:r>
      <w:r w:rsidRPr="00A801F3">
        <w:rPr>
          <w:rFonts w:ascii="Arial" w:eastAsia="Arial" w:hAnsi="Arial" w:cs="Arial"/>
          <w:color w:val="1A1A1A"/>
          <w:w w:val="105"/>
          <w:sz w:val="18"/>
          <w:szCs w:val="18"/>
          <w:lang w:val="es-ES"/>
        </w:rPr>
        <w:t>Fondo</w:t>
      </w:r>
      <w:r w:rsidRPr="00A801F3">
        <w:rPr>
          <w:rFonts w:ascii="Arial" w:eastAsia="Arial" w:hAnsi="Arial" w:cs="Arial"/>
          <w:color w:val="1A1A1A"/>
          <w:spacing w:val="8"/>
          <w:w w:val="105"/>
          <w:sz w:val="18"/>
          <w:szCs w:val="18"/>
          <w:lang w:val="es-ES"/>
        </w:rPr>
        <w:t xml:space="preserve"> </w:t>
      </w:r>
      <w:r w:rsidRPr="00A801F3">
        <w:rPr>
          <w:rFonts w:ascii="Arial" w:eastAsia="Arial" w:hAnsi="Arial" w:cs="Arial"/>
          <w:color w:val="2A2A2A"/>
          <w:w w:val="105"/>
          <w:sz w:val="18"/>
          <w:szCs w:val="18"/>
          <w:lang w:val="es-ES"/>
        </w:rPr>
        <w:t>de</w:t>
      </w:r>
      <w:r w:rsidRPr="00A801F3">
        <w:rPr>
          <w:rFonts w:ascii="Arial" w:eastAsia="Arial" w:hAnsi="Arial" w:cs="Arial"/>
          <w:color w:val="2A2A2A"/>
          <w:spacing w:val="13"/>
          <w:w w:val="105"/>
          <w:sz w:val="18"/>
          <w:szCs w:val="18"/>
          <w:lang w:val="es-ES"/>
        </w:rPr>
        <w:t xml:space="preserve"> </w:t>
      </w:r>
      <w:r w:rsidRPr="00A801F3">
        <w:rPr>
          <w:rFonts w:ascii="Arial" w:eastAsia="Arial" w:hAnsi="Arial" w:cs="Arial"/>
          <w:color w:val="2A2A2A"/>
          <w:w w:val="105"/>
          <w:sz w:val="18"/>
          <w:szCs w:val="18"/>
          <w:lang w:val="es-ES"/>
        </w:rPr>
        <w:t>Estabilización</w:t>
      </w:r>
      <w:r w:rsidRPr="00A801F3">
        <w:rPr>
          <w:rFonts w:ascii="Arial" w:eastAsia="Arial" w:hAnsi="Arial" w:cs="Arial"/>
          <w:color w:val="2A2A2A"/>
          <w:spacing w:val="-2"/>
          <w:w w:val="105"/>
          <w:sz w:val="18"/>
          <w:szCs w:val="18"/>
          <w:lang w:val="es-ES"/>
        </w:rPr>
        <w:t xml:space="preserve"> </w:t>
      </w:r>
      <w:r w:rsidRPr="00A801F3">
        <w:rPr>
          <w:rFonts w:ascii="Arial" w:eastAsia="Arial" w:hAnsi="Arial" w:cs="Arial"/>
          <w:color w:val="2A2A2A"/>
          <w:w w:val="105"/>
          <w:sz w:val="18"/>
          <w:szCs w:val="18"/>
          <w:lang w:val="es-ES"/>
        </w:rPr>
        <w:t>de</w:t>
      </w:r>
      <w:r w:rsidRPr="00A801F3">
        <w:rPr>
          <w:rFonts w:ascii="Arial" w:eastAsia="Arial" w:hAnsi="Arial" w:cs="Arial"/>
          <w:color w:val="2A2A2A"/>
          <w:spacing w:val="6"/>
          <w:w w:val="105"/>
          <w:sz w:val="18"/>
          <w:szCs w:val="18"/>
          <w:lang w:val="es-ES"/>
        </w:rPr>
        <w:t xml:space="preserve"> </w:t>
      </w:r>
      <w:r w:rsidRPr="00A801F3">
        <w:rPr>
          <w:rFonts w:ascii="Arial" w:eastAsia="Arial" w:hAnsi="Arial" w:cs="Arial"/>
          <w:color w:val="2A2A2A"/>
          <w:w w:val="105"/>
          <w:sz w:val="18"/>
          <w:szCs w:val="18"/>
          <w:lang w:val="es-ES"/>
        </w:rPr>
        <w:t>Precios</w:t>
      </w:r>
      <w:r w:rsidRPr="00A801F3">
        <w:rPr>
          <w:rFonts w:ascii="Arial" w:eastAsia="Arial" w:hAnsi="Arial" w:cs="Arial"/>
          <w:color w:val="2A2A2A"/>
          <w:spacing w:val="8"/>
          <w:w w:val="105"/>
          <w:sz w:val="18"/>
          <w:szCs w:val="18"/>
          <w:lang w:val="es-ES"/>
        </w:rPr>
        <w:t xml:space="preserve"> </w:t>
      </w:r>
      <w:r w:rsidRPr="00A801F3">
        <w:rPr>
          <w:rFonts w:ascii="Arial" w:eastAsia="Arial" w:hAnsi="Arial" w:cs="Arial"/>
          <w:color w:val="2A2A2A"/>
          <w:w w:val="105"/>
          <w:sz w:val="18"/>
          <w:szCs w:val="18"/>
          <w:lang w:val="es-ES"/>
        </w:rPr>
        <w:t>del</w:t>
      </w:r>
      <w:r w:rsidRPr="00A801F3">
        <w:rPr>
          <w:rFonts w:ascii="Arial" w:eastAsia="Arial" w:hAnsi="Arial" w:cs="Arial"/>
          <w:color w:val="2A2A2A"/>
          <w:spacing w:val="10"/>
          <w:w w:val="105"/>
          <w:sz w:val="18"/>
          <w:szCs w:val="18"/>
          <w:lang w:val="es-ES"/>
        </w:rPr>
        <w:t xml:space="preserve"> </w:t>
      </w:r>
      <w:r w:rsidRPr="00A801F3">
        <w:rPr>
          <w:rFonts w:ascii="Arial" w:eastAsia="Arial" w:hAnsi="Arial" w:cs="Arial"/>
          <w:color w:val="2A2A2A"/>
          <w:spacing w:val="-2"/>
          <w:w w:val="105"/>
          <w:sz w:val="18"/>
          <w:szCs w:val="18"/>
          <w:lang w:val="es-ES"/>
        </w:rPr>
        <w:t>Petróleo.</w:t>
      </w:r>
    </w:p>
    <w:p w:rsidR="00E87F00" w:rsidRPr="00A801F3" w:rsidRDefault="00E87F00" w:rsidP="00A96796">
      <w:pPr>
        <w:widowControl w:val="0"/>
        <w:tabs>
          <w:tab w:val="left" w:pos="1005"/>
        </w:tabs>
        <w:autoSpaceDE w:val="0"/>
        <w:autoSpaceDN w:val="0"/>
        <w:spacing w:before="120"/>
        <w:ind w:right="1108"/>
        <w:jc w:val="both"/>
        <w:rPr>
          <w:rFonts w:ascii="Arial" w:eastAsia="Arial" w:hAnsi="Arial" w:cs="Arial"/>
          <w:sz w:val="18"/>
          <w:szCs w:val="18"/>
          <w:lang w:val="es-ES"/>
        </w:rPr>
      </w:pPr>
      <w:r w:rsidRPr="00A801F3">
        <w:rPr>
          <w:rFonts w:ascii="Arial" w:eastAsia="Arial" w:hAnsi="Arial" w:cs="Arial"/>
          <w:color w:val="1A1A1A"/>
          <w:w w:val="105"/>
          <w:sz w:val="18"/>
          <w:szCs w:val="18"/>
          <w:lang w:val="es-ES"/>
        </w:rPr>
        <w:t xml:space="preserve">Decreto </w:t>
      </w:r>
      <w:r w:rsidRPr="00A801F3">
        <w:rPr>
          <w:rFonts w:ascii="Arial" w:eastAsia="Arial" w:hAnsi="Arial" w:cs="Arial"/>
          <w:color w:val="2A2A2A"/>
          <w:w w:val="105"/>
          <w:sz w:val="18"/>
          <w:szCs w:val="18"/>
          <w:lang w:val="es-ES"/>
        </w:rPr>
        <w:t>Nº 211</w:t>
      </w:r>
      <w:r w:rsidRPr="00A801F3">
        <w:rPr>
          <w:rFonts w:ascii="Arial" w:eastAsia="Arial" w:hAnsi="Arial" w:cs="Arial"/>
          <w:color w:val="2A2A2A"/>
          <w:spacing w:val="-2"/>
          <w:w w:val="105"/>
          <w:sz w:val="18"/>
          <w:szCs w:val="18"/>
          <w:lang w:val="es-ES"/>
        </w:rPr>
        <w:t xml:space="preserve"> </w:t>
      </w:r>
      <w:r w:rsidRPr="00A801F3">
        <w:rPr>
          <w:rFonts w:ascii="Arial" w:eastAsia="Arial" w:hAnsi="Arial" w:cs="Arial"/>
          <w:color w:val="2A2A2A"/>
          <w:w w:val="105"/>
          <w:sz w:val="18"/>
          <w:szCs w:val="18"/>
          <w:lang w:val="es-ES"/>
        </w:rPr>
        <w:t>del Ministerio de</w:t>
      </w:r>
      <w:r w:rsidRPr="00A801F3">
        <w:rPr>
          <w:rFonts w:ascii="Arial" w:eastAsia="Arial" w:hAnsi="Arial" w:cs="Arial"/>
          <w:color w:val="2A2A2A"/>
          <w:spacing w:val="-8"/>
          <w:w w:val="105"/>
          <w:sz w:val="18"/>
          <w:szCs w:val="18"/>
          <w:lang w:val="es-ES"/>
        </w:rPr>
        <w:t xml:space="preserve"> </w:t>
      </w:r>
      <w:r w:rsidRPr="00A801F3">
        <w:rPr>
          <w:rFonts w:ascii="Arial" w:eastAsia="Arial" w:hAnsi="Arial" w:cs="Arial"/>
          <w:color w:val="2A2A2A"/>
          <w:w w:val="105"/>
          <w:sz w:val="18"/>
          <w:szCs w:val="18"/>
          <w:lang w:val="es-ES"/>
        </w:rPr>
        <w:t>Minería del</w:t>
      </w:r>
      <w:r w:rsidRPr="00A801F3">
        <w:rPr>
          <w:rFonts w:ascii="Arial" w:eastAsia="Arial" w:hAnsi="Arial" w:cs="Arial"/>
          <w:color w:val="2A2A2A"/>
          <w:spacing w:val="-2"/>
          <w:w w:val="105"/>
          <w:sz w:val="18"/>
          <w:szCs w:val="18"/>
          <w:lang w:val="es-ES"/>
        </w:rPr>
        <w:t xml:space="preserve"> </w:t>
      </w:r>
      <w:r w:rsidRPr="00A801F3">
        <w:rPr>
          <w:rFonts w:ascii="Arial" w:eastAsia="Arial" w:hAnsi="Arial" w:cs="Arial"/>
          <w:color w:val="2A2A2A"/>
          <w:w w:val="105"/>
          <w:sz w:val="18"/>
          <w:szCs w:val="18"/>
          <w:lang w:val="es-ES"/>
        </w:rPr>
        <w:t>año 2002 Aprueba nuevo Reglamento ley</w:t>
      </w:r>
      <w:r w:rsidRPr="00A801F3">
        <w:rPr>
          <w:rFonts w:ascii="Arial" w:eastAsia="Arial" w:hAnsi="Arial" w:cs="Arial"/>
          <w:color w:val="2A2A2A"/>
          <w:spacing w:val="40"/>
          <w:w w:val="105"/>
          <w:sz w:val="18"/>
          <w:szCs w:val="18"/>
          <w:lang w:val="es-ES"/>
        </w:rPr>
        <w:t xml:space="preserve"> </w:t>
      </w:r>
      <w:r w:rsidRPr="00A801F3">
        <w:rPr>
          <w:rFonts w:ascii="Arial" w:eastAsia="Arial" w:hAnsi="Arial" w:cs="Arial"/>
          <w:color w:val="2A2A2A"/>
          <w:w w:val="105"/>
          <w:sz w:val="18"/>
          <w:szCs w:val="18"/>
          <w:lang w:val="es-ES"/>
        </w:rPr>
        <w:t>Nº</w:t>
      </w:r>
      <w:r w:rsidRPr="00A801F3">
        <w:rPr>
          <w:rFonts w:ascii="Arial" w:eastAsia="Arial" w:hAnsi="Arial" w:cs="Arial"/>
          <w:color w:val="2A2A2A"/>
          <w:spacing w:val="40"/>
          <w:w w:val="105"/>
          <w:sz w:val="18"/>
          <w:szCs w:val="18"/>
          <w:lang w:val="es-ES"/>
        </w:rPr>
        <w:t xml:space="preserve"> </w:t>
      </w:r>
      <w:r w:rsidRPr="00A801F3">
        <w:rPr>
          <w:rFonts w:ascii="Arial" w:eastAsia="Arial" w:hAnsi="Arial" w:cs="Arial"/>
          <w:color w:val="2A2A2A"/>
          <w:w w:val="105"/>
          <w:sz w:val="18"/>
          <w:szCs w:val="18"/>
          <w:lang w:val="es-ES"/>
        </w:rPr>
        <w:t>19.030, que crea el Fondo de Estabilización de Precios</w:t>
      </w:r>
      <w:r w:rsidRPr="00A801F3">
        <w:rPr>
          <w:rFonts w:ascii="Arial" w:eastAsia="Arial" w:hAnsi="Arial" w:cs="Arial"/>
          <w:color w:val="2A2A2A"/>
          <w:spacing w:val="40"/>
          <w:w w:val="105"/>
          <w:sz w:val="18"/>
          <w:szCs w:val="18"/>
          <w:lang w:val="es-ES"/>
        </w:rPr>
        <w:t xml:space="preserve"> </w:t>
      </w:r>
      <w:r w:rsidRPr="00A801F3">
        <w:rPr>
          <w:rFonts w:ascii="Arial" w:eastAsia="Arial" w:hAnsi="Arial" w:cs="Arial"/>
          <w:color w:val="2A2A2A"/>
          <w:w w:val="105"/>
          <w:sz w:val="18"/>
          <w:szCs w:val="18"/>
          <w:lang w:val="es-ES"/>
        </w:rPr>
        <w:t>del Petróleo.</w:t>
      </w:r>
    </w:p>
    <w:p w:rsidR="00E87F00" w:rsidRPr="00A801F3" w:rsidRDefault="00E87F00" w:rsidP="00A96796">
      <w:pPr>
        <w:widowControl w:val="0"/>
        <w:tabs>
          <w:tab w:val="left" w:pos="1006"/>
        </w:tabs>
        <w:autoSpaceDE w:val="0"/>
        <w:autoSpaceDN w:val="0"/>
        <w:spacing w:before="129"/>
        <w:ind w:right="1108"/>
        <w:jc w:val="both"/>
        <w:rPr>
          <w:rFonts w:ascii="Arial" w:eastAsia="Arial" w:hAnsi="Arial" w:cs="Arial"/>
          <w:sz w:val="18"/>
          <w:szCs w:val="18"/>
          <w:lang w:val="es-ES"/>
        </w:rPr>
      </w:pPr>
      <w:r w:rsidRPr="00A801F3">
        <w:rPr>
          <w:rFonts w:ascii="Arial" w:eastAsia="Arial" w:hAnsi="Arial" w:cs="Arial"/>
          <w:color w:val="2A2A2A"/>
          <w:w w:val="105"/>
          <w:sz w:val="18"/>
          <w:szCs w:val="18"/>
          <w:lang w:val="es-ES"/>
        </w:rPr>
        <w:t>Ley</w:t>
      </w:r>
      <w:r w:rsidRPr="00A801F3">
        <w:rPr>
          <w:rFonts w:ascii="Arial" w:eastAsia="Arial" w:hAnsi="Arial" w:cs="Arial"/>
          <w:color w:val="2A2A2A"/>
          <w:spacing w:val="36"/>
          <w:w w:val="105"/>
          <w:sz w:val="18"/>
          <w:szCs w:val="18"/>
          <w:lang w:val="es-ES"/>
        </w:rPr>
        <w:t xml:space="preserve"> </w:t>
      </w:r>
      <w:r w:rsidRPr="00A801F3">
        <w:rPr>
          <w:rFonts w:ascii="Arial" w:eastAsia="Arial" w:hAnsi="Arial" w:cs="Arial"/>
          <w:color w:val="2A2A2A"/>
          <w:w w:val="105"/>
          <w:sz w:val="18"/>
          <w:szCs w:val="18"/>
          <w:lang w:val="es-ES"/>
        </w:rPr>
        <w:t>Nº</w:t>
      </w:r>
      <w:r w:rsidRPr="00A801F3">
        <w:rPr>
          <w:rFonts w:ascii="Arial" w:eastAsia="Arial" w:hAnsi="Arial" w:cs="Arial"/>
          <w:color w:val="2A2A2A"/>
          <w:spacing w:val="40"/>
          <w:w w:val="105"/>
          <w:sz w:val="18"/>
          <w:szCs w:val="18"/>
          <w:lang w:val="es-ES"/>
        </w:rPr>
        <w:t xml:space="preserve"> </w:t>
      </w:r>
      <w:r w:rsidRPr="00A801F3">
        <w:rPr>
          <w:rFonts w:ascii="Arial" w:eastAsia="Arial" w:hAnsi="Arial" w:cs="Arial"/>
          <w:color w:val="2A2A2A"/>
          <w:w w:val="105"/>
          <w:sz w:val="18"/>
          <w:szCs w:val="18"/>
          <w:lang w:val="es-ES"/>
        </w:rPr>
        <w:t>20.493</w:t>
      </w:r>
      <w:r w:rsidRPr="00A801F3">
        <w:rPr>
          <w:rFonts w:ascii="Arial" w:eastAsia="Arial" w:hAnsi="Arial" w:cs="Arial"/>
          <w:color w:val="2A2A2A"/>
          <w:spacing w:val="37"/>
          <w:w w:val="105"/>
          <w:sz w:val="18"/>
          <w:szCs w:val="18"/>
          <w:lang w:val="es-ES"/>
        </w:rPr>
        <w:t xml:space="preserve"> </w:t>
      </w:r>
      <w:r w:rsidRPr="00A801F3">
        <w:rPr>
          <w:rFonts w:ascii="Arial" w:eastAsia="Arial" w:hAnsi="Arial" w:cs="Arial"/>
          <w:color w:val="2A2A2A"/>
          <w:w w:val="105"/>
          <w:sz w:val="18"/>
          <w:szCs w:val="18"/>
          <w:lang w:val="es-ES"/>
        </w:rPr>
        <w:t>que Crea</w:t>
      </w:r>
      <w:r w:rsidRPr="00A801F3">
        <w:rPr>
          <w:rFonts w:ascii="Arial" w:eastAsia="Arial" w:hAnsi="Arial" w:cs="Arial"/>
          <w:color w:val="2A2A2A"/>
          <w:spacing w:val="39"/>
          <w:w w:val="105"/>
          <w:sz w:val="18"/>
          <w:szCs w:val="18"/>
          <w:lang w:val="es-ES"/>
        </w:rPr>
        <w:t xml:space="preserve"> </w:t>
      </w:r>
      <w:r w:rsidRPr="00A801F3">
        <w:rPr>
          <w:rFonts w:ascii="Arial" w:eastAsia="Arial" w:hAnsi="Arial" w:cs="Arial"/>
          <w:color w:val="2A2A2A"/>
          <w:w w:val="105"/>
          <w:sz w:val="18"/>
          <w:szCs w:val="18"/>
          <w:lang w:val="es-ES"/>
        </w:rPr>
        <w:t>un</w:t>
      </w:r>
      <w:r w:rsidRPr="00A801F3">
        <w:rPr>
          <w:rFonts w:ascii="Arial" w:eastAsia="Arial" w:hAnsi="Arial" w:cs="Arial"/>
          <w:color w:val="2A2A2A"/>
          <w:spacing w:val="40"/>
          <w:w w:val="105"/>
          <w:sz w:val="18"/>
          <w:szCs w:val="18"/>
          <w:lang w:val="es-ES"/>
        </w:rPr>
        <w:t xml:space="preserve"> </w:t>
      </w:r>
      <w:r w:rsidRPr="00A801F3">
        <w:rPr>
          <w:rFonts w:ascii="Arial" w:eastAsia="Arial" w:hAnsi="Arial" w:cs="Arial"/>
          <w:color w:val="1A1A1A"/>
          <w:w w:val="105"/>
          <w:sz w:val="18"/>
          <w:szCs w:val="18"/>
          <w:lang w:val="es-ES"/>
        </w:rPr>
        <w:t xml:space="preserve">nuevo </w:t>
      </w:r>
      <w:r w:rsidRPr="00A801F3">
        <w:rPr>
          <w:rFonts w:ascii="Arial" w:eastAsia="Arial" w:hAnsi="Arial" w:cs="Arial"/>
          <w:color w:val="2A2A2A"/>
          <w:w w:val="105"/>
          <w:sz w:val="18"/>
          <w:szCs w:val="18"/>
          <w:lang w:val="es-ES"/>
        </w:rPr>
        <w:t>Sistema</w:t>
      </w:r>
      <w:r w:rsidRPr="00A801F3">
        <w:rPr>
          <w:rFonts w:ascii="Arial" w:eastAsia="Arial" w:hAnsi="Arial" w:cs="Arial"/>
          <w:color w:val="2A2A2A"/>
          <w:spacing w:val="35"/>
          <w:w w:val="105"/>
          <w:sz w:val="18"/>
          <w:szCs w:val="18"/>
          <w:lang w:val="es-ES"/>
        </w:rPr>
        <w:t xml:space="preserve"> </w:t>
      </w:r>
      <w:r w:rsidRPr="00A801F3">
        <w:rPr>
          <w:rFonts w:ascii="Arial" w:eastAsia="Arial" w:hAnsi="Arial" w:cs="Arial"/>
          <w:color w:val="2A2A2A"/>
          <w:w w:val="105"/>
          <w:sz w:val="18"/>
          <w:szCs w:val="18"/>
          <w:lang w:val="es-ES"/>
        </w:rPr>
        <w:t>de</w:t>
      </w:r>
      <w:r w:rsidRPr="00A801F3">
        <w:rPr>
          <w:rFonts w:ascii="Arial" w:eastAsia="Arial" w:hAnsi="Arial" w:cs="Arial"/>
          <w:color w:val="2A2A2A"/>
          <w:spacing w:val="35"/>
          <w:w w:val="105"/>
          <w:sz w:val="18"/>
          <w:szCs w:val="18"/>
          <w:lang w:val="es-ES"/>
        </w:rPr>
        <w:t xml:space="preserve"> </w:t>
      </w:r>
      <w:r w:rsidRPr="00A801F3">
        <w:rPr>
          <w:rFonts w:ascii="Arial" w:eastAsia="Arial" w:hAnsi="Arial" w:cs="Arial"/>
          <w:color w:val="1A1A1A"/>
          <w:w w:val="105"/>
          <w:sz w:val="18"/>
          <w:szCs w:val="18"/>
          <w:lang w:val="es-ES"/>
        </w:rPr>
        <w:t>Protección</w:t>
      </w:r>
      <w:r w:rsidRPr="00A801F3">
        <w:rPr>
          <w:rFonts w:ascii="Arial" w:eastAsia="Arial" w:hAnsi="Arial" w:cs="Arial"/>
          <w:color w:val="1A1A1A"/>
          <w:spacing w:val="40"/>
          <w:w w:val="105"/>
          <w:sz w:val="18"/>
          <w:szCs w:val="18"/>
          <w:lang w:val="es-ES"/>
        </w:rPr>
        <w:t xml:space="preserve"> </w:t>
      </w:r>
      <w:r w:rsidRPr="00A801F3">
        <w:rPr>
          <w:rFonts w:ascii="Arial" w:eastAsia="Arial" w:hAnsi="Arial" w:cs="Arial"/>
          <w:color w:val="2A2A2A"/>
          <w:w w:val="105"/>
          <w:sz w:val="18"/>
          <w:szCs w:val="18"/>
          <w:lang w:val="es-ES"/>
        </w:rPr>
        <w:t>al Contribuyente</w:t>
      </w:r>
      <w:r w:rsidRPr="00A801F3">
        <w:rPr>
          <w:rFonts w:ascii="Arial" w:eastAsia="Arial" w:hAnsi="Arial" w:cs="Arial"/>
          <w:color w:val="2A2A2A"/>
          <w:spacing w:val="40"/>
          <w:w w:val="105"/>
          <w:sz w:val="18"/>
          <w:szCs w:val="18"/>
          <w:lang w:val="es-ES"/>
        </w:rPr>
        <w:t xml:space="preserve"> </w:t>
      </w:r>
      <w:r w:rsidRPr="00A801F3">
        <w:rPr>
          <w:rFonts w:ascii="Arial" w:eastAsia="Arial" w:hAnsi="Arial" w:cs="Arial"/>
          <w:color w:val="2A2A2A"/>
          <w:w w:val="105"/>
          <w:sz w:val="18"/>
          <w:szCs w:val="18"/>
          <w:lang w:val="es-ES"/>
        </w:rPr>
        <w:t>ante las variaciones</w:t>
      </w:r>
      <w:r w:rsidRPr="00A801F3">
        <w:rPr>
          <w:rFonts w:ascii="Arial" w:eastAsia="Arial" w:hAnsi="Arial" w:cs="Arial"/>
          <w:color w:val="2A2A2A"/>
          <w:spacing w:val="40"/>
          <w:w w:val="105"/>
          <w:sz w:val="18"/>
          <w:szCs w:val="18"/>
          <w:lang w:val="es-ES"/>
        </w:rPr>
        <w:t xml:space="preserve"> </w:t>
      </w:r>
      <w:r w:rsidRPr="00A801F3">
        <w:rPr>
          <w:rFonts w:ascii="Arial" w:eastAsia="Arial" w:hAnsi="Arial" w:cs="Arial"/>
          <w:color w:val="2A2A2A"/>
          <w:w w:val="105"/>
          <w:sz w:val="18"/>
          <w:szCs w:val="18"/>
          <w:lang w:val="es-ES"/>
        </w:rPr>
        <w:t>en los</w:t>
      </w:r>
      <w:r w:rsidRPr="00A801F3">
        <w:rPr>
          <w:rFonts w:ascii="Arial" w:eastAsia="Arial" w:hAnsi="Arial" w:cs="Arial"/>
          <w:color w:val="2A2A2A"/>
          <w:spacing w:val="40"/>
          <w:w w:val="105"/>
          <w:sz w:val="18"/>
          <w:szCs w:val="18"/>
          <w:lang w:val="es-ES"/>
        </w:rPr>
        <w:t xml:space="preserve"> </w:t>
      </w:r>
      <w:r w:rsidRPr="00A801F3">
        <w:rPr>
          <w:rFonts w:ascii="Arial" w:eastAsia="Arial" w:hAnsi="Arial" w:cs="Arial"/>
          <w:color w:val="2A2A2A"/>
          <w:w w:val="105"/>
          <w:sz w:val="18"/>
          <w:szCs w:val="18"/>
          <w:lang w:val="es-ES"/>
        </w:rPr>
        <w:t>precios internacionales de los combustibles.</w:t>
      </w:r>
    </w:p>
    <w:p w:rsidR="00E87F00" w:rsidRPr="00A96796" w:rsidRDefault="00E87F00" w:rsidP="00A96796">
      <w:pPr>
        <w:pStyle w:val="Textonotapie"/>
        <w:jc w:val="both"/>
        <w:rPr>
          <w:rFonts w:ascii="Arial" w:hAnsi="Arial" w:cs="Arial"/>
          <w:sz w:val="18"/>
          <w:szCs w:val="18"/>
          <w:lang w:val="es-E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3B1" w:rsidRDefault="00AF7724" w:rsidP="004B69F4">
    <w:pPr>
      <w:pStyle w:val="Encabezado"/>
      <w:framePr w:wrap="around" w:vAnchor="text" w:hAnchor="margin" w:xAlign="right" w:y="1"/>
      <w:rPr>
        <w:rStyle w:val="Nmerodepgina"/>
      </w:rPr>
    </w:pPr>
    <w:r>
      <w:rPr>
        <w:rStyle w:val="Nmerodepgina"/>
      </w:rPr>
      <w:fldChar w:fldCharType="begin"/>
    </w:r>
    <w:r w:rsidR="007633B1">
      <w:rPr>
        <w:rStyle w:val="Nmerodepgina"/>
      </w:rPr>
      <w:instrText xml:space="preserve">PAGE  </w:instrText>
    </w:r>
    <w:r>
      <w:rPr>
        <w:rStyle w:val="Nmerodepgina"/>
      </w:rPr>
      <w:fldChar w:fldCharType="separate"/>
    </w:r>
    <w:r w:rsidR="00836104">
      <w:rPr>
        <w:rStyle w:val="Nmerodepgina"/>
        <w:noProof/>
      </w:rPr>
      <w:t>4</w:t>
    </w:r>
    <w:r>
      <w:rPr>
        <w:rStyle w:val="Nmerodepgina"/>
      </w:rPr>
      <w:fldChar w:fldCharType="end"/>
    </w:r>
  </w:p>
  <w:p w:rsidR="007633B1" w:rsidRDefault="007633B1" w:rsidP="009E1E5B">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3B1" w:rsidRPr="006A322E" w:rsidRDefault="00AF7724"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007633B1"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874793">
      <w:rPr>
        <w:rStyle w:val="Nmerodepgina"/>
        <w:rFonts w:ascii="Arial" w:hAnsi="Arial" w:cs="Arial"/>
        <w:noProof/>
        <w:sz w:val="22"/>
        <w:szCs w:val="22"/>
      </w:rPr>
      <w:t>6</w:t>
    </w:r>
    <w:r w:rsidRPr="006A322E">
      <w:rPr>
        <w:rStyle w:val="Nmerodepgina"/>
        <w:rFonts w:ascii="Arial" w:hAnsi="Arial" w:cs="Arial"/>
        <w:sz w:val="22"/>
        <w:szCs w:val="22"/>
      </w:rPr>
      <w:fldChar w:fldCharType="end"/>
    </w:r>
  </w:p>
  <w:p w:rsidR="007633B1" w:rsidRDefault="007633B1">
    <w:pPr>
      <w:pStyle w:val="Encabezado"/>
      <w:jc w:val="right"/>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C64A4"/>
    <w:multiLevelType w:val="hybridMultilevel"/>
    <w:tmpl w:val="74FE96BA"/>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2241CE1"/>
    <w:multiLevelType w:val="hybridMultilevel"/>
    <w:tmpl w:val="3252020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76B26D4"/>
    <w:multiLevelType w:val="hybridMultilevel"/>
    <w:tmpl w:val="B032DA3E"/>
    <w:lvl w:ilvl="0" w:tplc="04405E1E">
      <w:start w:val="1"/>
      <w:numFmt w:val="decimal"/>
      <w:lvlText w:val="%1)"/>
      <w:lvlJc w:val="left"/>
      <w:pPr>
        <w:ind w:left="965" w:hanging="360"/>
      </w:pPr>
      <w:rPr>
        <w:rFonts w:ascii="Tahoma" w:eastAsia="Tahoma" w:hAnsi="Tahoma" w:cs="Tahoma" w:hint="default"/>
        <w:b/>
        <w:bCs/>
        <w:i w:val="0"/>
        <w:iCs w:val="0"/>
        <w:w w:val="99"/>
        <w:sz w:val="20"/>
        <w:szCs w:val="20"/>
        <w:lang w:val="es-CL" w:eastAsia="en-US" w:bidi="ar-SA"/>
      </w:rPr>
    </w:lvl>
    <w:lvl w:ilvl="1" w:tplc="1F72D808">
      <w:numFmt w:val="bullet"/>
      <w:lvlText w:val="•"/>
      <w:lvlJc w:val="left"/>
      <w:pPr>
        <w:ind w:left="1820" w:hanging="360"/>
      </w:pPr>
      <w:rPr>
        <w:rFonts w:hint="default"/>
        <w:lang w:val="es-CL" w:eastAsia="en-US" w:bidi="ar-SA"/>
      </w:rPr>
    </w:lvl>
    <w:lvl w:ilvl="2" w:tplc="3F4A433E">
      <w:numFmt w:val="bullet"/>
      <w:lvlText w:val="•"/>
      <w:lvlJc w:val="left"/>
      <w:pPr>
        <w:ind w:left="2680" w:hanging="360"/>
      </w:pPr>
      <w:rPr>
        <w:rFonts w:hint="default"/>
        <w:lang w:val="es-CL" w:eastAsia="en-US" w:bidi="ar-SA"/>
      </w:rPr>
    </w:lvl>
    <w:lvl w:ilvl="3" w:tplc="F3E2C680">
      <w:numFmt w:val="bullet"/>
      <w:lvlText w:val="•"/>
      <w:lvlJc w:val="left"/>
      <w:pPr>
        <w:ind w:left="3540" w:hanging="360"/>
      </w:pPr>
      <w:rPr>
        <w:rFonts w:hint="default"/>
        <w:lang w:val="es-CL" w:eastAsia="en-US" w:bidi="ar-SA"/>
      </w:rPr>
    </w:lvl>
    <w:lvl w:ilvl="4" w:tplc="97923E3C">
      <w:numFmt w:val="bullet"/>
      <w:lvlText w:val="•"/>
      <w:lvlJc w:val="left"/>
      <w:pPr>
        <w:ind w:left="4400" w:hanging="360"/>
      </w:pPr>
      <w:rPr>
        <w:rFonts w:hint="default"/>
        <w:lang w:val="es-CL" w:eastAsia="en-US" w:bidi="ar-SA"/>
      </w:rPr>
    </w:lvl>
    <w:lvl w:ilvl="5" w:tplc="0B8E9FB6">
      <w:numFmt w:val="bullet"/>
      <w:lvlText w:val="•"/>
      <w:lvlJc w:val="left"/>
      <w:pPr>
        <w:ind w:left="5261" w:hanging="360"/>
      </w:pPr>
      <w:rPr>
        <w:rFonts w:hint="default"/>
        <w:lang w:val="es-CL" w:eastAsia="en-US" w:bidi="ar-SA"/>
      </w:rPr>
    </w:lvl>
    <w:lvl w:ilvl="6" w:tplc="76984346">
      <w:numFmt w:val="bullet"/>
      <w:lvlText w:val="•"/>
      <w:lvlJc w:val="left"/>
      <w:pPr>
        <w:ind w:left="6121" w:hanging="360"/>
      </w:pPr>
      <w:rPr>
        <w:rFonts w:hint="default"/>
        <w:lang w:val="es-CL" w:eastAsia="en-US" w:bidi="ar-SA"/>
      </w:rPr>
    </w:lvl>
    <w:lvl w:ilvl="7" w:tplc="6440648A">
      <w:numFmt w:val="bullet"/>
      <w:lvlText w:val="•"/>
      <w:lvlJc w:val="left"/>
      <w:pPr>
        <w:ind w:left="6981" w:hanging="360"/>
      </w:pPr>
      <w:rPr>
        <w:rFonts w:hint="default"/>
        <w:lang w:val="es-CL" w:eastAsia="en-US" w:bidi="ar-SA"/>
      </w:rPr>
    </w:lvl>
    <w:lvl w:ilvl="8" w:tplc="99C0DC5E">
      <w:numFmt w:val="bullet"/>
      <w:lvlText w:val="•"/>
      <w:lvlJc w:val="left"/>
      <w:pPr>
        <w:ind w:left="7841" w:hanging="360"/>
      </w:pPr>
      <w:rPr>
        <w:rFonts w:hint="default"/>
        <w:lang w:val="es-CL" w:eastAsia="en-US" w:bidi="ar-SA"/>
      </w:rPr>
    </w:lvl>
  </w:abstractNum>
  <w:abstractNum w:abstractNumId="3">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26F42AEC"/>
    <w:multiLevelType w:val="hybridMultilevel"/>
    <w:tmpl w:val="C57E2CE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nsid w:val="28656D1B"/>
    <w:multiLevelType w:val="hybridMultilevel"/>
    <w:tmpl w:val="086C937A"/>
    <w:lvl w:ilvl="0" w:tplc="340A0001">
      <w:start w:val="1"/>
      <w:numFmt w:val="bullet"/>
      <w:lvlText w:val=""/>
      <w:lvlJc w:val="left"/>
      <w:pPr>
        <w:ind w:left="720" w:hanging="360"/>
      </w:pPr>
      <w:rPr>
        <w:rFonts w:ascii="Symbol" w:hAnsi="Symbol" w:hint="default"/>
      </w:rPr>
    </w:lvl>
    <w:lvl w:ilvl="1" w:tplc="D3142A36">
      <w:start w:val="1"/>
      <w:numFmt w:val="decimal"/>
      <w:lvlText w:val="%2."/>
      <w:lvlJc w:val="left"/>
      <w:pPr>
        <w:ind w:left="1440" w:hanging="360"/>
      </w:pPr>
      <w:rPr>
        <w:rFonts w:hint="default"/>
        <w:lang w:val="es-CL"/>
      </w:rPr>
    </w:lvl>
    <w:lvl w:ilvl="2" w:tplc="340A0019">
      <w:start w:val="1"/>
      <w:numFmt w:val="lowerLetter"/>
      <w:lvlText w:val="%3."/>
      <w:lvlJc w:val="left"/>
      <w:pPr>
        <w:ind w:left="2520" w:hanging="720"/>
      </w:pPr>
      <w:rPr>
        <w:rFont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B9F1BFA"/>
    <w:multiLevelType w:val="hybridMultilevel"/>
    <w:tmpl w:val="146EFFA2"/>
    <w:lvl w:ilvl="0" w:tplc="5DAE6BE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rPr>
    </w:lvl>
  </w:abstractNum>
  <w:abstractNum w:abstractNumId="9">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rPr>
    </w:lvl>
  </w:abstractNum>
  <w:abstractNum w:abstractNumId="11">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2">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3">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rPr>
    </w:lvl>
  </w:abstractNum>
  <w:abstractNum w:abstractNumId="15">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6">
    <w:nsid w:val="4DA02C7B"/>
    <w:multiLevelType w:val="hybridMultilevel"/>
    <w:tmpl w:val="2CFE95C4"/>
    <w:lvl w:ilvl="0" w:tplc="E58E23BE">
      <w:start w:val="1"/>
      <w:numFmt w:val="upperRoman"/>
      <w:lvlText w:val="%1."/>
      <w:lvlJc w:val="left"/>
      <w:pPr>
        <w:ind w:left="1032" w:hanging="428"/>
      </w:pPr>
      <w:rPr>
        <w:rFonts w:ascii="Tahoma" w:eastAsia="Tahoma" w:hAnsi="Tahoma" w:cs="Tahoma" w:hint="default"/>
        <w:b/>
        <w:bCs/>
        <w:i w:val="0"/>
        <w:iCs w:val="0"/>
        <w:spacing w:val="-1"/>
        <w:w w:val="99"/>
        <w:sz w:val="20"/>
        <w:szCs w:val="20"/>
        <w:lang w:val="es-CL" w:eastAsia="en-US" w:bidi="ar-SA"/>
      </w:rPr>
    </w:lvl>
    <w:lvl w:ilvl="1" w:tplc="B5841E22">
      <w:numFmt w:val="bullet"/>
      <w:lvlText w:val="•"/>
      <w:lvlJc w:val="left"/>
      <w:pPr>
        <w:ind w:left="1892" w:hanging="428"/>
      </w:pPr>
      <w:rPr>
        <w:rFonts w:hint="default"/>
        <w:lang w:val="es-CL" w:eastAsia="en-US" w:bidi="ar-SA"/>
      </w:rPr>
    </w:lvl>
    <w:lvl w:ilvl="2" w:tplc="53E021B8">
      <w:numFmt w:val="bullet"/>
      <w:lvlText w:val="•"/>
      <w:lvlJc w:val="left"/>
      <w:pPr>
        <w:ind w:left="2744" w:hanging="428"/>
      </w:pPr>
      <w:rPr>
        <w:rFonts w:hint="default"/>
        <w:lang w:val="es-CL" w:eastAsia="en-US" w:bidi="ar-SA"/>
      </w:rPr>
    </w:lvl>
    <w:lvl w:ilvl="3" w:tplc="0004EC90">
      <w:numFmt w:val="bullet"/>
      <w:lvlText w:val="•"/>
      <w:lvlJc w:val="left"/>
      <w:pPr>
        <w:ind w:left="3596" w:hanging="428"/>
      </w:pPr>
      <w:rPr>
        <w:rFonts w:hint="default"/>
        <w:lang w:val="es-CL" w:eastAsia="en-US" w:bidi="ar-SA"/>
      </w:rPr>
    </w:lvl>
    <w:lvl w:ilvl="4" w:tplc="0400E6DC">
      <w:numFmt w:val="bullet"/>
      <w:lvlText w:val="•"/>
      <w:lvlJc w:val="left"/>
      <w:pPr>
        <w:ind w:left="4448" w:hanging="428"/>
      </w:pPr>
      <w:rPr>
        <w:rFonts w:hint="default"/>
        <w:lang w:val="es-CL" w:eastAsia="en-US" w:bidi="ar-SA"/>
      </w:rPr>
    </w:lvl>
    <w:lvl w:ilvl="5" w:tplc="3C8E8F2E">
      <w:numFmt w:val="bullet"/>
      <w:lvlText w:val="•"/>
      <w:lvlJc w:val="left"/>
      <w:pPr>
        <w:ind w:left="5301" w:hanging="428"/>
      </w:pPr>
      <w:rPr>
        <w:rFonts w:hint="default"/>
        <w:lang w:val="es-CL" w:eastAsia="en-US" w:bidi="ar-SA"/>
      </w:rPr>
    </w:lvl>
    <w:lvl w:ilvl="6" w:tplc="55E815E4">
      <w:numFmt w:val="bullet"/>
      <w:lvlText w:val="•"/>
      <w:lvlJc w:val="left"/>
      <w:pPr>
        <w:ind w:left="6153" w:hanging="428"/>
      </w:pPr>
      <w:rPr>
        <w:rFonts w:hint="default"/>
        <w:lang w:val="es-CL" w:eastAsia="en-US" w:bidi="ar-SA"/>
      </w:rPr>
    </w:lvl>
    <w:lvl w:ilvl="7" w:tplc="49CCAE6C">
      <w:numFmt w:val="bullet"/>
      <w:lvlText w:val="•"/>
      <w:lvlJc w:val="left"/>
      <w:pPr>
        <w:ind w:left="7005" w:hanging="428"/>
      </w:pPr>
      <w:rPr>
        <w:rFonts w:hint="default"/>
        <w:lang w:val="es-CL" w:eastAsia="en-US" w:bidi="ar-SA"/>
      </w:rPr>
    </w:lvl>
    <w:lvl w:ilvl="8" w:tplc="DE145268">
      <w:numFmt w:val="bullet"/>
      <w:lvlText w:val="•"/>
      <w:lvlJc w:val="left"/>
      <w:pPr>
        <w:ind w:left="7857" w:hanging="428"/>
      </w:pPr>
      <w:rPr>
        <w:rFonts w:hint="default"/>
        <w:lang w:val="es-CL" w:eastAsia="en-US" w:bidi="ar-SA"/>
      </w:rPr>
    </w:lvl>
  </w:abstractNum>
  <w:abstractNum w:abstractNumId="17">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19">
    <w:nsid w:val="5DF83038"/>
    <w:multiLevelType w:val="hybridMultilevel"/>
    <w:tmpl w:val="0D027EB2"/>
    <w:lvl w:ilvl="0" w:tplc="340A001B">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61304211"/>
    <w:multiLevelType w:val="hybridMultilevel"/>
    <w:tmpl w:val="0638F034"/>
    <w:lvl w:ilvl="0" w:tplc="4F587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66AF0CEE"/>
    <w:multiLevelType w:val="multilevel"/>
    <w:tmpl w:val="5DC2701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nsid w:val="68455D91"/>
    <w:multiLevelType w:val="hybridMultilevel"/>
    <w:tmpl w:val="A308DD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8"/>
  </w:num>
  <w:num w:numId="2">
    <w:abstractNumId w:val="14"/>
  </w:num>
  <w:num w:numId="3">
    <w:abstractNumId w:val="10"/>
  </w:num>
  <w:num w:numId="4">
    <w:abstractNumId w:val="17"/>
  </w:num>
  <w:num w:numId="5">
    <w:abstractNumId w:val="18"/>
  </w:num>
  <w:num w:numId="6">
    <w:abstractNumId w:val="13"/>
  </w:num>
  <w:num w:numId="7">
    <w:abstractNumId w:val="3"/>
  </w:num>
  <w:num w:numId="8">
    <w:abstractNumId w:val="11"/>
  </w:num>
  <w:num w:numId="9">
    <w:abstractNumId w:val="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3"/>
  </w:num>
  <w:num w:numId="14">
    <w:abstractNumId w:val="24"/>
  </w:num>
  <w:num w:numId="15">
    <w:abstractNumId w:val="20"/>
  </w:num>
  <w:num w:numId="16">
    <w:abstractNumId w:val="5"/>
  </w:num>
  <w:num w:numId="17">
    <w:abstractNumId w:val="21"/>
  </w:num>
  <w:num w:numId="18">
    <w:abstractNumId w:val="2"/>
  </w:num>
  <w:num w:numId="19">
    <w:abstractNumId w:val="16"/>
  </w:num>
  <w:num w:numId="20">
    <w:abstractNumId w:val="22"/>
  </w:num>
  <w:num w:numId="21">
    <w:abstractNumId w:val="7"/>
  </w:num>
  <w:num w:numId="22">
    <w:abstractNumId w:val="6"/>
  </w:num>
  <w:num w:numId="23">
    <w:abstractNumId w:val="0"/>
  </w:num>
  <w:num w:numId="24">
    <w:abstractNumId w:val="1"/>
  </w:num>
  <w:num w:numId="25">
    <w:abstractNumId w:val="1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proofState w:spelling="clean" w:grammar="clean"/>
  <w:stylePaneFormatFilter w:val="3F01"/>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rsids>
    <w:rsidRoot w:val="00F94C24"/>
    <w:rsid w:val="00000546"/>
    <w:rsid w:val="000035E4"/>
    <w:rsid w:val="000050E1"/>
    <w:rsid w:val="000057A8"/>
    <w:rsid w:val="00006746"/>
    <w:rsid w:val="000137CF"/>
    <w:rsid w:val="0001624F"/>
    <w:rsid w:val="0001790C"/>
    <w:rsid w:val="00020461"/>
    <w:rsid w:val="0002055D"/>
    <w:rsid w:val="0003436C"/>
    <w:rsid w:val="0003440C"/>
    <w:rsid w:val="00034D1B"/>
    <w:rsid w:val="0003528C"/>
    <w:rsid w:val="00043124"/>
    <w:rsid w:val="000520CE"/>
    <w:rsid w:val="00056042"/>
    <w:rsid w:val="00057497"/>
    <w:rsid w:val="0006386A"/>
    <w:rsid w:val="00063C1B"/>
    <w:rsid w:val="0006449A"/>
    <w:rsid w:val="000655EB"/>
    <w:rsid w:val="00067889"/>
    <w:rsid w:val="00082AC0"/>
    <w:rsid w:val="00092F03"/>
    <w:rsid w:val="000A36DB"/>
    <w:rsid w:val="000A793A"/>
    <w:rsid w:val="000B075A"/>
    <w:rsid w:val="000B27BE"/>
    <w:rsid w:val="000B3614"/>
    <w:rsid w:val="000C14DE"/>
    <w:rsid w:val="000C1655"/>
    <w:rsid w:val="000C773C"/>
    <w:rsid w:val="000D255C"/>
    <w:rsid w:val="000D732A"/>
    <w:rsid w:val="000E2850"/>
    <w:rsid w:val="000E46A2"/>
    <w:rsid w:val="000F228C"/>
    <w:rsid w:val="0010562D"/>
    <w:rsid w:val="001056E1"/>
    <w:rsid w:val="00105C4F"/>
    <w:rsid w:val="00111DA4"/>
    <w:rsid w:val="001166F3"/>
    <w:rsid w:val="0012233A"/>
    <w:rsid w:val="00122A92"/>
    <w:rsid w:val="0012300B"/>
    <w:rsid w:val="00137915"/>
    <w:rsid w:val="001410D8"/>
    <w:rsid w:val="00142645"/>
    <w:rsid w:val="00150739"/>
    <w:rsid w:val="001518D1"/>
    <w:rsid w:val="00153C80"/>
    <w:rsid w:val="00155C4F"/>
    <w:rsid w:val="00157D61"/>
    <w:rsid w:val="001657EB"/>
    <w:rsid w:val="001740B0"/>
    <w:rsid w:val="00177F3E"/>
    <w:rsid w:val="00181D28"/>
    <w:rsid w:val="0018441D"/>
    <w:rsid w:val="0018710D"/>
    <w:rsid w:val="00194C89"/>
    <w:rsid w:val="00196E33"/>
    <w:rsid w:val="001A0331"/>
    <w:rsid w:val="001A0A6E"/>
    <w:rsid w:val="001A4325"/>
    <w:rsid w:val="001A6EAF"/>
    <w:rsid w:val="001B385D"/>
    <w:rsid w:val="001B559F"/>
    <w:rsid w:val="001B6DF7"/>
    <w:rsid w:val="001C15F9"/>
    <w:rsid w:val="001C44DC"/>
    <w:rsid w:val="001C7BA6"/>
    <w:rsid w:val="001D2037"/>
    <w:rsid w:val="001D26B2"/>
    <w:rsid w:val="001F3130"/>
    <w:rsid w:val="001F370B"/>
    <w:rsid w:val="0020283C"/>
    <w:rsid w:val="00203587"/>
    <w:rsid w:val="00203EA8"/>
    <w:rsid w:val="00206275"/>
    <w:rsid w:val="00207FBD"/>
    <w:rsid w:val="00215450"/>
    <w:rsid w:val="002159BD"/>
    <w:rsid w:val="00216C94"/>
    <w:rsid w:val="0022009C"/>
    <w:rsid w:val="002211D2"/>
    <w:rsid w:val="0022154B"/>
    <w:rsid w:val="00222C16"/>
    <w:rsid w:val="00222CE3"/>
    <w:rsid w:val="00224EE3"/>
    <w:rsid w:val="00225145"/>
    <w:rsid w:val="002254AF"/>
    <w:rsid w:val="00225745"/>
    <w:rsid w:val="002266BF"/>
    <w:rsid w:val="00231233"/>
    <w:rsid w:val="00234D9B"/>
    <w:rsid w:val="002363E4"/>
    <w:rsid w:val="002367C8"/>
    <w:rsid w:val="00237FAA"/>
    <w:rsid w:val="00242EBA"/>
    <w:rsid w:val="002466BF"/>
    <w:rsid w:val="002533A6"/>
    <w:rsid w:val="0025389D"/>
    <w:rsid w:val="0025499B"/>
    <w:rsid w:val="00256254"/>
    <w:rsid w:val="0025683D"/>
    <w:rsid w:val="00261788"/>
    <w:rsid w:val="00262581"/>
    <w:rsid w:val="0026632B"/>
    <w:rsid w:val="002669A4"/>
    <w:rsid w:val="0027137A"/>
    <w:rsid w:val="002722FF"/>
    <w:rsid w:val="00277D37"/>
    <w:rsid w:val="00281921"/>
    <w:rsid w:val="00286068"/>
    <w:rsid w:val="002861A8"/>
    <w:rsid w:val="0028710C"/>
    <w:rsid w:val="00291DB2"/>
    <w:rsid w:val="00293FDE"/>
    <w:rsid w:val="00295029"/>
    <w:rsid w:val="00295966"/>
    <w:rsid w:val="00297A30"/>
    <w:rsid w:val="002A4B6E"/>
    <w:rsid w:val="002A5FC2"/>
    <w:rsid w:val="002B04D9"/>
    <w:rsid w:val="002B3E48"/>
    <w:rsid w:val="002B47CD"/>
    <w:rsid w:val="002B73D0"/>
    <w:rsid w:val="002B799B"/>
    <w:rsid w:val="002C1D8F"/>
    <w:rsid w:val="002D0186"/>
    <w:rsid w:val="002D25BA"/>
    <w:rsid w:val="002D6BF2"/>
    <w:rsid w:val="002E3F06"/>
    <w:rsid w:val="002E4BB5"/>
    <w:rsid w:val="002E7F31"/>
    <w:rsid w:val="002F52D7"/>
    <w:rsid w:val="002F7D6E"/>
    <w:rsid w:val="002F7FFB"/>
    <w:rsid w:val="00300921"/>
    <w:rsid w:val="003026D7"/>
    <w:rsid w:val="003034DF"/>
    <w:rsid w:val="00306B90"/>
    <w:rsid w:val="0030720A"/>
    <w:rsid w:val="003100D5"/>
    <w:rsid w:val="00320E49"/>
    <w:rsid w:val="00323E29"/>
    <w:rsid w:val="003420A2"/>
    <w:rsid w:val="00345001"/>
    <w:rsid w:val="00346FC3"/>
    <w:rsid w:val="00353168"/>
    <w:rsid w:val="00354B53"/>
    <w:rsid w:val="00355EE2"/>
    <w:rsid w:val="003567AB"/>
    <w:rsid w:val="0036023E"/>
    <w:rsid w:val="00363286"/>
    <w:rsid w:val="00365DBF"/>
    <w:rsid w:val="0037118C"/>
    <w:rsid w:val="003751E6"/>
    <w:rsid w:val="00376D8A"/>
    <w:rsid w:val="00381096"/>
    <w:rsid w:val="00387B11"/>
    <w:rsid w:val="00387C60"/>
    <w:rsid w:val="0039043C"/>
    <w:rsid w:val="00390A5C"/>
    <w:rsid w:val="00393F0B"/>
    <w:rsid w:val="003A06A3"/>
    <w:rsid w:val="003A2768"/>
    <w:rsid w:val="003A3CB3"/>
    <w:rsid w:val="003A3CDF"/>
    <w:rsid w:val="003B4E4A"/>
    <w:rsid w:val="003B6D2E"/>
    <w:rsid w:val="003C5A53"/>
    <w:rsid w:val="003C6567"/>
    <w:rsid w:val="003D0FF3"/>
    <w:rsid w:val="003D30B8"/>
    <w:rsid w:val="003D5F83"/>
    <w:rsid w:val="003E25ED"/>
    <w:rsid w:val="003E332A"/>
    <w:rsid w:val="003E4B14"/>
    <w:rsid w:val="003F16B1"/>
    <w:rsid w:val="003F3E3E"/>
    <w:rsid w:val="003F4387"/>
    <w:rsid w:val="003F58E3"/>
    <w:rsid w:val="00404FCD"/>
    <w:rsid w:val="00412680"/>
    <w:rsid w:val="00415FBA"/>
    <w:rsid w:val="004178C8"/>
    <w:rsid w:val="00424C75"/>
    <w:rsid w:val="004254B0"/>
    <w:rsid w:val="004340CF"/>
    <w:rsid w:val="00440B2D"/>
    <w:rsid w:val="0044387B"/>
    <w:rsid w:val="004442BD"/>
    <w:rsid w:val="00455201"/>
    <w:rsid w:val="00456F2C"/>
    <w:rsid w:val="004606E7"/>
    <w:rsid w:val="00461746"/>
    <w:rsid w:val="00461949"/>
    <w:rsid w:val="00461DC7"/>
    <w:rsid w:val="00470ED7"/>
    <w:rsid w:val="00473F70"/>
    <w:rsid w:val="00475866"/>
    <w:rsid w:val="004854D7"/>
    <w:rsid w:val="00490BED"/>
    <w:rsid w:val="00490F2B"/>
    <w:rsid w:val="00492EA5"/>
    <w:rsid w:val="004934B2"/>
    <w:rsid w:val="0049721C"/>
    <w:rsid w:val="00497A94"/>
    <w:rsid w:val="004A0187"/>
    <w:rsid w:val="004A05A9"/>
    <w:rsid w:val="004A2D46"/>
    <w:rsid w:val="004A41B0"/>
    <w:rsid w:val="004A6351"/>
    <w:rsid w:val="004A7E10"/>
    <w:rsid w:val="004B09B6"/>
    <w:rsid w:val="004B69F4"/>
    <w:rsid w:val="004C2168"/>
    <w:rsid w:val="004C5554"/>
    <w:rsid w:val="004C7DA7"/>
    <w:rsid w:val="004D6BBB"/>
    <w:rsid w:val="004D6D47"/>
    <w:rsid w:val="004D737C"/>
    <w:rsid w:val="004D7FE5"/>
    <w:rsid w:val="004E0718"/>
    <w:rsid w:val="004E3E47"/>
    <w:rsid w:val="004F185C"/>
    <w:rsid w:val="004F3712"/>
    <w:rsid w:val="004F4389"/>
    <w:rsid w:val="005006F3"/>
    <w:rsid w:val="00501BA9"/>
    <w:rsid w:val="0050418F"/>
    <w:rsid w:val="00504BCD"/>
    <w:rsid w:val="005051C8"/>
    <w:rsid w:val="00506ABD"/>
    <w:rsid w:val="0050793E"/>
    <w:rsid w:val="005154A2"/>
    <w:rsid w:val="00520907"/>
    <w:rsid w:val="0052226D"/>
    <w:rsid w:val="00536BF8"/>
    <w:rsid w:val="005404DD"/>
    <w:rsid w:val="005421BE"/>
    <w:rsid w:val="005456BE"/>
    <w:rsid w:val="00546538"/>
    <w:rsid w:val="0054787B"/>
    <w:rsid w:val="005505DB"/>
    <w:rsid w:val="00551F91"/>
    <w:rsid w:val="0055265D"/>
    <w:rsid w:val="005541F1"/>
    <w:rsid w:val="0056106F"/>
    <w:rsid w:val="0056394B"/>
    <w:rsid w:val="00566A93"/>
    <w:rsid w:val="00566FF1"/>
    <w:rsid w:val="00567C9F"/>
    <w:rsid w:val="005711C7"/>
    <w:rsid w:val="00571487"/>
    <w:rsid w:val="005729E8"/>
    <w:rsid w:val="005743D9"/>
    <w:rsid w:val="005764E1"/>
    <w:rsid w:val="005778CA"/>
    <w:rsid w:val="00577BC2"/>
    <w:rsid w:val="005800F7"/>
    <w:rsid w:val="0058054B"/>
    <w:rsid w:val="005840D3"/>
    <w:rsid w:val="005861F5"/>
    <w:rsid w:val="00586579"/>
    <w:rsid w:val="005868CA"/>
    <w:rsid w:val="00586BB9"/>
    <w:rsid w:val="0058737A"/>
    <w:rsid w:val="005934B7"/>
    <w:rsid w:val="005966BB"/>
    <w:rsid w:val="005975C4"/>
    <w:rsid w:val="005A1AD6"/>
    <w:rsid w:val="005B29BB"/>
    <w:rsid w:val="005B6C86"/>
    <w:rsid w:val="005C15B9"/>
    <w:rsid w:val="005C28DC"/>
    <w:rsid w:val="005C3E43"/>
    <w:rsid w:val="005C759D"/>
    <w:rsid w:val="005D1037"/>
    <w:rsid w:val="005D115D"/>
    <w:rsid w:val="005D2D78"/>
    <w:rsid w:val="005D63F7"/>
    <w:rsid w:val="005E0B36"/>
    <w:rsid w:val="005E1663"/>
    <w:rsid w:val="005E18C3"/>
    <w:rsid w:val="005E4461"/>
    <w:rsid w:val="005E6EA1"/>
    <w:rsid w:val="005E70C2"/>
    <w:rsid w:val="005E79EC"/>
    <w:rsid w:val="005F00F0"/>
    <w:rsid w:val="005F35F7"/>
    <w:rsid w:val="005F5458"/>
    <w:rsid w:val="005F799E"/>
    <w:rsid w:val="00603B68"/>
    <w:rsid w:val="0060766E"/>
    <w:rsid w:val="0061124D"/>
    <w:rsid w:val="006133FB"/>
    <w:rsid w:val="006158D2"/>
    <w:rsid w:val="00616520"/>
    <w:rsid w:val="006216EF"/>
    <w:rsid w:val="00622235"/>
    <w:rsid w:val="00622798"/>
    <w:rsid w:val="006228C1"/>
    <w:rsid w:val="00623904"/>
    <w:rsid w:val="006279EF"/>
    <w:rsid w:val="00633529"/>
    <w:rsid w:val="00634607"/>
    <w:rsid w:val="00636C0D"/>
    <w:rsid w:val="00643347"/>
    <w:rsid w:val="00653750"/>
    <w:rsid w:val="00654D59"/>
    <w:rsid w:val="00655D14"/>
    <w:rsid w:val="00657D91"/>
    <w:rsid w:val="0066140B"/>
    <w:rsid w:val="0066246E"/>
    <w:rsid w:val="006649C4"/>
    <w:rsid w:val="006728FD"/>
    <w:rsid w:val="006734DD"/>
    <w:rsid w:val="00677FB4"/>
    <w:rsid w:val="00681DF8"/>
    <w:rsid w:val="0068340E"/>
    <w:rsid w:val="0068740A"/>
    <w:rsid w:val="00687A36"/>
    <w:rsid w:val="0069122A"/>
    <w:rsid w:val="006930C5"/>
    <w:rsid w:val="006A322E"/>
    <w:rsid w:val="006A353D"/>
    <w:rsid w:val="006A6461"/>
    <w:rsid w:val="006A723A"/>
    <w:rsid w:val="006B3499"/>
    <w:rsid w:val="006B3574"/>
    <w:rsid w:val="006C1639"/>
    <w:rsid w:val="006C60E7"/>
    <w:rsid w:val="006C797D"/>
    <w:rsid w:val="006D16DE"/>
    <w:rsid w:val="006D295D"/>
    <w:rsid w:val="006D4D78"/>
    <w:rsid w:val="006E042F"/>
    <w:rsid w:val="006E2586"/>
    <w:rsid w:val="006E4C86"/>
    <w:rsid w:val="006F1858"/>
    <w:rsid w:val="006F3D90"/>
    <w:rsid w:val="0070266D"/>
    <w:rsid w:val="0070544F"/>
    <w:rsid w:val="00706980"/>
    <w:rsid w:val="00712A22"/>
    <w:rsid w:val="00714332"/>
    <w:rsid w:val="0071604D"/>
    <w:rsid w:val="007238C0"/>
    <w:rsid w:val="007260AF"/>
    <w:rsid w:val="007264FB"/>
    <w:rsid w:val="007307B6"/>
    <w:rsid w:val="00731349"/>
    <w:rsid w:val="00733A49"/>
    <w:rsid w:val="00734D82"/>
    <w:rsid w:val="007370EF"/>
    <w:rsid w:val="007371F1"/>
    <w:rsid w:val="00740755"/>
    <w:rsid w:val="00742336"/>
    <w:rsid w:val="00753938"/>
    <w:rsid w:val="00753EC6"/>
    <w:rsid w:val="007633B1"/>
    <w:rsid w:val="00763599"/>
    <w:rsid w:val="00765197"/>
    <w:rsid w:val="00766F85"/>
    <w:rsid w:val="00771297"/>
    <w:rsid w:val="00771715"/>
    <w:rsid w:val="0078215D"/>
    <w:rsid w:val="00795ACB"/>
    <w:rsid w:val="007A29A0"/>
    <w:rsid w:val="007A2A06"/>
    <w:rsid w:val="007A328C"/>
    <w:rsid w:val="007A49DD"/>
    <w:rsid w:val="007B1B96"/>
    <w:rsid w:val="007B2010"/>
    <w:rsid w:val="007B2E54"/>
    <w:rsid w:val="007B350C"/>
    <w:rsid w:val="007C3393"/>
    <w:rsid w:val="007C5874"/>
    <w:rsid w:val="007C67A6"/>
    <w:rsid w:val="007D014E"/>
    <w:rsid w:val="007D2A9C"/>
    <w:rsid w:val="007D5F02"/>
    <w:rsid w:val="007D718A"/>
    <w:rsid w:val="007D7DC6"/>
    <w:rsid w:val="007E6A61"/>
    <w:rsid w:val="007F51D5"/>
    <w:rsid w:val="007F52DD"/>
    <w:rsid w:val="008026DC"/>
    <w:rsid w:val="008027EB"/>
    <w:rsid w:val="00802B2E"/>
    <w:rsid w:val="0080419B"/>
    <w:rsid w:val="0080445F"/>
    <w:rsid w:val="00805ECE"/>
    <w:rsid w:val="0080799E"/>
    <w:rsid w:val="00823B9F"/>
    <w:rsid w:val="008257D6"/>
    <w:rsid w:val="00826279"/>
    <w:rsid w:val="00834A4E"/>
    <w:rsid w:val="00836104"/>
    <w:rsid w:val="00843E7D"/>
    <w:rsid w:val="008457CA"/>
    <w:rsid w:val="00850205"/>
    <w:rsid w:val="00851DD8"/>
    <w:rsid w:val="00851E5D"/>
    <w:rsid w:val="00852DF2"/>
    <w:rsid w:val="00853E4F"/>
    <w:rsid w:val="00860164"/>
    <w:rsid w:val="00861C0A"/>
    <w:rsid w:val="00863C6E"/>
    <w:rsid w:val="008669B1"/>
    <w:rsid w:val="0087004E"/>
    <w:rsid w:val="00870DB0"/>
    <w:rsid w:val="00871072"/>
    <w:rsid w:val="00874793"/>
    <w:rsid w:val="00875C22"/>
    <w:rsid w:val="008760F5"/>
    <w:rsid w:val="0088370E"/>
    <w:rsid w:val="008853E0"/>
    <w:rsid w:val="00890103"/>
    <w:rsid w:val="00891899"/>
    <w:rsid w:val="00893EB3"/>
    <w:rsid w:val="008A07C0"/>
    <w:rsid w:val="008A2250"/>
    <w:rsid w:val="008A4662"/>
    <w:rsid w:val="008B4199"/>
    <w:rsid w:val="008B6BE7"/>
    <w:rsid w:val="008C1AB7"/>
    <w:rsid w:val="008C2FF2"/>
    <w:rsid w:val="008D7143"/>
    <w:rsid w:val="008E4B87"/>
    <w:rsid w:val="008F1AD4"/>
    <w:rsid w:val="0090074D"/>
    <w:rsid w:val="00901E28"/>
    <w:rsid w:val="0090312E"/>
    <w:rsid w:val="0090409F"/>
    <w:rsid w:val="00905E9F"/>
    <w:rsid w:val="009106CA"/>
    <w:rsid w:val="00912636"/>
    <w:rsid w:val="009137CA"/>
    <w:rsid w:val="00917D1D"/>
    <w:rsid w:val="0092491E"/>
    <w:rsid w:val="00924CE4"/>
    <w:rsid w:val="00926C49"/>
    <w:rsid w:val="00935A5D"/>
    <w:rsid w:val="0094073F"/>
    <w:rsid w:val="009412DB"/>
    <w:rsid w:val="00941B8D"/>
    <w:rsid w:val="00942BF4"/>
    <w:rsid w:val="00950D70"/>
    <w:rsid w:val="009523A2"/>
    <w:rsid w:val="0095318A"/>
    <w:rsid w:val="0095662C"/>
    <w:rsid w:val="009566C4"/>
    <w:rsid w:val="00960BA0"/>
    <w:rsid w:val="00961548"/>
    <w:rsid w:val="009616CA"/>
    <w:rsid w:val="0096172D"/>
    <w:rsid w:val="00964A73"/>
    <w:rsid w:val="0096600D"/>
    <w:rsid w:val="00966E5D"/>
    <w:rsid w:val="00973E34"/>
    <w:rsid w:val="00974EA1"/>
    <w:rsid w:val="00981C39"/>
    <w:rsid w:val="009828BE"/>
    <w:rsid w:val="009846C0"/>
    <w:rsid w:val="009858A8"/>
    <w:rsid w:val="00990D45"/>
    <w:rsid w:val="0099400D"/>
    <w:rsid w:val="00994D0B"/>
    <w:rsid w:val="009A45CB"/>
    <w:rsid w:val="009A69A7"/>
    <w:rsid w:val="009B1C11"/>
    <w:rsid w:val="009C2EC8"/>
    <w:rsid w:val="009C3E74"/>
    <w:rsid w:val="009D4B23"/>
    <w:rsid w:val="009D6060"/>
    <w:rsid w:val="009D7545"/>
    <w:rsid w:val="009D7CFB"/>
    <w:rsid w:val="009D7DFC"/>
    <w:rsid w:val="009E1E5B"/>
    <w:rsid w:val="009E214B"/>
    <w:rsid w:val="009E56F5"/>
    <w:rsid w:val="009F1416"/>
    <w:rsid w:val="009F1F14"/>
    <w:rsid w:val="009F22BB"/>
    <w:rsid w:val="009F2AB9"/>
    <w:rsid w:val="009F68C6"/>
    <w:rsid w:val="00A00235"/>
    <w:rsid w:val="00A10552"/>
    <w:rsid w:val="00A15283"/>
    <w:rsid w:val="00A1618C"/>
    <w:rsid w:val="00A169F8"/>
    <w:rsid w:val="00A214FA"/>
    <w:rsid w:val="00A22E24"/>
    <w:rsid w:val="00A25847"/>
    <w:rsid w:val="00A322BC"/>
    <w:rsid w:val="00A32627"/>
    <w:rsid w:val="00A36228"/>
    <w:rsid w:val="00A376AB"/>
    <w:rsid w:val="00A4322B"/>
    <w:rsid w:val="00A44785"/>
    <w:rsid w:val="00A45C42"/>
    <w:rsid w:val="00A50F4E"/>
    <w:rsid w:val="00A53B1F"/>
    <w:rsid w:val="00A54425"/>
    <w:rsid w:val="00A617C9"/>
    <w:rsid w:val="00A6504F"/>
    <w:rsid w:val="00A6537D"/>
    <w:rsid w:val="00A654D6"/>
    <w:rsid w:val="00A7095E"/>
    <w:rsid w:val="00A75CE9"/>
    <w:rsid w:val="00A77939"/>
    <w:rsid w:val="00A801F3"/>
    <w:rsid w:val="00A802EF"/>
    <w:rsid w:val="00A809B0"/>
    <w:rsid w:val="00A83769"/>
    <w:rsid w:val="00A84E1B"/>
    <w:rsid w:val="00A944FA"/>
    <w:rsid w:val="00A96550"/>
    <w:rsid w:val="00A9672C"/>
    <w:rsid w:val="00A96796"/>
    <w:rsid w:val="00AA44C7"/>
    <w:rsid w:val="00AA7B9A"/>
    <w:rsid w:val="00AB0A7F"/>
    <w:rsid w:val="00AB1FF8"/>
    <w:rsid w:val="00AB28F0"/>
    <w:rsid w:val="00AB4D96"/>
    <w:rsid w:val="00AC0C2A"/>
    <w:rsid w:val="00AC50C3"/>
    <w:rsid w:val="00AC50D2"/>
    <w:rsid w:val="00AC7895"/>
    <w:rsid w:val="00AD0E19"/>
    <w:rsid w:val="00AD6EA2"/>
    <w:rsid w:val="00AD7289"/>
    <w:rsid w:val="00AD74C1"/>
    <w:rsid w:val="00AE194A"/>
    <w:rsid w:val="00AE3094"/>
    <w:rsid w:val="00AE30A1"/>
    <w:rsid w:val="00AF07DC"/>
    <w:rsid w:val="00AF54C8"/>
    <w:rsid w:val="00AF6B28"/>
    <w:rsid w:val="00AF72A3"/>
    <w:rsid w:val="00AF7724"/>
    <w:rsid w:val="00B0079E"/>
    <w:rsid w:val="00B00F3D"/>
    <w:rsid w:val="00B018A0"/>
    <w:rsid w:val="00B02C70"/>
    <w:rsid w:val="00B03209"/>
    <w:rsid w:val="00B04605"/>
    <w:rsid w:val="00B06573"/>
    <w:rsid w:val="00B1252B"/>
    <w:rsid w:val="00B27604"/>
    <w:rsid w:val="00B27EAC"/>
    <w:rsid w:val="00B3203F"/>
    <w:rsid w:val="00B322A4"/>
    <w:rsid w:val="00B33B8D"/>
    <w:rsid w:val="00B3562D"/>
    <w:rsid w:val="00B43C9A"/>
    <w:rsid w:val="00B45F3E"/>
    <w:rsid w:val="00B52EE8"/>
    <w:rsid w:val="00B5358C"/>
    <w:rsid w:val="00B55855"/>
    <w:rsid w:val="00B604EC"/>
    <w:rsid w:val="00B73A07"/>
    <w:rsid w:val="00B74448"/>
    <w:rsid w:val="00B751EB"/>
    <w:rsid w:val="00B75F2E"/>
    <w:rsid w:val="00B77C86"/>
    <w:rsid w:val="00B80834"/>
    <w:rsid w:val="00B859E3"/>
    <w:rsid w:val="00B8684A"/>
    <w:rsid w:val="00B86A64"/>
    <w:rsid w:val="00B87ACA"/>
    <w:rsid w:val="00B9098A"/>
    <w:rsid w:val="00BA0BB1"/>
    <w:rsid w:val="00BA4F7B"/>
    <w:rsid w:val="00BB3047"/>
    <w:rsid w:val="00BB34A8"/>
    <w:rsid w:val="00BC72AA"/>
    <w:rsid w:val="00BD23C7"/>
    <w:rsid w:val="00BD2C2C"/>
    <w:rsid w:val="00BD4865"/>
    <w:rsid w:val="00BD56E0"/>
    <w:rsid w:val="00BE0AD6"/>
    <w:rsid w:val="00BE74B8"/>
    <w:rsid w:val="00BE7DF4"/>
    <w:rsid w:val="00C06EBB"/>
    <w:rsid w:val="00C111F3"/>
    <w:rsid w:val="00C13F57"/>
    <w:rsid w:val="00C15212"/>
    <w:rsid w:val="00C20721"/>
    <w:rsid w:val="00C20AB5"/>
    <w:rsid w:val="00C35EA0"/>
    <w:rsid w:val="00C41963"/>
    <w:rsid w:val="00C427C0"/>
    <w:rsid w:val="00C428F5"/>
    <w:rsid w:val="00C436C6"/>
    <w:rsid w:val="00C44961"/>
    <w:rsid w:val="00C541C6"/>
    <w:rsid w:val="00C55F7D"/>
    <w:rsid w:val="00C57EA4"/>
    <w:rsid w:val="00C6017E"/>
    <w:rsid w:val="00C626A4"/>
    <w:rsid w:val="00C640DB"/>
    <w:rsid w:val="00C6704F"/>
    <w:rsid w:val="00C7634E"/>
    <w:rsid w:val="00C80498"/>
    <w:rsid w:val="00C842F0"/>
    <w:rsid w:val="00C85E3D"/>
    <w:rsid w:val="00C86CCF"/>
    <w:rsid w:val="00C93D8E"/>
    <w:rsid w:val="00C93EDA"/>
    <w:rsid w:val="00C95366"/>
    <w:rsid w:val="00C96138"/>
    <w:rsid w:val="00C9620F"/>
    <w:rsid w:val="00C96C1B"/>
    <w:rsid w:val="00CA34D2"/>
    <w:rsid w:val="00CA3FAF"/>
    <w:rsid w:val="00CA4851"/>
    <w:rsid w:val="00CA4D29"/>
    <w:rsid w:val="00CA4E13"/>
    <w:rsid w:val="00CB2E26"/>
    <w:rsid w:val="00CB4F11"/>
    <w:rsid w:val="00CB7179"/>
    <w:rsid w:val="00CB7CAF"/>
    <w:rsid w:val="00CC601A"/>
    <w:rsid w:val="00CC7AFD"/>
    <w:rsid w:val="00CD0090"/>
    <w:rsid w:val="00CD2E12"/>
    <w:rsid w:val="00CD70C9"/>
    <w:rsid w:val="00CE1455"/>
    <w:rsid w:val="00CE7314"/>
    <w:rsid w:val="00CF1DCB"/>
    <w:rsid w:val="00CF38D8"/>
    <w:rsid w:val="00CF3B06"/>
    <w:rsid w:val="00CF3B68"/>
    <w:rsid w:val="00CF7D68"/>
    <w:rsid w:val="00D01CCC"/>
    <w:rsid w:val="00D0483A"/>
    <w:rsid w:val="00D10405"/>
    <w:rsid w:val="00D107D4"/>
    <w:rsid w:val="00D130F2"/>
    <w:rsid w:val="00D13C1F"/>
    <w:rsid w:val="00D14384"/>
    <w:rsid w:val="00D16CAE"/>
    <w:rsid w:val="00D175B9"/>
    <w:rsid w:val="00D201C1"/>
    <w:rsid w:val="00D269BB"/>
    <w:rsid w:val="00D26D6A"/>
    <w:rsid w:val="00D30732"/>
    <w:rsid w:val="00D34E09"/>
    <w:rsid w:val="00D42084"/>
    <w:rsid w:val="00D45395"/>
    <w:rsid w:val="00D47861"/>
    <w:rsid w:val="00D50153"/>
    <w:rsid w:val="00D532F8"/>
    <w:rsid w:val="00D55BDB"/>
    <w:rsid w:val="00D57B25"/>
    <w:rsid w:val="00D7316B"/>
    <w:rsid w:val="00D76D23"/>
    <w:rsid w:val="00D77A33"/>
    <w:rsid w:val="00D81598"/>
    <w:rsid w:val="00D85CFB"/>
    <w:rsid w:val="00D87C06"/>
    <w:rsid w:val="00D90104"/>
    <w:rsid w:val="00D912F3"/>
    <w:rsid w:val="00D95C35"/>
    <w:rsid w:val="00D968C4"/>
    <w:rsid w:val="00DA1887"/>
    <w:rsid w:val="00DA1D38"/>
    <w:rsid w:val="00DA3C6B"/>
    <w:rsid w:val="00DB0DE4"/>
    <w:rsid w:val="00DB35F7"/>
    <w:rsid w:val="00DB657F"/>
    <w:rsid w:val="00DC389C"/>
    <w:rsid w:val="00DC3B41"/>
    <w:rsid w:val="00DD0E91"/>
    <w:rsid w:val="00DD6C6A"/>
    <w:rsid w:val="00DD7787"/>
    <w:rsid w:val="00DE3FC8"/>
    <w:rsid w:val="00DF170C"/>
    <w:rsid w:val="00DF31C3"/>
    <w:rsid w:val="00DF61F0"/>
    <w:rsid w:val="00E01111"/>
    <w:rsid w:val="00E03A40"/>
    <w:rsid w:val="00E10F75"/>
    <w:rsid w:val="00E11D98"/>
    <w:rsid w:val="00E1511F"/>
    <w:rsid w:val="00E200B3"/>
    <w:rsid w:val="00E207AC"/>
    <w:rsid w:val="00E23BE3"/>
    <w:rsid w:val="00E26FB8"/>
    <w:rsid w:val="00E277B5"/>
    <w:rsid w:val="00E310C7"/>
    <w:rsid w:val="00E3507A"/>
    <w:rsid w:val="00E35D93"/>
    <w:rsid w:val="00E42F7C"/>
    <w:rsid w:val="00E435A2"/>
    <w:rsid w:val="00E4471D"/>
    <w:rsid w:val="00E465DF"/>
    <w:rsid w:val="00E558B6"/>
    <w:rsid w:val="00E569F9"/>
    <w:rsid w:val="00E56B61"/>
    <w:rsid w:val="00E57118"/>
    <w:rsid w:val="00E63C76"/>
    <w:rsid w:val="00E71A56"/>
    <w:rsid w:val="00E768A1"/>
    <w:rsid w:val="00E76B9E"/>
    <w:rsid w:val="00E8152D"/>
    <w:rsid w:val="00E84217"/>
    <w:rsid w:val="00E8612A"/>
    <w:rsid w:val="00E871B4"/>
    <w:rsid w:val="00E87F00"/>
    <w:rsid w:val="00E916D5"/>
    <w:rsid w:val="00EA45CC"/>
    <w:rsid w:val="00EA60DD"/>
    <w:rsid w:val="00EA70DA"/>
    <w:rsid w:val="00EB3805"/>
    <w:rsid w:val="00EB3864"/>
    <w:rsid w:val="00EB47C2"/>
    <w:rsid w:val="00EC089D"/>
    <w:rsid w:val="00EC51D4"/>
    <w:rsid w:val="00ED2F7A"/>
    <w:rsid w:val="00ED5375"/>
    <w:rsid w:val="00ED70EC"/>
    <w:rsid w:val="00ED7D30"/>
    <w:rsid w:val="00EE1896"/>
    <w:rsid w:val="00EE2F8E"/>
    <w:rsid w:val="00EE6300"/>
    <w:rsid w:val="00EF67A0"/>
    <w:rsid w:val="00F0134F"/>
    <w:rsid w:val="00F030DA"/>
    <w:rsid w:val="00F03E74"/>
    <w:rsid w:val="00F042CC"/>
    <w:rsid w:val="00F05125"/>
    <w:rsid w:val="00F058A2"/>
    <w:rsid w:val="00F1637A"/>
    <w:rsid w:val="00F310F9"/>
    <w:rsid w:val="00F43857"/>
    <w:rsid w:val="00F46F0A"/>
    <w:rsid w:val="00F47064"/>
    <w:rsid w:val="00F53D88"/>
    <w:rsid w:val="00F5603F"/>
    <w:rsid w:val="00F5679D"/>
    <w:rsid w:val="00F61ABD"/>
    <w:rsid w:val="00F6292B"/>
    <w:rsid w:val="00F63BE4"/>
    <w:rsid w:val="00F6416F"/>
    <w:rsid w:val="00F6422F"/>
    <w:rsid w:val="00F64996"/>
    <w:rsid w:val="00F66826"/>
    <w:rsid w:val="00F7156C"/>
    <w:rsid w:val="00F776D0"/>
    <w:rsid w:val="00F77B6B"/>
    <w:rsid w:val="00F8080C"/>
    <w:rsid w:val="00F80B5B"/>
    <w:rsid w:val="00F8475E"/>
    <w:rsid w:val="00F8533F"/>
    <w:rsid w:val="00F85F89"/>
    <w:rsid w:val="00F86C37"/>
    <w:rsid w:val="00F94C24"/>
    <w:rsid w:val="00F9676A"/>
    <w:rsid w:val="00FA5D48"/>
    <w:rsid w:val="00FB13AB"/>
    <w:rsid w:val="00FB1943"/>
    <w:rsid w:val="00FB358F"/>
    <w:rsid w:val="00FB54A3"/>
    <w:rsid w:val="00FB72E0"/>
    <w:rsid w:val="00FC1B73"/>
    <w:rsid w:val="00FD6E88"/>
    <w:rsid w:val="00FE6E30"/>
    <w:rsid w:val="00FF0058"/>
    <w:rsid w:val="00FF20B1"/>
    <w:rsid w:val="00FF3603"/>
    <w:rsid w:val="00FF397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332"/>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4">
    <w:name w:val="heading 4"/>
    <w:basedOn w:val="Normal"/>
    <w:next w:val="Normal"/>
    <w:link w:val="Ttulo4Car"/>
    <w:uiPriority w:val="9"/>
    <w:semiHidden/>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character" w:customStyle="1" w:styleId="Ttulo4Car">
    <w:name w:val="Título 4 Car"/>
    <w:basedOn w:val="Fuentedeprrafopredeter"/>
    <w:link w:val="Ttulo4"/>
    <w:uiPriority w:val="9"/>
    <w:semiHidden/>
    <w:rsid w:val="003A3CB3"/>
    <w:rPr>
      <w:rFonts w:asciiTheme="majorHAnsi" w:eastAsiaTheme="majorEastAsia" w:hAnsiTheme="majorHAnsi" w:cstheme="majorBidi"/>
      <w:i/>
      <w:iCs/>
      <w:color w:val="365F91" w:themeColor="accent1" w:themeShade="BF"/>
      <w:sz w:val="26"/>
      <w:szCs w:val="22"/>
      <w:lang w:eastAsia="en-US"/>
    </w:rPr>
  </w:style>
  <w:style w:type="paragraph" w:styleId="Textonotapie">
    <w:name w:val="footnote text"/>
    <w:basedOn w:val="Normal"/>
    <w:link w:val="TextonotapieCar"/>
    <w:semiHidden/>
    <w:unhideWhenUsed/>
    <w:rsid w:val="00E435A2"/>
  </w:style>
  <w:style w:type="character" w:customStyle="1" w:styleId="TextonotapieCar">
    <w:name w:val="Texto nota pie Car"/>
    <w:basedOn w:val="Fuentedeprrafopredeter"/>
    <w:link w:val="Textonotapie"/>
    <w:semiHidden/>
    <w:rsid w:val="00E435A2"/>
    <w:rPr>
      <w:lang w:val="es-ES_tradnl" w:eastAsia="es-ES"/>
    </w:rPr>
  </w:style>
  <w:style w:type="character" w:styleId="Refdenotaalpie">
    <w:name w:val="footnote reference"/>
    <w:basedOn w:val="Fuentedeprrafopredeter"/>
    <w:uiPriority w:val="99"/>
    <w:unhideWhenUsed/>
    <w:rsid w:val="00E435A2"/>
    <w:rPr>
      <w:vertAlign w:val="superscript"/>
    </w:rPr>
  </w:style>
  <w:style w:type="character" w:styleId="Textoennegrita">
    <w:name w:val="Strong"/>
    <w:uiPriority w:val="22"/>
    <w:qFormat/>
    <w:rsid w:val="00805ECE"/>
    <w:rPr>
      <w:b/>
      <w:bCs/>
    </w:rPr>
  </w:style>
  <w:style w:type="paragraph" w:customStyle="1" w:styleId="extenso">
    <w:name w:val="extenso"/>
    <w:basedOn w:val="Normal"/>
    <w:link w:val="extensoCar"/>
    <w:qFormat/>
    <w:rsid w:val="009D7545"/>
    <w:pPr>
      <w:tabs>
        <w:tab w:val="left" w:pos="2268"/>
      </w:tabs>
      <w:spacing w:line="720" w:lineRule="auto"/>
      <w:ind w:left="851" w:hanging="851"/>
      <w:jc w:val="both"/>
    </w:pPr>
    <w:rPr>
      <w:rFonts w:ascii="Courier" w:hAnsi="Courier"/>
      <w:color w:val="0000FF"/>
      <w:sz w:val="24"/>
    </w:rPr>
  </w:style>
  <w:style w:type="character" w:customStyle="1" w:styleId="extensoCar">
    <w:name w:val="extenso Car"/>
    <w:link w:val="extenso"/>
    <w:qFormat/>
    <w:rsid w:val="009D7545"/>
    <w:rPr>
      <w:rFonts w:ascii="Courier" w:hAnsi="Courier"/>
      <w:color w:val="0000FF"/>
      <w:sz w:val="24"/>
      <w:lang w:val="es-ES_tradnl" w:eastAsia="es-ES"/>
    </w:rPr>
  </w:style>
  <w:style w:type="table" w:customStyle="1" w:styleId="TableNormal">
    <w:name w:val="Table Normal"/>
    <w:uiPriority w:val="2"/>
    <w:semiHidden/>
    <w:unhideWhenUsed/>
    <w:qFormat/>
    <w:rsid w:val="007633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Hipervnculo1">
    <w:name w:val="Hipervínculo1"/>
    <w:uiPriority w:val="99"/>
    <w:unhideWhenUsed/>
    <w:rsid w:val="00A801F3"/>
    <w:rPr>
      <w:color w:val="AD1F1F"/>
      <w:u w:val="single"/>
    </w:rPr>
  </w:style>
  <w:style w:type="character" w:styleId="Hipervnculo">
    <w:name w:val="Hyperlink"/>
    <w:basedOn w:val="Fuentedeprrafopredeter"/>
    <w:semiHidden/>
    <w:unhideWhenUsed/>
    <w:rsid w:val="00A801F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 w:id="161732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2" Type="http://schemas.openxmlformats.org/officeDocument/2006/relationships/hyperlink" Target="https://www.cne.cl/wp-content/uploads/2022/04/2022_04_07_FEPP.pdf" TargetMode="External"/><Relationship Id="rId1" Type="http://schemas.openxmlformats.org/officeDocument/2006/relationships/hyperlink" Target="https://www.bcn.cl/leychile/navegar?i=30397&amp;f=2012-09-13&amp;p"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lrMapOvr bg1="lt1" tx1="dk1" bg2="lt2" tx2="dk2" accent1="accent1" accent2="accent2" accent3="accent3" accent4="accent4" accent5="accent5" accent6="accent6" hlink="hlink" folHlink="folHlink"/>
  <c:chart>
    <c:autoTitleDeleted val="1"/>
    <c:plotArea>
      <c:layout/>
      <c:lineChart>
        <c:grouping val="standard"/>
        <c:ser>
          <c:idx val="0"/>
          <c:order val="0"/>
          <c:spPr>
            <a:ln w="12700" cap="rnd">
              <a:solidFill>
                <a:srgbClr val="C0000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tx1">
                        <a:lumMod val="75000"/>
                        <a:lumOff val="25000"/>
                      </a:schemeClr>
                    </a:solidFill>
                    <a:latin typeface="+mn-lt"/>
                    <a:ea typeface="+mn-ea"/>
                    <a:cs typeface="+mn-cs"/>
                  </a:defRPr>
                </a:pPr>
                <a:endParaRPr lang="es-ES"/>
              </a:p>
            </c:txPr>
            <c:dLblPos val="t"/>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Hoja1!$C$6:$C$14</c:f>
              <c:numCache>
                <c:formatCode>d\-mmm</c:formatCode>
                <c:ptCount val="9"/>
                <c:pt idx="0">
                  <c:v>44630</c:v>
                </c:pt>
                <c:pt idx="1">
                  <c:v>44637</c:v>
                </c:pt>
                <c:pt idx="2">
                  <c:v>44644</c:v>
                </c:pt>
                <c:pt idx="3">
                  <c:v>44651</c:v>
                </c:pt>
                <c:pt idx="4">
                  <c:v>44658</c:v>
                </c:pt>
                <c:pt idx="5">
                  <c:v>44665</c:v>
                </c:pt>
                <c:pt idx="6">
                  <c:v>44672</c:v>
                </c:pt>
                <c:pt idx="7">
                  <c:v>44679</c:v>
                </c:pt>
                <c:pt idx="8">
                  <c:v>44686</c:v>
                </c:pt>
              </c:numCache>
            </c:numRef>
          </c:cat>
          <c:val>
            <c:numRef>
              <c:f>Hoja1!$D$6:$D$14</c:f>
              <c:numCache>
                <c:formatCode>General</c:formatCode>
                <c:ptCount val="9"/>
                <c:pt idx="0">
                  <c:v>116.95</c:v>
                </c:pt>
                <c:pt idx="1">
                  <c:v>122.3</c:v>
                </c:pt>
                <c:pt idx="2">
                  <c:v>103.39</c:v>
                </c:pt>
                <c:pt idx="3">
                  <c:v>82.61</c:v>
                </c:pt>
                <c:pt idx="4">
                  <c:v>71.739999999999995</c:v>
                </c:pt>
                <c:pt idx="5">
                  <c:v>62.730000000000011</c:v>
                </c:pt>
                <c:pt idx="6">
                  <c:v>55.96</c:v>
                </c:pt>
                <c:pt idx="7">
                  <c:v>50.35</c:v>
                </c:pt>
                <c:pt idx="8">
                  <c:v>44.78</c:v>
                </c:pt>
              </c:numCache>
            </c:numRef>
          </c:val>
        </c:ser>
        <c:marker val="1"/>
        <c:axId val="172550400"/>
        <c:axId val="190775680"/>
      </c:lineChart>
      <c:dateAx>
        <c:axId val="172550400"/>
        <c:scaling>
          <c:orientation val="minMax"/>
        </c:scaling>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CL" sz="900"/>
                  <a:t>Semana de vigencia</a:t>
                </a:r>
              </a:p>
            </c:rich>
          </c:tx>
          <c:spPr>
            <a:noFill/>
            <a:ln>
              <a:noFill/>
            </a:ln>
            <a:effectLst/>
          </c:spPr>
        </c:title>
        <c:numFmt formatCode="d\-mmm"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ES"/>
          </a:p>
        </c:txPr>
        <c:crossAx val="190775680"/>
        <c:crosses val="autoZero"/>
        <c:auto val="1"/>
        <c:lblOffset val="100"/>
        <c:baseTimeUnit val="days"/>
      </c:dateAx>
      <c:valAx>
        <c:axId val="190775680"/>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L" sz="700"/>
                  <a:t>Crédito fiscal (US$/m3)</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ES"/>
          </a:p>
        </c:txPr>
        <c:crossAx val="172550400"/>
        <c:crosses val="autoZero"/>
        <c:crossBetween val="between"/>
      </c:valAx>
      <c:spPr>
        <a:noFill/>
        <a:ln>
          <a:noFill/>
        </a:ln>
        <a:effectLst/>
      </c:spPr>
    </c:plotArea>
    <c:plotVisOnly val="1"/>
    <c:dispBlanksAs val="gap"/>
  </c:chart>
  <c:spPr>
    <a:noFill/>
    <a:ln w="9525" cap="flat" cmpd="sng" algn="ctr">
      <a:noFill/>
      <a:round/>
    </a:ln>
    <a:effectLst/>
  </c:spPr>
  <c:txPr>
    <a:bodyPr/>
    <a:lstStyle/>
    <a:p>
      <a:pPr>
        <a:defRPr/>
      </a:pPr>
      <a:endParaRPr lang="es-ES"/>
    </a:p>
  </c:txPr>
  <c:externalData r:id="rId2"/>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2.xml><?xml version="1.0" encoding="utf-8"?>
<ds:datastoreItem xmlns:ds="http://schemas.openxmlformats.org/officeDocument/2006/customXml" ds:itemID="{B19CDC1C-ACEB-4195-A117-F723402FAC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F25AEB-BCEF-4026-A80B-B028D8AD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C0D87AC-53F6-47F4-A769-2C0D8F1CD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4084</Words>
  <Characters>22462</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26494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Sebastian Ignacio Flores Cuneo</cp:lastModifiedBy>
  <cp:revision>19</cp:revision>
  <cp:lastPrinted>2014-03-13T13:01:00Z</cp:lastPrinted>
  <dcterms:created xsi:type="dcterms:W3CDTF">2022-05-10T16:30:00Z</dcterms:created>
  <dcterms:modified xsi:type="dcterms:W3CDTF">2022-05-10T18:37:00Z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