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D8" w:rsidRPr="00851DD8" w:rsidRDefault="00C15212" w:rsidP="00851DD8">
      <w:pPr>
        <w:pStyle w:val="Sinespaciado"/>
        <w:spacing w:line="276" w:lineRule="auto"/>
        <w:jc w:val="both"/>
        <w:rPr>
          <w:rFonts w:ascii="Arial" w:hAnsi="Arial" w:cs="Arial"/>
          <w:b/>
          <w:bCs/>
          <w:lang w:val="es-ES"/>
        </w:rPr>
      </w:pPr>
      <w:r w:rsidRPr="00C15212">
        <w:rPr>
          <w:rFonts w:ascii="Arial" w:hAnsi="Arial" w:cs="Arial"/>
          <w:b/>
        </w:rPr>
        <w:t>INFORME DE LA COMISION DE HACIENDA RECAÍDO EN EL PROYECTO DE LEY QUE</w:t>
      </w:r>
      <w:r>
        <w:rPr>
          <w:rFonts w:ascii="Arial" w:hAnsi="Arial" w:cs="Arial"/>
          <w:b/>
        </w:rPr>
        <w:t xml:space="preserve"> </w:t>
      </w:r>
      <w:r w:rsidR="00882FAD" w:rsidRPr="00882FAD">
        <w:rPr>
          <w:rFonts w:ascii="Arial" w:hAnsi="Arial" w:cs="Arial"/>
          <w:b/>
          <w:lang w:val="es-ES_tradnl"/>
        </w:rPr>
        <w:t>MODIFICA LA LEY N° 21.420 QUE REDUCE O ELIMINA EXENCIONES TRIBUTARIAS QUE INDICA</w:t>
      </w:r>
    </w:p>
    <w:p w:rsidR="002E7F31" w:rsidRDefault="002E7F31" w:rsidP="002E7F31">
      <w:pPr>
        <w:pStyle w:val="Sinespaciado"/>
        <w:spacing w:line="276" w:lineRule="auto"/>
        <w:jc w:val="both"/>
        <w:rPr>
          <w:rFonts w:ascii="Arial" w:hAnsi="Arial" w:cs="Arial"/>
          <w:b/>
          <w:bCs/>
        </w:rPr>
      </w:pPr>
      <w:r>
        <w:rPr>
          <w:rFonts w:ascii="Arial" w:hAnsi="Arial" w:cs="Arial"/>
          <w:b/>
          <w:bCs/>
        </w:rPr>
        <w:t>______________________________________________________________________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231233">
        <w:rPr>
          <w:rFonts w:ascii="Arial" w:hAnsi="Arial" w:cs="Arial"/>
          <w:sz w:val="22"/>
          <w:szCs w:val="22"/>
        </w:rPr>
        <w:t>14.</w:t>
      </w:r>
      <w:r w:rsidR="00851DD8">
        <w:rPr>
          <w:rFonts w:ascii="Arial" w:hAnsi="Arial" w:cs="Arial"/>
          <w:sz w:val="22"/>
          <w:szCs w:val="22"/>
        </w:rPr>
        <w:t>8</w:t>
      </w:r>
      <w:r w:rsidR="00882FAD">
        <w:rPr>
          <w:rFonts w:ascii="Arial" w:hAnsi="Arial" w:cs="Arial"/>
          <w:sz w:val="22"/>
          <w:szCs w:val="22"/>
        </w:rPr>
        <w:t>30</w:t>
      </w:r>
      <w:r w:rsidR="00231233">
        <w:rPr>
          <w:rFonts w:ascii="Arial" w:hAnsi="Arial" w:cs="Arial"/>
          <w:sz w:val="22"/>
          <w:szCs w:val="22"/>
        </w:rPr>
        <w:t>-05</w:t>
      </w:r>
    </w:p>
    <w:p w:rsidR="0003528C" w:rsidRDefault="0003528C" w:rsidP="002E7F31">
      <w:pPr>
        <w:tabs>
          <w:tab w:val="left" w:pos="1134"/>
          <w:tab w:val="left" w:pos="3686"/>
        </w:tabs>
        <w:spacing w:line="276" w:lineRule="auto"/>
        <w:jc w:val="both"/>
        <w:rPr>
          <w:rFonts w:ascii="Arial" w:hAnsi="Arial" w:cs="Arial"/>
          <w:sz w:val="22"/>
          <w:szCs w:val="22"/>
        </w:rPr>
      </w:pPr>
    </w:p>
    <w:p w:rsidR="004254B0" w:rsidRDefault="004254B0"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2E7F31">
      <w:pPr>
        <w:tabs>
          <w:tab w:val="left" w:pos="1134"/>
          <w:tab w:val="left" w:pos="3686"/>
        </w:tabs>
        <w:spacing w:line="276" w:lineRule="auto"/>
        <w:jc w:val="both"/>
        <w:rPr>
          <w:rFonts w:ascii="Arial" w:hAnsi="Arial" w:cs="Arial"/>
          <w:b/>
          <w:sz w:val="22"/>
          <w:szCs w:val="22"/>
        </w:rPr>
      </w:pPr>
    </w:p>
    <w:p w:rsidR="00882FAD" w:rsidRPr="00F32CF8" w:rsidRDefault="00C15212" w:rsidP="00C25238">
      <w:pPr>
        <w:pStyle w:val="Sinespaciado"/>
        <w:spacing w:line="276" w:lineRule="auto"/>
        <w:ind w:right="-142" w:firstLine="1701"/>
        <w:jc w:val="both"/>
        <w:rPr>
          <w:rFonts w:ascii="Arial" w:hAnsi="Arial" w:cs="Arial"/>
          <w:lang w:val="es-ES_tradnl"/>
        </w:rPr>
      </w:pPr>
      <w:r w:rsidRPr="00A9672C">
        <w:rPr>
          <w:rFonts w:ascii="Arial" w:eastAsia="Tahoma" w:hAnsi="Arial" w:cs="Arial"/>
        </w:rPr>
        <w:t xml:space="preserve">La Comisión de Hacienda pasa a informar, en </w:t>
      </w:r>
      <w:r w:rsidR="003E4B14" w:rsidRPr="00A9672C">
        <w:rPr>
          <w:rFonts w:ascii="Arial" w:eastAsia="Tahoma" w:hAnsi="Arial" w:cs="Arial"/>
        </w:rPr>
        <w:t xml:space="preserve">primer </w:t>
      </w:r>
      <w:r w:rsidRPr="00A9672C">
        <w:rPr>
          <w:rFonts w:ascii="Arial" w:eastAsia="Tahoma" w:hAnsi="Arial" w:cs="Arial"/>
        </w:rPr>
        <w:t xml:space="preserve">trámite constitucional y </w:t>
      </w:r>
      <w:r w:rsidR="00805ECE" w:rsidRPr="00A9672C">
        <w:rPr>
          <w:rFonts w:ascii="Arial" w:eastAsia="Tahoma" w:hAnsi="Arial" w:cs="Arial"/>
        </w:rPr>
        <w:t xml:space="preserve">primero </w:t>
      </w:r>
      <w:r w:rsidRPr="00A9672C">
        <w:rPr>
          <w:rFonts w:ascii="Arial" w:eastAsia="Tahoma" w:hAnsi="Arial" w:cs="Arial"/>
        </w:rPr>
        <w:t xml:space="preserve">reglamentario, el proyecto de ley individualizado en el epígrafe, </w:t>
      </w:r>
      <w:r w:rsidR="00882FAD">
        <w:rPr>
          <w:rFonts w:ascii="Arial" w:eastAsia="Tahoma" w:hAnsi="Arial" w:cs="Arial"/>
        </w:rPr>
        <w:t xml:space="preserve">ingresado </w:t>
      </w:r>
      <w:r w:rsidR="00C25238">
        <w:rPr>
          <w:rFonts w:ascii="Arial" w:eastAsia="Tahoma" w:hAnsi="Arial" w:cs="Arial"/>
        </w:rPr>
        <w:t xml:space="preserve">el 1 de marzo de 2022, </w:t>
      </w:r>
      <w:r w:rsidRPr="00A9672C">
        <w:rPr>
          <w:rFonts w:ascii="Arial" w:eastAsia="Tahoma" w:hAnsi="Arial" w:cs="Arial"/>
        </w:rPr>
        <w:t xml:space="preserve">originado en </w:t>
      </w:r>
      <w:r w:rsidR="00851DD8">
        <w:rPr>
          <w:rFonts w:ascii="Arial" w:eastAsia="Tahoma" w:hAnsi="Arial" w:cs="Arial"/>
        </w:rPr>
        <w:t>Mensaje de</w:t>
      </w:r>
      <w:r w:rsidR="00882FAD">
        <w:rPr>
          <w:rFonts w:ascii="Arial" w:eastAsia="Tahoma" w:hAnsi="Arial" w:cs="Arial"/>
        </w:rPr>
        <w:t>l</w:t>
      </w:r>
      <w:r w:rsidR="00851DD8">
        <w:rPr>
          <w:rFonts w:ascii="Arial" w:eastAsia="Tahoma" w:hAnsi="Arial" w:cs="Arial"/>
        </w:rPr>
        <w:t xml:space="preserve"> </w:t>
      </w:r>
      <w:r w:rsidR="00882FAD">
        <w:rPr>
          <w:rFonts w:ascii="Arial" w:hAnsi="Arial" w:cs="Arial"/>
          <w:lang w:val="es-ES_tradnl"/>
        </w:rPr>
        <w:t xml:space="preserve">entonces </w:t>
      </w:r>
      <w:r w:rsidR="00882FAD" w:rsidRPr="00F32CF8">
        <w:rPr>
          <w:rFonts w:ascii="Arial" w:hAnsi="Arial" w:cs="Arial"/>
          <w:lang w:val="es-ES_tradnl"/>
        </w:rPr>
        <w:t>Presidente de la República don Sebastián Piñera Echenique</w:t>
      </w:r>
      <w:r w:rsidR="00860F7A">
        <w:rPr>
          <w:rFonts w:ascii="Arial" w:hAnsi="Arial" w:cs="Arial"/>
          <w:lang w:val="es-ES_tradnl"/>
        </w:rPr>
        <w:t>, con urgencia calificada de Suma</w:t>
      </w:r>
      <w:r w:rsidR="00882FAD" w:rsidRPr="00F32CF8">
        <w:rPr>
          <w:rFonts w:ascii="Arial" w:hAnsi="Arial" w:cs="Arial"/>
          <w:lang w:val="es-ES_tradnl"/>
        </w:rPr>
        <w:t>.</w:t>
      </w:r>
    </w:p>
    <w:p w:rsidR="00B83F72" w:rsidRDefault="00E23BE3" w:rsidP="00B83F72">
      <w:pPr>
        <w:spacing w:line="276" w:lineRule="auto"/>
        <w:ind w:firstLine="1701"/>
        <w:jc w:val="both"/>
        <w:rPr>
          <w:rFonts w:ascii="Arial" w:hAnsi="Arial" w:cs="Arial"/>
          <w:sz w:val="22"/>
          <w:szCs w:val="22"/>
        </w:rPr>
      </w:pPr>
      <w:r w:rsidRPr="00E23BE3">
        <w:rPr>
          <w:rFonts w:ascii="Arial" w:hAnsi="Arial" w:cs="Arial"/>
          <w:sz w:val="22"/>
          <w:szCs w:val="22"/>
        </w:rPr>
        <w:t>Asist</w:t>
      </w:r>
      <w:r>
        <w:rPr>
          <w:rFonts w:ascii="Arial" w:hAnsi="Arial" w:cs="Arial"/>
          <w:sz w:val="22"/>
          <w:szCs w:val="22"/>
        </w:rPr>
        <w:t>i</w:t>
      </w:r>
      <w:r w:rsidR="00461746">
        <w:rPr>
          <w:rFonts w:ascii="Arial" w:hAnsi="Arial" w:cs="Arial"/>
          <w:sz w:val="22"/>
          <w:szCs w:val="22"/>
        </w:rPr>
        <w:t xml:space="preserve">ó a presentar la iniciativa </w:t>
      </w:r>
      <w:r>
        <w:rPr>
          <w:rFonts w:ascii="Arial" w:hAnsi="Arial" w:cs="Arial"/>
          <w:sz w:val="22"/>
          <w:szCs w:val="22"/>
        </w:rPr>
        <w:t xml:space="preserve">en representación del </w:t>
      </w:r>
      <w:r w:rsidRPr="00E23BE3">
        <w:rPr>
          <w:rFonts w:ascii="Arial" w:hAnsi="Arial" w:cs="Arial"/>
          <w:sz w:val="22"/>
          <w:szCs w:val="22"/>
        </w:rPr>
        <w:t xml:space="preserve">Ejecutivo, </w:t>
      </w:r>
      <w:r w:rsidR="00461746" w:rsidRPr="00FA7391">
        <w:rPr>
          <w:rFonts w:ascii="Arial" w:hAnsi="Arial" w:cs="Arial"/>
          <w:sz w:val="22"/>
          <w:szCs w:val="22"/>
        </w:rPr>
        <w:t>la Subsecretaria de Hacienda, señora Claudia Sanhueza Riveros</w:t>
      </w:r>
      <w:r w:rsidR="00C25238">
        <w:rPr>
          <w:rFonts w:ascii="Arial" w:hAnsi="Arial" w:cs="Arial"/>
          <w:sz w:val="22"/>
          <w:szCs w:val="22"/>
        </w:rPr>
        <w:t>, acompañada de</w:t>
      </w:r>
      <w:r w:rsidR="00B83F72">
        <w:rPr>
          <w:rFonts w:ascii="Arial" w:hAnsi="Arial" w:cs="Arial"/>
          <w:sz w:val="22"/>
          <w:szCs w:val="22"/>
        </w:rPr>
        <w:t>l Co</w:t>
      </w:r>
      <w:r w:rsidR="00B83F72" w:rsidRPr="00E018E3">
        <w:rPr>
          <w:rFonts w:ascii="Arial" w:hAnsi="Arial" w:cs="Arial"/>
          <w:sz w:val="22"/>
          <w:szCs w:val="22"/>
        </w:rPr>
        <w:t xml:space="preserve">ordinador de Política Tributaria de Hacienda, señor Diego Riquelme y </w:t>
      </w:r>
      <w:r w:rsidR="00B83F72">
        <w:rPr>
          <w:rFonts w:ascii="Arial" w:hAnsi="Arial" w:cs="Arial"/>
          <w:sz w:val="22"/>
          <w:szCs w:val="22"/>
        </w:rPr>
        <w:t>de</w:t>
      </w:r>
      <w:r w:rsidR="00B83F72" w:rsidRPr="00E018E3">
        <w:rPr>
          <w:rFonts w:ascii="Arial" w:hAnsi="Arial" w:cs="Arial"/>
          <w:sz w:val="22"/>
          <w:szCs w:val="22"/>
        </w:rPr>
        <w:t xml:space="preserve">l </w:t>
      </w:r>
      <w:r w:rsidR="00B83F72">
        <w:rPr>
          <w:rFonts w:ascii="Arial" w:hAnsi="Arial" w:cs="Arial"/>
          <w:sz w:val="22"/>
          <w:szCs w:val="22"/>
        </w:rPr>
        <w:t>t</w:t>
      </w:r>
      <w:r w:rsidR="00B83F72" w:rsidRPr="00E018E3">
        <w:rPr>
          <w:rFonts w:ascii="Arial" w:hAnsi="Arial" w:cs="Arial"/>
          <w:sz w:val="22"/>
          <w:szCs w:val="22"/>
        </w:rPr>
        <w:t>itular de la Subdirección Normativa del Servicio de Impuestos Internos, señor Simón Ramírez Guerra.</w:t>
      </w:r>
    </w:p>
    <w:p w:rsidR="00B018A0"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Pr="00714332"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CE152D" w:rsidRP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r w:rsidRPr="00CE152D">
        <w:rPr>
          <w:rFonts w:ascii="Arial" w:hAnsi="Arial"/>
          <w:sz w:val="22"/>
          <w:szCs w:val="22"/>
          <w:lang w:val="es-ES" w:eastAsia="x-none"/>
        </w:rPr>
        <w:t>E</w:t>
      </w:r>
      <w:proofErr w:type="spellStart"/>
      <w:r w:rsidRPr="00CE152D">
        <w:rPr>
          <w:rFonts w:ascii="Arial" w:hAnsi="Arial"/>
          <w:sz w:val="22"/>
          <w:szCs w:val="22"/>
          <w:lang w:val="x-none" w:eastAsia="x-none"/>
        </w:rPr>
        <w:t>nmendar</w:t>
      </w:r>
      <w:proofErr w:type="spellEnd"/>
      <w:r w:rsidRPr="00CE152D">
        <w:rPr>
          <w:rFonts w:ascii="Arial" w:hAnsi="Arial"/>
          <w:spacing w:val="-1"/>
          <w:sz w:val="22"/>
          <w:szCs w:val="22"/>
          <w:lang w:val="x-none" w:eastAsia="x-none"/>
        </w:rPr>
        <w:t xml:space="preserve"> </w:t>
      </w:r>
      <w:r w:rsidRPr="00CE152D">
        <w:rPr>
          <w:rFonts w:ascii="Arial" w:hAnsi="Arial"/>
          <w:sz w:val="22"/>
          <w:szCs w:val="22"/>
          <w:lang w:val="x-none" w:eastAsia="x-none"/>
        </w:rPr>
        <w:t xml:space="preserve">las imprecisiones de texto </w:t>
      </w:r>
      <w:r w:rsidRPr="00CE152D">
        <w:rPr>
          <w:rFonts w:ascii="Arial" w:hAnsi="Arial"/>
          <w:sz w:val="22"/>
          <w:szCs w:val="22"/>
          <w:lang w:val="es-ES" w:eastAsia="x-none"/>
        </w:rPr>
        <w:t xml:space="preserve">plasmadas en la ley N° 21.420, que reduce o elimina exenciones tributarias, disminuyendo por una parte, en el Código de Minería, el monto reconocido para el cobro de patentes mineras de concesiones que demuestren la realización de trabajos efectivos, y por la otra, incluyendo las normas relativas al crédito especial de empresas constructoras, contenidas en la ley del impuesto a las ventas y servicios, en la disposición transitoria que postergó la eliminación de dicho beneficio, hasta el 1 de enero de 2025. </w:t>
      </w:r>
    </w:p>
    <w:p w:rsidR="00CE152D" w:rsidRP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p>
    <w:p w:rsidR="00363286"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r>
        <w:rPr>
          <w:rFonts w:ascii="Arial" w:hAnsi="Arial"/>
          <w:sz w:val="22"/>
          <w:szCs w:val="22"/>
        </w:rPr>
        <w:t>Fue aprobado por la unanimidad de los trece diputados</w:t>
      </w:r>
      <w:r w:rsidR="00CE152D">
        <w:rPr>
          <w:rFonts w:ascii="Arial" w:hAnsi="Arial"/>
          <w:sz w:val="22"/>
          <w:szCs w:val="22"/>
        </w:rPr>
        <w:t xml:space="preserve"> (as)</w:t>
      </w:r>
      <w:r>
        <w:rPr>
          <w:rFonts w:ascii="Arial" w:hAnsi="Arial"/>
          <w:sz w:val="22"/>
          <w:szCs w:val="22"/>
        </w:rPr>
        <w:t xml:space="preserve"> presentes señores(as) Barrera, Bianchi, </w:t>
      </w:r>
      <w:r w:rsidR="00CE152D">
        <w:rPr>
          <w:rFonts w:ascii="Arial" w:hAnsi="Arial"/>
          <w:sz w:val="22"/>
          <w:szCs w:val="22"/>
        </w:rPr>
        <w:t xml:space="preserve">Brito, </w:t>
      </w:r>
      <w:r>
        <w:rPr>
          <w:rFonts w:ascii="Arial" w:hAnsi="Arial"/>
          <w:sz w:val="22"/>
          <w:szCs w:val="22"/>
        </w:rPr>
        <w:t xml:space="preserve">Cifuentes, Mellado, </w:t>
      </w:r>
      <w:proofErr w:type="spellStart"/>
      <w:r>
        <w:rPr>
          <w:rFonts w:ascii="Arial" w:hAnsi="Arial"/>
          <w:sz w:val="22"/>
          <w:szCs w:val="22"/>
        </w:rPr>
        <w:t>Mix</w:t>
      </w:r>
      <w:proofErr w:type="spellEnd"/>
      <w:r>
        <w:rPr>
          <w:rFonts w:ascii="Arial" w:hAnsi="Arial"/>
          <w:sz w:val="22"/>
          <w:szCs w:val="22"/>
        </w:rPr>
        <w:t xml:space="preserve">, Naranjo, Ramírez, Romero, </w:t>
      </w:r>
      <w:proofErr w:type="spellStart"/>
      <w:r>
        <w:rPr>
          <w:rFonts w:ascii="Arial" w:hAnsi="Arial"/>
          <w:sz w:val="22"/>
          <w:szCs w:val="22"/>
        </w:rPr>
        <w:t>Sauerbaum</w:t>
      </w:r>
      <w:proofErr w:type="spellEnd"/>
      <w:r>
        <w:rPr>
          <w:rFonts w:ascii="Arial" w:hAnsi="Arial"/>
          <w:sz w:val="22"/>
          <w:szCs w:val="22"/>
        </w:rPr>
        <w:t xml:space="preserve">, Sepúlveda, Von </w:t>
      </w:r>
      <w:proofErr w:type="spellStart"/>
      <w:r>
        <w:rPr>
          <w:rFonts w:ascii="Arial" w:hAnsi="Arial"/>
          <w:sz w:val="22"/>
          <w:szCs w:val="22"/>
        </w:rPr>
        <w:t>Mühlenbrock</w:t>
      </w:r>
      <w:proofErr w:type="spellEnd"/>
      <w:r>
        <w:rPr>
          <w:rFonts w:ascii="Arial" w:hAnsi="Arial"/>
          <w:sz w:val="22"/>
          <w:szCs w:val="22"/>
        </w:rPr>
        <w:t xml:space="preserve"> y </w:t>
      </w:r>
      <w:proofErr w:type="spellStart"/>
      <w:r>
        <w:rPr>
          <w:rFonts w:ascii="Arial" w:hAnsi="Arial"/>
          <w:sz w:val="22"/>
          <w:szCs w:val="22"/>
        </w:rPr>
        <w:t>Yeomans</w:t>
      </w:r>
      <w:proofErr w:type="spellEnd"/>
      <w:r>
        <w:rPr>
          <w:rFonts w:ascii="Arial" w:hAnsi="Arial"/>
          <w:sz w:val="22"/>
          <w:szCs w:val="22"/>
        </w:rPr>
        <w:t xml:space="preserve">. </w:t>
      </w:r>
    </w:p>
    <w:p w:rsidR="00636C0D" w:rsidRDefault="00636C0D" w:rsidP="00636C0D">
      <w:pPr>
        <w:tabs>
          <w:tab w:val="left" w:pos="2694"/>
        </w:tabs>
        <w:autoSpaceDE w:val="0"/>
        <w:autoSpaceDN w:val="0"/>
        <w:adjustRightInd w:val="0"/>
        <w:spacing w:line="276" w:lineRule="auto"/>
        <w:ind w:firstLine="1622"/>
        <w:jc w:val="both"/>
        <w:rPr>
          <w:rFonts w:ascii="Arial" w:hAnsi="Arial"/>
          <w:sz w:val="22"/>
          <w:szCs w:val="22"/>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No hay</w:t>
      </w:r>
    </w:p>
    <w:p w:rsidR="00AE30A1" w:rsidRPr="00A9672C" w:rsidRDefault="00AE30A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Pr="00A9672C"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p>
    <w:p w:rsidR="00FB358F" w:rsidRPr="00461746" w:rsidRDefault="00461746"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461746">
        <w:rPr>
          <w:rFonts w:ascii="Arial" w:eastAsia="Tahoma" w:hAnsi="Arial" w:cs="Arial"/>
          <w:sz w:val="22"/>
          <w:szCs w:val="22"/>
          <w:lang w:val="es-CL" w:eastAsia="en-US"/>
        </w:rPr>
        <w:t>No hubo</w:t>
      </w:r>
    </w:p>
    <w:p w:rsidR="00363286" w:rsidRPr="00A9672C" w:rsidRDefault="00363286"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p>
    <w:p w:rsidR="00461746" w:rsidRDefault="00CE152D"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No hubo</w:t>
      </w:r>
    </w:p>
    <w:p w:rsidR="00CE152D" w:rsidRDefault="00CE152D"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860F7A" w:rsidRDefault="00B018A0" w:rsidP="00860F7A">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6.-</w:t>
      </w:r>
      <w:r w:rsidR="009523A2" w:rsidRPr="00A9672C">
        <w:rPr>
          <w:rFonts w:ascii="Arial" w:eastAsia="Tahoma" w:hAnsi="Arial" w:cs="Arial"/>
          <w:sz w:val="22"/>
          <w:szCs w:val="22"/>
          <w:lang w:val="es-CL" w:eastAsia="en-US"/>
        </w:rPr>
        <w:t xml:space="preserve"> Diputado Informante</w:t>
      </w:r>
      <w:r w:rsidR="00056042" w:rsidRPr="00A9672C">
        <w:rPr>
          <w:rFonts w:ascii="Arial" w:eastAsia="Tahoma" w:hAnsi="Arial" w:cs="Arial"/>
          <w:sz w:val="22"/>
          <w:szCs w:val="22"/>
          <w:lang w:val="es-CL" w:eastAsia="en-US"/>
        </w:rPr>
        <w:t>: E</w:t>
      </w:r>
      <w:r w:rsidR="009523A2" w:rsidRPr="00A9672C">
        <w:rPr>
          <w:rFonts w:ascii="Arial" w:eastAsia="Tahoma" w:hAnsi="Arial" w:cs="Arial"/>
          <w:sz w:val="22"/>
          <w:szCs w:val="22"/>
          <w:lang w:val="es-CL" w:eastAsia="en-US"/>
        </w:rPr>
        <w:t xml:space="preserve">l </w:t>
      </w:r>
      <w:r w:rsidR="0022154B" w:rsidRPr="00A9672C">
        <w:rPr>
          <w:rFonts w:ascii="Arial" w:eastAsia="Tahoma" w:hAnsi="Arial" w:cs="Arial"/>
          <w:sz w:val="22"/>
          <w:szCs w:val="22"/>
          <w:lang w:val="es-CL" w:eastAsia="en-US"/>
        </w:rPr>
        <w:t>señor</w:t>
      </w:r>
      <w:r w:rsidR="00157D61">
        <w:rPr>
          <w:rFonts w:ascii="Arial" w:eastAsia="Tahoma" w:hAnsi="Arial" w:cs="Arial"/>
          <w:sz w:val="22"/>
          <w:szCs w:val="22"/>
          <w:lang w:val="es-CL" w:eastAsia="en-US"/>
        </w:rPr>
        <w:t xml:space="preserve"> </w:t>
      </w:r>
      <w:r w:rsidR="00CE152D">
        <w:rPr>
          <w:rFonts w:ascii="Arial" w:eastAsia="Tahoma" w:hAnsi="Arial" w:cs="Arial"/>
          <w:sz w:val="22"/>
          <w:szCs w:val="22"/>
          <w:lang w:val="es-CL" w:eastAsia="en-US"/>
        </w:rPr>
        <w:t xml:space="preserve">Jorge Brito </w:t>
      </w:r>
      <w:proofErr w:type="spellStart"/>
      <w:r w:rsidR="00CE152D">
        <w:rPr>
          <w:rFonts w:ascii="Arial" w:eastAsia="Tahoma" w:hAnsi="Arial" w:cs="Arial"/>
          <w:sz w:val="22"/>
          <w:szCs w:val="22"/>
          <w:lang w:val="es-CL" w:eastAsia="en-US"/>
        </w:rPr>
        <w:t>Hasbún</w:t>
      </w:r>
      <w:proofErr w:type="spellEnd"/>
      <w:r w:rsidR="00461746">
        <w:rPr>
          <w:rFonts w:ascii="Arial" w:eastAsia="Tahoma" w:hAnsi="Arial" w:cs="Arial"/>
          <w:sz w:val="22"/>
          <w:szCs w:val="22"/>
          <w:lang w:val="es-CL" w:eastAsia="en-US"/>
        </w:rPr>
        <w:t>.</w:t>
      </w:r>
      <w:r w:rsidR="00860F7A">
        <w:rPr>
          <w:rFonts w:ascii="Arial" w:eastAsia="Tahoma" w:hAnsi="Arial" w:cs="Arial"/>
          <w:sz w:val="22"/>
          <w:szCs w:val="22"/>
          <w:lang w:val="es-CL" w:eastAsia="en-US"/>
        </w:rPr>
        <w:t xml:space="preserve"> </w:t>
      </w:r>
    </w:p>
    <w:p w:rsidR="009137CA" w:rsidRPr="00A9672C" w:rsidRDefault="00B5358C" w:rsidP="00860F7A">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II.-CONTENIDO DEL PROYECTO</w:t>
      </w:r>
    </w:p>
    <w:p w:rsidR="00CE152D" w:rsidRPr="00CE152D" w:rsidRDefault="00CE152D" w:rsidP="00CE152D">
      <w:pPr>
        <w:widowControl w:val="0"/>
        <w:autoSpaceDE w:val="0"/>
        <w:autoSpaceDN w:val="0"/>
        <w:adjustRightInd w:val="0"/>
        <w:spacing w:before="120" w:after="120" w:line="276" w:lineRule="auto"/>
        <w:ind w:right="-234" w:firstLine="1701"/>
        <w:jc w:val="both"/>
        <w:rPr>
          <w:rFonts w:ascii="Arial" w:hAnsi="Arial" w:cs="Arial"/>
          <w:sz w:val="22"/>
          <w:szCs w:val="22"/>
          <w:lang w:val="es-MX" w:eastAsia="x-none"/>
        </w:rPr>
      </w:pPr>
      <w:r w:rsidRPr="00CE152D">
        <w:rPr>
          <w:rFonts w:ascii="Arial" w:hAnsi="Arial" w:cs="Arial"/>
          <w:sz w:val="22"/>
          <w:szCs w:val="22"/>
          <w:lang w:val="es-MX" w:eastAsia="x-none"/>
        </w:rPr>
        <w:t>Consta de un artículo único permanente y una disposición transitoria, que tratan las siguientes materias:</w:t>
      </w:r>
    </w:p>
    <w:p w:rsidR="00CE152D" w:rsidRPr="00CE152D" w:rsidRDefault="00CE152D" w:rsidP="00CE152D">
      <w:pPr>
        <w:widowControl w:val="0"/>
        <w:autoSpaceDE w:val="0"/>
        <w:autoSpaceDN w:val="0"/>
        <w:adjustRightInd w:val="0"/>
        <w:spacing w:before="120" w:line="276" w:lineRule="auto"/>
        <w:ind w:right="-234" w:firstLine="1701"/>
        <w:jc w:val="both"/>
        <w:rPr>
          <w:rFonts w:ascii="Arial" w:hAnsi="Arial"/>
          <w:sz w:val="22"/>
          <w:szCs w:val="22"/>
          <w:lang w:val="es-ES" w:eastAsia="x-none"/>
        </w:rPr>
      </w:pPr>
      <w:r w:rsidRPr="00CE152D">
        <w:rPr>
          <w:rFonts w:ascii="Arial" w:hAnsi="Arial" w:cs="Arial"/>
          <w:sz w:val="22"/>
          <w:szCs w:val="22"/>
          <w:lang w:val="es-MX" w:eastAsia="x-none"/>
        </w:rPr>
        <w:t xml:space="preserve">1.- Incorpora un nuevo artículo 142 bis en el Código de Minería </w:t>
      </w:r>
      <w:r w:rsidRPr="00CE152D">
        <w:rPr>
          <w:rFonts w:ascii="Arial" w:hAnsi="Arial"/>
          <w:sz w:val="22"/>
          <w:szCs w:val="22"/>
          <w:lang w:val="x-none" w:eastAsia="x-none"/>
        </w:rPr>
        <w:t>en</w:t>
      </w:r>
      <w:r w:rsidRPr="00CE152D">
        <w:rPr>
          <w:rFonts w:ascii="Arial" w:hAnsi="Arial"/>
          <w:spacing w:val="-2"/>
          <w:sz w:val="22"/>
          <w:szCs w:val="22"/>
          <w:lang w:val="x-none" w:eastAsia="x-none"/>
        </w:rPr>
        <w:t xml:space="preserve"> </w:t>
      </w:r>
      <w:r w:rsidRPr="00CE152D">
        <w:rPr>
          <w:rFonts w:ascii="Arial" w:hAnsi="Arial"/>
          <w:sz w:val="22"/>
          <w:szCs w:val="22"/>
          <w:lang w:val="x-none" w:eastAsia="x-none"/>
        </w:rPr>
        <w:t>materia de</w:t>
      </w:r>
      <w:r w:rsidRPr="00CE152D">
        <w:rPr>
          <w:rFonts w:ascii="Arial" w:hAnsi="Arial"/>
          <w:spacing w:val="-13"/>
          <w:sz w:val="22"/>
          <w:szCs w:val="22"/>
          <w:lang w:val="x-none" w:eastAsia="x-none"/>
        </w:rPr>
        <w:t xml:space="preserve"> </w:t>
      </w:r>
      <w:r w:rsidRPr="00CE152D">
        <w:rPr>
          <w:rFonts w:ascii="Arial" w:hAnsi="Arial"/>
          <w:sz w:val="22"/>
          <w:szCs w:val="22"/>
          <w:lang w:val="x-none" w:eastAsia="x-none"/>
        </w:rPr>
        <w:t>concesiones</w:t>
      </w:r>
      <w:r w:rsidRPr="00CE152D">
        <w:rPr>
          <w:rFonts w:ascii="Arial" w:hAnsi="Arial"/>
          <w:spacing w:val="-11"/>
          <w:sz w:val="22"/>
          <w:szCs w:val="22"/>
          <w:lang w:val="x-none" w:eastAsia="x-none"/>
        </w:rPr>
        <w:t xml:space="preserve"> </w:t>
      </w:r>
      <w:r w:rsidRPr="00CE152D">
        <w:rPr>
          <w:rFonts w:ascii="Arial" w:hAnsi="Arial"/>
          <w:sz w:val="22"/>
          <w:szCs w:val="22"/>
          <w:lang w:val="x-none" w:eastAsia="x-none"/>
        </w:rPr>
        <w:t>mineras,</w:t>
      </w:r>
      <w:r w:rsidRPr="00CE152D">
        <w:rPr>
          <w:rFonts w:ascii="Arial" w:hAnsi="Arial"/>
          <w:spacing w:val="-11"/>
          <w:sz w:val="22"/>
          <w:szCs w:val="22"/>
          <w:lang w:val="x-none" w:eastAsia="x-none"/>
        </w:rPr>
        <w:t xml:space="preserve"> </w:t>
      </w:r>
      <w:r w:rsidRPr="00CE152D">
        <w:rPr>
          <w:rFonts w:ascii="Arial" w:hAnsi="Arial"/>
          <w:sz w:val="22"/>
          <w:szCs w:val="22"/>
          <w:lang w:val="es-ES" w:eastAsia="x-none"/>
        </w:rPr>
        <w:t>para rebajar el beneficio de cobro reducido de patente de tres décimos de unidad tributaria mensual por hectárea completa que comprenda la pertenencia, a undécimo de UTM.</w:t>
      </w:r>
    </w:p>
    <w:p w:rsidR="00CE152D" w:rsidRP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r w:rsidRPr="00CE152D">
        <w:rPr>
          <w:rFonts w:ascii="Arial" w:hAnsi="Arial"/>
          <w:sz w:val="22"/>
          <w:szCs w:val="22"/>
          <w:lang w:val="es-ES" w:eastAsia="x-none"/>
        </w:rPr>
        <w:t>2.-</w:t>
      </w:r>
      <w:r w:rsidRPr="00CE152D">
        <w:rPr>
          <w:rFonts w:ascii="Arial" w:hAnsi="Arial"/>
          <w:sz w:val="22"/>
          <w:szCs w:val="22"/>
          <w:lang w:val="x-none" w:eastAsia="x-none"/>
        </w:rPr>
        <w:t xml:space="preserve"> </w:t>
      </w:r>
      <w:r w:rsidRPr="00CE152D">
        <w:rPr>
          <w:rFonts w:ascii="Arial" w:hAnsi="Arial"/>
          <w:sz w:val="22"/>
          <w:szCs w:val="22"/>
          <w:lang w:val="es-ES" w:eastAsia="x-none"/>
        </w:rPr>
        <w:t>E</w:t>
      </w:r>
      <w:proofErr w:type="spellStart"/>
      <w:r w:rsidRPr="00CE152D">
        <w:rPr>
          <w:rFonts w:ascii="Arial" w:hAnsi="Arial"/>
          <w:sz w:val="22"/>
          <w:szCs w:val="22"/>
          <w:lang w:val="x-none" w:eastAsia="x-none"/>
        </w:rPr>
        <w:t>stablece</w:t>
      </w:r>
      <w:proofErr w:type="spellEnd"/>
      <w:r w:rsidRPr="00CE152D">
        <w:rPr>
          <w:rFonts w:ascii="Arial" w:hAnsi="Arial"/>
          <w:sz w:val="22"/>
          <w:szCs w:val="22"/>
          <w:lang w:val="x-none" w:eastAsia="x-none"/>
        </w:rPr>
        <w:t xml:space="preserve"> una norma transitoria sobre la entrada en vigencia respecto de la </w:t>
      </w:r>
      <w:r w:rsidRPr="00CE152D">
        <w:rPr>
          <w:rFonts w:ascii="Arial" w:hAnsi="Arial"/>
          <w:sz w:val="22"/>
          <w:szCs w:val="22"/>
          <w:lang w:val="es-ES" w:eastAsia="x-none"/>
        </w:rPr>
        <w:t xml:space="preserve">eliminación del beneficio tributario por </w:t>
      </w:r>
      <w:r w:rsidRPr="00CE152D">
        <w:rPr>
          <w:rFonts w:ascii="Arial" w:hAnsi="Arial"/>
          <w:sz w:val="22"/>
          <w:szCs w:val="22"/>
          <w:lang w:val="x-none" w:eastAsia="x-none"/>
        </w:rPr>
        <w:t>venta de bienes corporales inmuebles para habitación y para los contratos generales de construcción de dichos inmuebles</w:t>
      </w:r>
      <w:r w:rsidRPr="00CE152D">
        <w:rPr>
          <w:rFonts w:ascii="Arial" w:hAnsi="Arial"/>
          <w:sz w:val="22"/>
          <w:szCs w:val="22"/>
          <w:lang w:val="es-ES" w:eastAsia="x-none"/>
        </w:rPr>
        <w:t>, la que prorroga hasta el 1 de enero 2025.</w:t>
      </w:r>
    </w:p>
    <w:p w:rsidR="00CE152D" w:rsidRPr="00CE152D" w:rsidRDefault="00E93EBB" w:rsidP="00CE152D">
      <w:pPr>
        <w:widowControl w:val="0"/>
        <w:autoSpaceDE w:val="0"/>
        <w:autoSpaceDN w:val="0"/>
        <w:adjustRightInd w:val="0"/>
        <w:spacing w:before="119" w:line="276" w:lineRule="auto"/>
        <w:ind w:right="-234" w:firstLine="1701"/>
        <w:jc w:val="both"/>
        <w:rPr>
          <w:rFonts w:ascii="Arial" w:hAnsi="Arial"/>
          <w:b/>
          <w:sz w:val="22"/>
          <w:szCs w:val="22"/>
          <w:lang w:val="es-ES" w:eastAsia="x-none"/>
        </w:rPr>
      </w:pPr>
      <w:r w:rsidRPr="00CE152D">
        <w:rPr>
          <w:rFonts w:ascii="Arial" w:hAnsi="Arial"/>
          <w:b/>
          <w:sz w:val="22"/>
          <w:szCs w:val="22"/>
          <w:lang w:val="es-ES" w:eastAsia="x-none"/>
        </w:rPr>
        <w:t xml:space="preserve">Indicaciones ingresadas </w:t>
      </w:r>
      <w:r>
        <w:rPr>
          <w:rFonts w:ascii="Arial" w:hAnsi="Arial"/>
          <w:b/>
          <w:sz w:val="22"/>
          <w:szCs w:val="22"/>
          <w:lang w:val="es-ES" w:eastAsia="x-none"/>
        </w:rPr>
        <w:t xml:space="preserve">por el Ejecutivo en la tramitación de este primer informe: </w:t>
      </w:r>
    </w:p>
    <w:p w:rsidR="00CE152D" w:rsidRP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r w:rsidRPr="00CE152D">
        <w:rPr>
          <w:rFonts w:ascii="Arial" w:hAnsi="Arial"/>
          <w:sz w:val="22"/>
          <w:szCs w:val="22"/>
          <w:lang w:val="es-ES" w:eastAsia="x-none"/>
        </w:rPr>
        <w:t>1.-</w:t>
      </w:r>
      <w:r w:rsidRPr="00CE152D">
        <w:rPr>
          <w:rFonts w:ascii="Arial" w:hAnsi="Arial"/>
          <w:sz w:val="22"/>
          <w:szCs w:val="22"/>
          <w:lang w:val="x-none" w:eastAsia="x-none"/>
        </w:rPr>
        <w:t xml:space="preserve"> </w:t>
      </w:r>
      <w:r w:rsidRPr="00CE152D">
        <w:rPr>
          <w:rFonts w:ascii="Arial" w:hAnsi="Arial"/>
          <w:sz w:val="22"/>
          <w:szCs w:val="22"/>
          <w:lang w:val="es-ES" w:eastAsia="x-none"/>
        </w:rPr>
        <w:t>Modifica el artículo sexto transitorio de la actual ley: Se ajusta la transitoriedad del fin del crédito especial a las empresas constructoras estableciendo que la transición que permite a estas deducir un 0,325 del débito del Impuesto al Valor Agregado aplica, en adición a la norma transitoria general vigente en la Ley N° 21.420, a:</w:t>
      </w:r>
    </w:p>
    <w:p w:rsidR="00CE152D" w:rsidRP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r w:rsidRPr="00CE152D">
        <w:rPr>
          <w:rFonts w:ascii="Arial" w:hAnsi="Arial"/>
          <w:sz w:val="22"/>
          <w:szCs w:val="22"/>
          <w:lang w:val="es-ES" w:eastAsia="x-none"/>
        </w:rPr>
        <w:t>a.</w:t>
      </w:r>
      <w:r w:rsidRPr="00CE152D">
        <w:rPr>
          <w:rFonts w:ascii="Arial" w:hAnsi="Arial"/>
          <w:sz w:val="22"/>
          <w:szCs w:val="22"/>
          <w:lang w:val="es-ES" w:eastAsia="x-none"/>
        </w:rPr>
        <w:tab/>
        <w:t>los contratos de construcción que se suscriban con las entidades e instituciones que expresamente señala el inciso segundo del artículo 21 del Decreto Ley N° 910, de 1975;</w:t>
      </w:r>
    </w:p>
    <w:p w:rsidR="00CE152D" w:rsidRP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r w:rsidRPr="00CE152D">
        <w:rPr>
          <w:rFonts w:ascii="Arial" w:hAnsi="Arial"/>
          <w:sz w:val="22"/>
          <w:szCs w:val="22"/>
          <w:lang w:val="es-ES" w:eastAsia="x-none"/>
        </w:rPr>
        <w:t>b.</w:t>
      </w:r>
      <w:r w:rsidRPr="00CE152D">
        <w:rPr>
          <w:rFonts w:ascii="Arial" w:hAnsi="Arial"/>
          <w:sz w:val="22"/>
          <w:szCs w:val="22"/>
          <w:lang w:val="es-ES" w:eastAsia="x-none"/>
        </w:rPr>
        <w:tab/>
        <w:t>los contratos de ampliación, modificación, reparación, mantenimiento o de urbanización, respecto de las viviendas sociales señaladas en el inciso cuarto del Decreto Ley N° 910, de 1975;</w:t>
      </w:r>
    </w:p>
    <w:p w:rsidR="00CE152D" w:rsidRP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r w:rsidRPr="00CE152D">
        <w:rPr>
          <w:rFonts w:ascii="Arial" w:hAnsi="Arial"/>
          <w:sz w:val="22"/>
          <w:szCs w:val="22"/>
          <w:lang w:val="es-ES" w:eastAsia="x-none"/>
        </w:rPr>
        <w:t>c.</w:t>
      </w:r>
      <w:r w:rsidRPr="00CE152D">
        <w:rPr>
          <w:rFonts w:ascii="Arial" w:hAnsi="Arial"/>
          <w:sz w:val="22"/>
          <w:szCs w:val="22"/>
          <w:lang w:val="es-ES" w:eastAsia="x-none"/>
        </w:rPr>
        <w:tab/>
        <w:t xml:space="preserve">las adjudicaciones que recaigan sobre bienes corporales inmuebles para habitación, que hagan los socios, comuneros o cooperados indicados en el inciso quinto del señalado Decreto Ley N° 910, de 1975. </w:t>
      </w:r>
    </w:p>
    <w:p w:rsidR="00CE152D" w:rsidRDefault="00CE152D" w:rsidP="00CE152D">
      <w:pPr>
        <w:widowControl w:val="0"/>
        <w:autoSpaceDE w:val="0"/>
        <w:autoSpaceDN w:val="0"/>
        <w:adjustRightInd w:val="0"/>
        <w:spacing w:before="119" w:line="276" w:lineRule="auto"/>
        <w:ind w:right="-234" w:firstLine="1701"/>
        <w:jc w:val="both"/>
        <w:rPr>
          <w:rFonts w:ascii="Arial" w:hAnsi="Arial"/>
          <w:sz w:val="22"/>
          <w:szCs w:val="22"/>
          <w:lang w:val="es-ES" w:eastAsia="x-none"/>
        </w:rPr>
      </w:pPr>
      <w:r w:rsidRPr="00CE152D">
        <w:rPr>
          <w:rFonts w:ascii="Arial" w:hAnsi="Arial"/>
          <w:sz w:val="22"/>
          <w:szCs w:val="22"/>
          <w:lang w:val="es-ES" w:eastAsia="x-none"/>
        </w:rPr>
        <w:t xml:space="preserve">Lo anterior, en la medida que los contratos o adjudicaciones sean celebrados </w:t>
      </w:r>
      <w:r w:rsidR="00860F7A">
        <w:rPr>
          <w:rFonts w:ascii="Arial" w:hAnsi="Arial"/>
          <w:sz w:val="22"/>
          <w:szCs w:val="22"/>
          <w:lang w:val="es-ES" w:eastAsia="x-none"/>
        </w:rPr>
        <w:t>a contar de</w:t>
      </w:r>
      <w:r w:rsidRPr="00CE152D">
        <w:rPr>
          <w:rFonts w:ascii="Arial" w:hAnsi="Arial"/>
          <w:sz w:val="22"/>
          <w:szCs w:val="22"/>
          <w:lang w:val="es-ES" w:eastAsia="x-none"/>
        </w:rPr>
        <w:t>l 1 de enero del año 2023 y que hayan obtenido el respectivo permiso municipal de edificación y/o las obras se hayan iniciado, según corresponda, antes del 1 de enero del año 2025.</w:t>
      </w:r>
    </w:p>
    <w:p w:rsidR="00E93EBB" w:rsidRDefault="00E93EBB" w:rsidP="00E93EBB">
      <w:pPr>
        <w:widowControl w:val="0"/>
        <w:autoSpaceDE w:val="0"/>
        <w:autoSpaceDN w:val="0"/>
        <w:adjustRightInd w:val="0"/>
        <w:spacing w:before="119" w:line="276" w:lineRule="auto"/>
        <w:ind w:right="-234"/>
        <w:jc w:val="both"/>
        <w:rPr>
          <w:rFonts w:ascii="Arial" w:hAnsi="Arial"/>
          <w:sz w:val="22"/>
          <w:szCs w:val="22"/>
          <w:lang w:val="es-ES" w:eastAsia="x-none"/>
        </w:rPr>
      </w:pPr>
    </w:p>
    <w:p w:rsidR="00E93EBB" w:rsidRPr="00E93EBB" w:rsidRDefault="00E93EBB" w:rsidP="00E93EBB">
      <w:pPr>
        <w:widowControl w:val="0"/>
        <w:autoSpaceDE w:val="0"/>
        <w:autoSpaceDN w:val="0"/>
        <w:adjustRightInd w:val="0"/>
        <w:spacing w:before="119" w:line="276" w:lineRule="auto"/>
        <w:ind w:right="-234"/>
        <w:jc w:val="both"/>
        <w:rPr>
          <w:rFonts w:ascii="Arial" w:hAnsi="Arial"/>
          <w:b/>
          <w:sz w:val="22"/>
          <w:szCs w:val="22"/>
          <w:lang w:val="es-ES" w:eastAsia="x-none"/>
        </w:rPr>
      </w:pPr>
      <w:r w:rsidRPr="00E93EBB">
        <w:rPr>
          <w:rFonts w:ascii="Arial" w:hAnsi="Arial"/>
          <w:b/>
          <w:sz w:val="22"/>
          <w:szCs w:val="22"/>
          <w:lang w:val="es-ES" w:eastAsia="x-none"/>
        </w:rPr>
        <w:t>III.-DOCUMENTO ELABORADO POR LA BIBLIOTECA DEL CONGRESO NACIONAL</w:t>
      </w:r>
      <w:r>
        <w:rPr>
          <w:rStyle w:val="Refdenotaalpie"/>
          <w:rFonts w:ascii="Arial" w:hAnsi="Arial"/>
          <w:b/>
          <w:sz w:val="22"/>
          <w:szCs w:val="22"/>
          <w:lang w:val="es-ES" w:eastAsia="x-none"/>
        </w:rPr>
        <w:footnoteReference w:id="1"/>
      </w:r>
    </w:p>
    <w:p w:rsidR="000C5361" w:rsidRDefault="000C5361" w:rsidP="0022713D">
      <w:pPr>
        <w:widowControl w:val="0"/>
        <w:autoSpaceDE w:val="0"/>
        <w:autoSpaceDN w:val="0"/>
        <w:adjustRightInd w:val="0"/>
        <w:spacing w:before="119" w:line="276" w:lineRule="auto"/>
        <w:ind w:right="-234" w:firstLine="1701"/>
        <w:jc w:val="both"/>
        <w:rPr>
          <w:rFonts w:ascii="Arial" w:hAnsi="Arial"/>
          <w:b/>
          <w:sz w:val="22"/>
          <w:szCs w:val="22"/>
          <w:lang w:val="es-ES" w:eastAsia="x-none"/>
        </w:rPr>
      </w:pPr>
    </w:p>
    <w:p w:rsidR="00E93EBB" w:rsidRPr="00B46917" w:rsidRDefault="0022713D" w:rsidP="00B46917">
      <w:pPr>
        <w:widowControl w:val="0"/>
        <w:autoSpaceDE w:val="0"/>
        <w:autoSpaceDN w:val="0"/>
        <w:adjustRightInd w:val="0"/>
        <w:spacing w:before="119" w:line="276" w:lineRule="auto"/>
        <w:ind w:right="-234"/>
        <w:jc w:val="center"/>
        <w:rPr>
          <w:rFonts w:ascii="Arial" w:hAnsi="Arial"/>
          <w:sz w:val="22"/>
          <w:szCs w:val="22"/>
          <w:u w:val="single"/>
          <w:lang w:val="es-ES" w:eastAsia="x-none"/>
        </w:rPr>
      </w:pPr>
      <w:r w:rsidRPr="00B46917">
        <w:rPr>
          <w:rFonts w:ascii="Arial" w:hAnsi="Arial"/>
          <w:sz w:val="22"/>
          <w:szCs w:val="22"/>
          <w:u w:val="single"/>
          <w:lang w:val="es-ES" w:eastAsia="x-none"/>
        </w:rPr>
        <w:t>GASTO TRIBUTARIO ASOCIADO AL CRÉDITO ESPECIAL PARA LA CONSTRUCCIÓN DE VIVIENDAS, 2004-2022</w:t>
      </w:r>
    </w:p>
    <w:p w:rsidR="00F030DA" w:rsidRPr="00A9672C" w:rsidRDefault="00F030DA"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0C5361" w:rsidRPr="000C5361" w:rsidRDefault="000C5361" w:rsidP="000C5361">
      <w:pPr>
        <w:pStyle w:val="Ttulo1"/>
        <w:spacing w:line="276" w:lineRule="auto"/>
        <w:ind w:right="-142" w:firstLine="1701"/>
        <w:jc w:val="both"/>
        <w:rPr>
          <w:rFonts w:ascii="Arial" w:hAnsi="Arial"/>
          <w:b/>
          <w:spacing w:val="0"/>
          <w:sz w:val="22"/>
          <w:szCs w:val="22"/>
          <w:lang w:val="es-ES" w:eastAsia="x-none"/>
        </w:rPr>
      </w:pPr>
      <w:r w:rsidRPr="000C5361">
        <w:rPr>
          <w:rFonts w:ascii="Arial" w:hAnsi="Arial" w:cs="Arial"/>
          <w:b/>
          <w:sz w:val="22"/>
          <w:szCs w:val="22"/>
        </w:rPr>
        <w:t>I</w:t>
      </w:r>
      <w:r w:rsidRPr="000C5361">
        <w:rPr>
          <w:rFonts w:ascii="Arial" w:hAnsi="Arial"/>
          <w:spacing w:val="0"/>
          <w:sz w:val="22"/>
          <w:szCs w:val="22"/>
          <w:lang w:val="es-ES" w:eastAsia="x-none"/>
        </w:rPr>
        <w:t xml:space="preserve">.- </w:t>
      </w:r>
      <w:r w:rsidRPr="000C5361">
        <w:rPr>
          <w:rFonts w:ascii="Arial" w:hAnsi="Arial"/>
          <w:b/>
          <w:spacing w:val="0"/>
          <w:sz w:val="22"/>
          <w:szCs w:val="22"/>
          <w:lang w:val="es-ES" w:eastAsia="x-none"/>
        </w:rPr>
        <w:t>Gasto tributario</w:t>
      </w:r>
    </w:p>
    <w:p w:rsidR="000C5361" w:rsidRPr="000C5361" w:rsidRDefault="000C5361" w:rsidP="000C5361">
      <w:pPr>
        <w:spacing w:line="276" w:lineRule="auto"/>
        <w:ind w:right="-142" w:firstLine="1701"/>
        <w:jc w:val="both"/>
        <w:rPr>
          <w:rFonts w:ascii="Arial" w:hAnsi="Arial"/>
          <w:sz w:val="22"/>
          <w:szCs w:val="22"/>
          <w:lang w:val="es-ES" w:eastAsia="x-none"/>
        </w:rPr>
      </w:pPr>
      <w:r w:rsidRPr="000C5361">
        <w:rPr>
          <w:rFonts w:ascii="Arial" w:hAnsi="Arial"/>
          <w:sz w:val="22"/>
          <w:szCs w:val="22"/>
          <w:lang w:val="es-ES" w:eastAsia="x-none"/>
        </w:rPr>
        <w:t xml:space="preserve">Se entiende por gasto tributario aquella parte de los ingresos que el Estado deja de percibir al entregar un tratamiento impositivo diferente al que establece habitualmente la legislación tributaria.  El objetivo de este mecanismo es entregar beneficios que tiendan a promover o alentar determinados sectores, ramas, regiones o simplemente grupo de contribuyentes. En la práctica esto se traduce, por ejemplo, en exenciones o rebajas tributarias, entre otros mecanismos. </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spacing w:line="276" w:lineRule="auto"/>
        <w:ind w:right="-142" w:firstLine="1701"/>
        <w:jc w:val="both"/>
        <w:rPr>
          <w:rFonts w:ascii="Arial" w:hAnsi="Arial"/>
          <w:sz w:val="22"/>
          <w:szCs w:val="22"/>
          <w:lang w:val="es-ES" w:eastAsia="x-none"/>
        </w:rPr>
      </w:pPr>
      <w:r w:rsidRPr="000C5361">
        <w:rPr>
          <w:rFonts w:ascii="Arial" w:hAnsi="Arial"/>
          <w:sz w:val="22"/>
          <w:szCs w:val="22"/>
          <w:lang w:val="es-ES" w:eastAsia="x-none"/>
        </w:rPr>
        <w:t>Por su parte la Constitución Política de Chile (ver BCN, 2018.a) estable</w:t>
      </w:r>
      <w:r>
        <w:rPr>
          <w:rFonts w:ascii="Arial" w:hAnsi="Arial"/>
          <w:sz w:val="22"/>
          <w:szCs w:val="22"/>
          <w:lang w:val="es-ES" w:eastAsia="x-none"/>
        </w:rPr>
        <w:t>ce</w:t>
      </w:r>
      <w:r w:rsidRPr="000C5361">
        <w:rPr>
          <w:rFonts w:ascii="Arial" w:hAnsi="Arial"/>
          <w:sz w:val="22"/>
          <w:szCs w:val="22"/>
          <w:lang w:val="es-ES" w:eastAsia="x-none"/>
        </w:rPr>
        <w:t xml:space="preserve"> en su artículo 19, numeral 22, que anualmente en la Ley de Presupuestos se consignen los beneficios fiscales que afectan al Estado conforme a lo siguiente: </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spacing w:line="276" w:lineRule="auto"/>
        <w:ind w:right="-142" w:firstLine="1701"/>
        <w:jc w:val="both"/>
        <w:rPr>
          <w:rFonts w:ascii="Arial" w:hAnsi="Arial"/>
          <w:sz w:val="22"/>
          <w:szCs w:val="22"/>
          <w:lang w:val="es-ES" w:eastAsia="x-none"/>
        </w:rPr>
      </w:pPr>
      <w:r w:rsidRPr="000C5361">
        <w:rPr>
          <w:rFonts w:ascii="Arial" w:hAnsi="Arial"/>
          <w:sz w:val="22"/>
          <w:szCs w:val="22"/>
          <w:lang w:val="es-ES" w:eastAsia="x-none"/>
        </w:rPr>
        <w:t>“La no discriminación arbitraria en el trato que deben dar el Estado y sus organismos en materia económica.</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spacing w:line="276" w:lineRule="auto"/>
        <w:ind w:right="-142" w:firstLine="1701"/>
        <w:jc w:val="both"/>
        <w:rPr>
          <w:rFonts w:ascii="Arial" w:hAnsi="Arial"/>
          <w:sz w:val="22"/>
          <w:szCs w:val="22"/>
          <w:lang w:val="es-ES" w:eastAsia="x-none"/>
        </w:rPr>
      </w:pPr>
      <w:r w:rsidRPr="000C5361">
        <w:rPr>
          <w:rFonts w:ascii="Arial" w:hAnsi="Arial"/>
          <w:sz w:val="22"/>
          <w:szCs w:val="22"/>
          <w:lang w:val="es-ES" w:eastAsia="x-none"/>
        </w:rPr>
        <w:t>Sólo en virtud de una ley, y siempre que no signifique tal discriminación, se podrán autorizar determinados beneficios directos o indirectos en favor de algún sector, actividad o zona geográfica, o establecer gravámenes especiales que afecten a uno u otras. En el caso de las franquicias o beneficios indirectos, la estimación del costo de éstos deberá incluirse anualmente en la Ley de Presupuestos.”</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spacing w:line="276" w:lineRule="auto"/>
        <w:ind w:right="-142" w:firstLine="1701"/>
        <w:jc w:val="both"/>
        <w:rPr>
          <w:rFonts w:ascii="Arial" w:hAnsi="Arial"/>
          <w:sz w:val="22"/>
          <w:szCs w:val="22"/>
          <w:lang w:val="es-ES" w:eastAsia="x-none"/>
        </w:rPr>
      </w:pPr>
      <w:r w:rsidRPr="000C5361">
        <w:rPr>
          <w:rFonts w:ascii="Arial" w:hAnsi="Arial"/>
          <w:sz w:val="22"/>
          <w:szCs w:val="22"/>
          <w:lang w:val="es-ES" w:eastAsia="x-none"/>
        </w:rPr>
        <w:t>Cumpliendo con este requerimiento, el Servicio de Impuestos Internos, SII, anualmente es el encargado de realizar las estimaciones de los gastos tributarios, ajustándose a las recomendaciones solicitadas tanto por la OCDE como por el FMI.</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spacing w:line="276" w:lineRule="auto"/>
        <w:ind w:right="-142" w:firstLine="1701"/>
        <w:jc w:val="both"/>
        <w:rPr>
          <w:rFonts w:ascii="Arial" w:hAnsi="Arial"/>
          <w:sz w:val="22"/>
          <w:szCs w:val="22"/>
          <w:lang w:val="es-ES" w:eastAsia="x-none"/>
        </w:rPr>
      </w:pPr>
      <w:r w:rsidRPr="000C5361">
        <w:rPr>
          <w:rFonts w:ascii="Arial" w:hAnsi="Arial"/>
          <w:sz w:val="22"/>
          <w:szCs w:val="22"/>
          <w:lang w:val="es-ES" w:eastAsia="x-none"/>
        </w:rPr>
        <w:t>De acuerdo al Informe de Finanzas Públicas (</w:t>
      </w:r>
      <w:proofErr w:type="spellStart"/>
      <w:r w:rsidRPr="000C5361">
        <w:rPr>
          <w:rFonts w:ascii="Arial" w:hAnsi="Arial"/>
          <w:sz w:val="22"/>
          <w:szCs w:val="22"/>
          <w:lang w:val="es-ES" w:eastAsia="x-none"/>
        </w:rPr>
        <w:t>Dipres</w:t>
      </w:r>
      <w:proofErr w:type="spellEnd"/>
      <w:r w:rsidRPr="000C5361">
        <w:rPr>
          <w:rFonts w:ascii="Arial" w:hAnsi="Arial"/>
          <w:sz w:val="22"/>
          <w:szCs w:val="22"/>
          <w:lang w:val="es-ES" w:eastAsia="x-none"/>
        </w:rPr>
        <w:t xml:space="preserve">, 2009) las principales fuentes de información para realizar las proyecciones del gasto tributario son las declaraciones de rentas de los años tributarios anteriores, declaraciones juradas, declaraciones de IVA anualizados, informes fiscales de la Tesorería General de la República, Informes financieros de proyectos de ley elaborados por la Dirección de Presupuestos y Cuentas Nacionales del Banco Central de Chile. </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spacing w:line="276" w:lineRule="auto"/>
        <w:ind w:right="-142" w:firstLine="1701"/>
        <w:jc w:val="both"/>
        <w:rPr>
          <w:rFonts w:ascii="Arial" w:hAnsi="Arial"/>
          <w:sz w:val="22"/>
          <w:szCs w:val="22"/>
          <w:lang w:val="es-ES" w:eastAsia="x-none"/>
        </w:rPr>
      </w:pPr>
      <w:r w:rsidRPr="000C5361">
        <w:rPr>
          <w:rFonts w:ascii="Arial" w:hAnsi="Arial"/>
          <w:sz w:val="22"/>
          <w:szCs w:val="22"/>
          <w:lang w:val="es-ES" w:eastAsia="x-none"/>
        </w:rPr>
        <w:t>Cumpliendo con este requerimiento, el Servicio de Impuestos Internos, SII, anualmente es el encargado de realizar las estimaciones de los gastos tributarios, ajustándose a las recomendaciones solicitadas tanto por la OCDE como por el FMI.</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pStyle w:val="Ttulo1"/>
        <w:spacing w:line="276" w:lineRule="auto"/>
        <w:ind w:right="-142" w:firstLine="1701"/>
        <w:jc w:val="both"/>
        <w:rPr>
          <w:rFonts w:ascii="Arial" w:hAnsi="Arial"/>
          <w:b/>
          <w:spacing w:val="0"/>
          <w:sz w:val="22"/>
          <w:szCs w:val="22"/>
          <w:lang w:val="es-ES" w:eastAsia="x-none"/>
        </w:rPr>
      </w:pPr>
      <w:r w:rsidRPr="000C5361">
        <w:rPr>
          <w:rFonts w:ascii="Arial" w:hAnsi="Arial"/>
          <w:b/>
          <w:spacing w:val="0"/>
          <w:sz w:val="22"/>
          <w:szCs w:val="22"/>
          <w:lang w:val="es-ES" w:eastAsia="x-none"/>
        </w:rPr>
        <w:t>II</w:t>
      </w:r>
      <w:r w:rsidRPr="000C5361">
        <w:rPr>
          <w:rFonts w:ascii="Arial" w:hAnsi="Arial"/>
          <w:spacing w:val="0"/>
          <w:sz w:val="22"/>
          <w:szCs w:val="22"/>
          <w:lang w:val="es-ES" w:eastAsia="x-none"/>
        </w:rPr>
        <w:t xml:space="preserve">.- </w:t>
      </w:r>
      <w:r w:rsidRPr="000C5361">
        <w:rPr>
          <w:rFonts w:ascii="Arial" w:hAnsi="Arial"/>
          <w:b/>
          <w:spacing w:val="0"/>
          <w:sz w:val="22"/>
          <w:szCs w:val="22"/>
          <w:lang w:val="es-ES" w:eastAsia="x-none"/>
        </w:rPr>
        <w:t>Crédito especial IVA para Empresas Constructoras</w:t>
      </w:r>
    </w:p>
    <w:p w:rsidR="000C5361" w:rsidRPr="000C5361" w:rsidRDefault="000C5361" w:rsidP="000C5361">
      <w:pPr>
        <w:spacing w:line="276" w:lineRule="auto"/>
        <w:ind w:right="-142" w:firstLine="1701"/>
        <w:jc w:val="both"/>
        <w:rPr>
          <w:rFonts w:ascii="Arial" w:hAnsi="Arial"/>
          <w:sz w:val="22"/>
          <w:szCs w:val="22"/>
          <w:lang w:val="es-ES" w:eastAsia="x-none"/>
        </w:rPr>
      </w:pPr>
    </w:p>
    <w:p w:rsidR="000C5361" w:rsidRPr="000C5361" w:rsidRDefault="000C5361" w:rsidP="000C5361">
      <w:pPr>
        <w:spacing w:line="276" w:lineRule="auto"/>
        <w:ind w:right="-142" w:firstLine="1701"/>
        <w:jc w:val="both"/>
        <w:rPr>
          <w:rFonts w:ascii="Arial" w:hAnsi="Arial" w:cs="Arial"/>
          <w:sz w:val="22"/>
          <w:szCs w:val="22"/>
        </w:rPr>
      </w:pPr>
      <w:r w:rsidRPr="000C5361">
        <w:rPr>
          <w:rFonts w:ascii="Arial" w:hAnsi="Arial" w:cs="Arial"/>
          <w:sz w:val="22"/>
          <w:szCs w:val="22"/>
        </w:rPr>
        <w:t>El artículo 21 del D.L. Nº 910 de 1975 establece que las empresas constructoras tendrán derecho a deducir del monto de sus pagos provisionales mensuales obligatorios de la Ley sobre Impuesto a la Renta el 65% del Débito Fiscal IVA originado en la venta de bienes corporales inmuebles para habitación construidos por ellas cuyo valor no exceda de 2.000 Unidades de Fomento (UF)</w:t>
      </w:r>
      <w:r w:rsidRPr="000C5361">
        <w:rPr>
          <w:rStyle w:val="Refdenotaalpie"/>
          <w:rFonts w:ascii="Arial" w:hAnsi="Arial" w:cs="Arial"/>
          <w:sz w:val="22"/>
          <w:szCs w:val="22"/>
        </w:rPr>
        <w:footnoteReference w:id="2"/>
      </w:r>
      <w:r w:rsidRPr="000C5361">
        <w:rPr>
          <w:rFonts w:ascii="Arial" w:hAnsi="Arial" w:cs="Arial"/>
          <w:sz w:val="22"/>
          <w:szCs w:val="22"/>
        </w:rPr>
        <w:t>, con tope de hasta 225 UF por vivienda, y en los contratos generales de construcción, con igual tope por vivienda, que no sean por administración de dichos inmuebles (ver BCN, 2018.b).</w:t>
      </w:r>
    </w:p>
    <w:p w:rsidR="000C5361" w:rsidRPr="000C5361" w:rsidRDefault="000C5361" w:rsidP="000C5361">
      <w:pPr>
        <w:spacing w:line="276" w:lineRule="auto"/>
        <w:ind w:right="-142" w:firstLine="1701"/>
        <w:jc w:val="both"/>
        <w:rPr>
          <w:rFonts w:ascii="Arial" w:hAnsi="Arial" w:cs="Arial"/>
          <w:sz w:val="22"/>
          <w:szCs w:val="22"/>
        </w:rPr>
      </w:pPr>
    </w:p>
    <w:p w:rsidR="000C5361" w:rsidRPr="000C5361" w:rsidRDefault="000C5361" w:rsidP="000C5361">
      <w:pPr>
        <w:spacing w:line="276" w:lineRule="auto"/>
        <w:ind w:right="-142" w:firstLine="1701"/>
        <w:jc w:val="both"/>
        <w:rPr>
          <w:rFonts w:ascii="Arial" w:hAnsi="Arial" w:cs="Arial"/>
          <w:sz w:val="22"/>
          <w:szCs w:val="22"/>
        </w:rPr>
      </w:pPr>
      <w:r w:rsidRPr="000C5361">
        <w:rPr>
          <w:rFonts w:ascii="Arial" w:hAnsi="Arial" w:cs="Arial"/>
          <w:sz w:val="22"/>
          <w:szCs w:val="22"/>
        </w:rPr>
        <w:t>De acuerdo al informe “</w:t>
      </w:r>
      <w:r w:rsidRPr="00B46917">
        <w:rPr>
          <w:rFonts w:ascii="Arial" w:hAnsi="Arial" w:cs="Arial"/>
          <w:sz w:val="22"/>
          <w:szCs w:val="22"/>
        </w:rPr>
        <w:t>Reforma Tributaria 2014: IVA a la Construcción</w:t>
      </w:r>
      <w:r w:rsidRPr="000C5361">
        <w:rPr>
          <w:rFonts w:ascii="Arial" w:hAnsi="Arial" w:cs="Arial"/>
          <w:sz w:val="22"/>
          <w:szCs w:val="22"/>
        </w:rPr>
        <w:t>” elaborado por profesionales de la Biblioteca del Congreso Nacional, se señala que en “</w:t>
      </w:r>
      <w:r w:rsidRPr="00B46917">
        <w:rPr>
          <w:rFonts w:ascii="Arial" w:hAnsi="Arial" w:cs="Arial"/>
          <w:sz w:val="22"/>
          <w:szCs w:val="22"/>
        </w:rPr>
        <w:t>términos simples, las empresas constructoras pueden descontar en los casos señalados, el 65% del Débito Fiscal IVA generado en sus operaciones gravadas con dicho impuesto, pagando entonces solo el 65% del 19%, lo que es lo mismo, el 35% del IVA</w:t>
      </w:r>
      <w:r w:rsidRPr="000C5361">
        <w:rPr>
          <w:rFonts w:ascii="Arial" w:hAnsi="Arial" w:cs="Arial"/>
          <w:sz w:val="22"/>
          <w:szCs w:val="22"/>
        </w:rPr>
        <w:t xml:space="preserve">” (ver BCN, 2018.c). Según el mismo autor la finalidad del Crédito Especial IVA a la construcción es evitar el encarecimiento del precio de los contratos generales de construcción destinados a la habitación. </w:t>
      </w:r>
    </w:p>
    <w:p w:rsidR="000C5361" w:rsidRPr="000C5361" w:rsidRDefault="000C5361" w:rsidP="000C5361">
      <w:pPr>
        <w:spacing w:line="276" w:lineRule="auto"/>
        <w:ind w:right="-142" w:firstLine="1701"/>
        <w:jc w:val="both"/>
        <w:rPr>
          <w:rFonts w:ascii="Arial" w:hAnsi="Arial" w:cs="Arial"/>
          <w:sz w:val="22"/>
          <w:szCs w:val="22"/>
        </w:rPr>
      </w:pPr>
    </w:p>
    <w:p w:rsidR="000C5361" w:rsidRPr="00B46917" w:rsidRDefault="000C5361" w:rsidP="000C5361">
      <w:pPr>
        <w:pStyle w:val="Ttulo1"/>
        <w:spacing w:line="276" w:lineRule="auto"/>
        <w:ind w:right="-142" w:firstLine="1701"/>
        <w:jc w:val="both"/>
        <w:rPr>
          <w:rFonts w:ascii="Arial" w:hAnsi="Arial" w:cs="Arial"/>
          <w:b/>
          <w:spacing w:val="0"/>
          <w:sz w:val="22"/>
          <w:szCs w:val="22"/>
        </w:rPr>
      </w:pPr>
      <w:r w:rsidRPr="00B46917">
        <w:rPr>
          <w:rFonts w:ascii="Arial" w:hAnsi="Arial" w:cs="Arial"/>
          <w:b/>
          <w:spacing w:val="0"/>
          <w:sz w:val="22"/>
          <w:szCs w:val="22"/>
        </w:rPr>
        <w:t>III.- Proyecciones del gasto tributario crédito especial para la construcción de viviendas</w:t>
      </w:r>
    </w:p>
    <w:p w:rsidR="000C5361" w:rsidRPr="000C5361" w:rsidRDefault="000C5361" w:rsidP="000C5361">
      <w:pPr>
        <w:spacing w:line="276" w:lineRule="auto"/>
        <w:ind w:right="-142" w:firstLine="1701"/>
        <w:jc w:val="both"/>
        <w:rPr>
          <w:rFonts w:ascii="Arial" w:hAnsi="Arial" w:cs="Arial"/>
          <w:sz w:val="22"/>
          <w:szCs w:val="22"/>
        </w:rPr>
      </w:pPr>
    </w:p>
    <w:p w:rsidR="000C5361" w:rsidRPr="000C5361" w:rsidRDefault="000C5361" w:rsidP="000C5361">
      <w:pPr>
        <w:spacing w:line="276" w:lineRule="auto"/>
        <w:ind w:right="-142" w:firstLine="1701"/>
        <w:jc w:val="both"/>
        <w:rPr>
          <w:rFonts w:ascii="Arial" w:hAnsi="Arial" w:cs="Arial"/>
          <w:sz w:val="22"/>
          <w:szCs w:val="22"/>
        </w:rPr>
      </w:pPr>
      <w:r w:rsidRPr="000C5361">
        <w:rPr>
          <w:rFonts w:ascii="Arial" w:hAnsi="Arial" w:cs="Arial"/>
          <w:sz w:val="22"/>
          <w:szCs w:val="22"/>
        </w:rPr>
        <w:t>La Tabla 1 muestra la evolución en las proyecciones del gasto tributario del crédito especial para la construcción de viviendas entre los años 2004 y 2022. Para este efecto se utilizan los informes de Finanzas Públicas elaborados por la Dirección de Presupuestos que acompañan al Proyecto de Ley de Presupuestos de cada año (para el año 2021 no se encontró información). Las cifras se detallan en la Tabla 1 de acuerdo a los siguientes conceptos:</w:t>
      </w:r>
    </w:p>
    <w:p w:rsidR="000C5361" w:rsidRPr="000C5361" w:rsidRDefault="000C5361" w:rsidP="000C5361">
      <w:pPr>
        <w:spacing w:line="276" w:lineRule="auto"/>
        <w:ind w:right="-142" w:firstLine="1701"/>
        <w:jc w:val="both"/>
        <w:rPr>
          <w:rFonts w:ascii="Arial" w:hAnsi="Arial" w:cs="Arial"/>
          <w:sz w:val="22"/>
          <w:szCs w:val="22"/>
        </w:rPr>
      </w:pPr>
    </w:p>
    <w:p w:rsidR="000C5361" w:rsidRPr="000C5361" w:rsidRDefault="000C5361" w:rsidP="000C5361">
      <w:pPr>
        <w:pStyle w:val="Prrafodelista"/>
        <w:numPr>
          <w:ilvl w:val="0"/>
          <w:numId w:val="23"/>
        </w:numPr>
        <w:spacing w:line="276" w:lineRule="auto"/>
        <w:ind w:right="-142" w:firstLine="1701"/>
        <w:contextualSpacing/>
        <w:jc w:val="both"/>
        <w:rPr>
          <w:rFonts w:ascii="Arial" w:hAnsi="Arial" w:cs="Arial"/>
          <w:sz w:val="22"/>
          <w:szCs w:val="22"/>
        </w:rPr>
      </w:pPr>
      <w:r w:rsidRPr="000C5361">
        <w:rPr>
          <w:rFonts w:ascii="Arial" w:hAnsi="Arial" w:cs="Arial"/>
          <w:sz w:val="22"/>
          <w:szCs w:val="22"/>
        </w:rPr>
        <w:t xml:space="preserve">La columna (a) expresa los valores en millones de pesos nominales de cada año. </w:t>
      </w:r>
    </w:p>
    <w:p w:rsidR="000C5361" w:rsidRPr="000C5361" w:rsidRDefault="000C5361" w:rsidP="000C5361">
      <w:pPr>
        <w:pStyle w:val="Prrafodelista"/>
        <w:numPr>
          <w:ilvl w:val="0"/>
          <w:numId w:val="23"/>
        </w:numPr>
        <w:spacing w:line="276" w:lineRule="auto"/>
        <w:ind w:right="-142" w:firstLine="1701"/>
        <w:contextualSpacing/>
        <w:jc w:val="both"/>
        <w:rPr>
          <w:rFonts w:ascii="Arial" w:hAnsi="Arial" w:cs="Arial"/>
          <w:sz w:val="22"/>
          <w:szCs w:val="22"/>
        </w:rPr>
      </w:pPr>
      <w:r w:rsidRPr="000C5361">
        <w:rPr>
          <w:rFonts w:ascii="Arial" w:hAnsi="Arial" w:cs="Arial"/>
          <w:sz w:val="22"/>
          <w:szCs w:val="22"/>
        </w:rPr>
        <w:t>La columna (b) entrega las cifras en millones de dólares nominales de cada año.</w:t>
      </w:r>
    </w:p>
    <w:p w:rsidR="000C5361" w:rsidRPr="000C5361" w:rsidRDefault="000C5361" w:rsidP="000C5361">
      <w:pPr>
        <w:pStyle w:val="Prrafodelista"/>
        <w:numPr>
          <w:ilvl w:val="0"/>
          <w:numId w:val="23"/>
        </w:numPr>
        <w:spacing w:line="276" w:lineRule="auto"/>
        <w:ind w:right="-142" w:firstLine="1701"/>
        <w:contextualSpacing/>
        <w:jc w:val="both"/>
        <w:rPr>
          <w:rFonts w:ascii="Arial" w:hAnsi="Arial" w:cs="Arial"/>
          <w:sz w:val="22"/>
          <w:szCs w:val="22"/>
        </w:rPr>
      </w:pPr>
      <w:r w:rsidRPr="000C5361">
        <w:rPr>
          <w:rFonts w:ascii="Arial" w:hAnsi="Arial" w:cs="Arial"/>
          <w:sz w:val="22"/>
          <w:szCs w:val="22"/>
        </w:rPr>
        <w:t>La columna (c) muestra las cifras como porcentaje del PIB</w:t>
      </w:r>
    </w:p>
    <w:p w:rsidR="000C5361" w:rsidRDefault="000C5361" w:rsidP="000C5361">
      <w:pPr>
        <w:pStyle w:val="Prrafodelista"/>
        <w:numPr>
          <w:ilvl w:val="0"/>
          <w:numId w:val="23"/>
        </w:numPr>
        <w:spacing w:line="276" w:lineRule="auto"/>
        <w:ind w:right="-142" w:firstLine="1701"/>
        <w:contextualSpacing/>
        <w:jc w:val="both"/>
      </w:pPr>
      <w:r w:rsidRPr="000C5361">
        <w:rPr>
          <w:rFonts w:ascii="Arial" w:hAnsi="Arial" w:cs="Arial"/>
          <w:sz w:val="22"/>
          <w:szCs w:val="22"/>
        </w:rPr>
        <w:t>La columna (d) entrega el gasto tributario del IVA crédito en millones de pesos reales a marzo de 2022, y por tanto las cifras resultan comparables entre años</w:t>
      </w:r>
      <w:r w:rsidRPr="00F94058">
        <w:t xml:space="preserve">. </w:t>
      </w:r>
    </w:p>
    <w:p w:rsidR="00B46917" w:rsidRPr="00F94058" w:rsidRDefault="00B46917" w:rsidP="00B46917">
      <w:pPr>
        <w:spacing w:line="276" w:lineRule="auto"/>
        <w:ind w:left="2421" w:right="-142"/>
        <w:contextualSpacing/>
        <w:jc w:val="both"/>
      </w:pPr>
    </w:p>
    <w:p w:rsidR="000C5361" w:rsidRDefault="000C5361" w:rsidP="000C5361"/>
    <w:p w:rsidR="000C5361" w:rsidRPr="006B7B31" w:rsidRDefault="000C5361" w:rsidP="000C5361">
      <w:pPr>
        <w:jc w:val="center"/>
      </w:pPr>
      <w:r w:rsidRPr="006B7B31">
        <w:rPr>
          <w:b/>
        </w:rPr>
        <w:t xml:space="preserve">Tabla </w:t>
      </w:r>
      <w:r>
        <w:rPr>
          <w:b/>
        </w:rPr>
        <w:t>1</w:t>
      </w:r>
      <w:r w:rsidRPr="006B7B31">
        <w:t xml:space="preserve">: Evolución </w:t>
      </w:r>
      <w:r>
        <w:t>del gasto tributario c</w:t>
      </w:r>
      <w:r w:rsidRPr="00F72E37">
        <w:t>rédito especial para la construcción de viviendas</w:t>
      </w:r>
      <w:r>
        <w:t>, 2004-2022</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6"/>
        <w:gridCol w:w="2161"/>
        <w:gridCol w:w="2162"/>
        <w:gridCol w:w="2162"/>
        <w:gridCol w:w="2162"/>
      </w:tblGrid>
      <w:tr w:rsidR="000C5361" w:rsidRPr="00017443" w:rsidTr="003C4C62">
        <w:trPr>
          <w:tblHeader/>
        </w:trPr>
        <w:tc>
          <w:tcPr>
            <w:tcW w:w="846" w:type="dxa"/>
            <w:shd w:val="clear" w:color="auto" w:fill="C00000"/>
            <w:vAlign w:val="center"/>
          </w:tcPr>
          <w:p w:rsidR="000C5361" w:rsidRPr="00044061" w:rsidRDefault="000C5361" w:rsidP="003C4C62">
            <w:pPr>
              <w:jc w:val="center"/>
              <w:rPr>
                <w:b/>
                <w:color w:val="FFFFFF" w:themeColor="background1"/>
                <w:sz w:val="18"/>
                <w:szCs w:val="18"/>
              </w:rPr>
            </w:pPr>
            <w:r w:rsidRPr="00044061">
              <w:rPr>
                <w:b/>
                <w:color w:val="FFFFFF" w:themeColor="background1"/>
                <w:sz w:val="18"/>
                <w:szCs w:val="18"/>
              </w:rPr>
              <w:t>Año</w:t>
            </w:r>
          </w:p>
        </w:tc>
        <w:tc>
          <w:tcPr>
            <w:tcW w:w="2161" w:type="dxa"/>
            <w:shd w:val="clear" w:color="auto" w:fill="C00000"/>
            <w:vAlign w:val="center"/>
          </w:tcPr>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IVA Crédito Millones de $ de cada año</w:t>
            </w:r>
          </w:p>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(a)</w:t>
            </w:r>
          </w:p>
        </w:tc>
        <w:tc>
          <w:tcPr>
            <w:tcW w:w="2162" w:type="dxa"/>
            <w:shd w:val="clear" w:color="auto" w:fill="C00000"/>
            <w:vAlign w:val="center"/>
          </w:tcPr>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IVA Crédito Millones de US$ cada año</w:t>
            </w:r>
          </w:p>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(b)</w:t>
            </w:r>
          </w:p>
        </w:tc>
        <w:tc>
          <w:tcPr>
            <w:tcW w:w="2162" w:type="dxa"/>
            <w:shd w:val="clear" w:color="auto" w:fill="C00000"/>
            <w:vAlign w:val="center"/>
          </w:tcPr>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 xml:space="preserve">% del PIB </w:t>
            </w:r>
          </w:p>
          <w:p w:rsidR="000C5361" w:rsidRPr="00044061" w:rsidRDefault="000C5361" w:rsidP="003C4C62">
            <w:pPr>
              <w:jc w:val="center"/>
              <w:rPr>
                <w:b/>
                <w:i/>
                <w:color w:val="FFFFFF" w:themeColor="background1"/>
                <w:sz w:val="18"/>
                <w:szCs w:val="18"/>
                <w:lang w:val="es-CL" w:eastAsia="es-CL"/>
              </w:rPr>
            </w:pPr>
          </w:p>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 xml:space="preserve">(c) </w:t>
            </w:r>
          </w:p>
        </w:tc>
        <w:tc>
          <w:tcPr>
            <w:tcW w:w="2162" w:type="dxa"/>
            <w:shd w:val="clear" w:color="auto" w:fill="C00000"/>
            <w:vAlign w:val="center"/>
          </w:tcPr>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IVA Crédito Millones de $ a marzo de 2022</w:t>
            </w:r>
          </w:p>
          <w:p w:rsidR="000C5361" w:rsidRPr="00044061" w:rsidRDefault="000C5361" w:rsidP="003C4C62">
            <w:pPr>
              <w:jc w:val="center"/>
              <w:rPr>
                <w:b/>
                <w:i/>
                <w:color w:val="FFFFFF" w:themeColor="background1"/>
                <w:sz w:val="18"/>
                <w:szCs w:val="18"/>
                <w:lang w:val="es-CL" w:eastAsia="es-CL"/>
              </w:rPr>
            </w:pPr>
            <w:r w:rsidRPr="00044061">
              <w:rPr>
                <w:b/>
                <w:i/>
                <w:color w:val="FFFFFF" w:themeColor="background1"/>
                <w:sz w:val="18"/>
                <w:szCs w:val="18"/>
                <w:lang w:val="es-CL" w:eastAsia="es-CL"/>
              </w:rPr>
              <w:t>(d)</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2004</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131.365</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199</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0,25%</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252.843</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2005</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177.272</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284</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0,30%</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333.190</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2006</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194.440</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319</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0,29%</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351.295</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2007</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248.538</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444</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0,32%</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437.856</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2008</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281.579</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531</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0,30%</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457.167</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2009</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330.724</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633</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0,31%</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511.208</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2010</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196.967</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377</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0,21%</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303.536</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2011</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204.139</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415</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0,18%</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304.355</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2012</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237.416</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503</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0,19%</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341.028</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2013</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524.709</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1</w:t>
            </w:r>
            <w:r>
              <w:rPr>
                <w:color w:val="000000" w:themeColor="text1"/>
                <w:sz w:val="18"/>
                <w:szCs w:val="18"/>
                <w:lang w:val="es-CL" w:eastAsia="es-CL"/>
              </w:rPr>
              <w:t>.</w:t>
            </w:r>
            <w:r w:rsidRPr="00B43583">
              <w:rPr>
                <w:color w:val="000000" w:themeColor="text1"/>
                <w:sz w:val="18"/>
                <w:szCs w:val="18"/>
                <w:lang w:val="es-CL" w:eastAsia="es-CL"/>
              </w:rPr>
              <w:t>059</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0,38%</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742.427</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2014</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361.025</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691</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0,24%</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491.819</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2015</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362.836</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620</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0,23%</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474.447</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2016</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294.456</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421</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0,18%</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368.608</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2017</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295.145</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422</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0,17%</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359.611</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2018</w:t>
            </w:r>
          </w:p>
        </w:tc>
        <w:tc>
          <w:tcPr>
            <w:tcW w:w="2161"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349.266</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537</w:t>
            </w:r>
          </w:p>
        </w:tc>
        <w:tc>
          <w:tcPr>
            <w:tcW w:w="2162" w:type="dxa"/>
            <w:vAlign w:val="bottom"/>
          </w:tcPr>
          <w:p w:rsidR="000C5361" w:rsidRPr="00B43583" w:rsidRDefault="000C5361" w:rsidP="003C4C62">
            <w:pPr>
              <w:jc w:val="center"/>
              <w:rPr>
                <w:color w:val="000000" w:themeColor="text1"/>
                <w:sz w:val="18"/>
                <w:szCs w:val="18"/>
                <w:lang w:val="es-CL" w:eastAsia="es-CL"/>
              </w:rPr>
            </w:pPr>
            <w:r w:rsidRPr="00B43583">
              <w:rPr>
                <w:color w:val="000000" w:themeColor="text1"/>
                <w:sz w:val="18"/>
                <w:szCs w:val="18"/>
                <w:lang w:val="es-CL" w:eastAsia="es-CL"/>
              </w:rPr>
              <w:t>0,18%</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417.974</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Pr>
                <w:color w:val="000000" w:themeColor="text1"/>
                <w:sz w:val="18"/>
                <w:szCs w:val="18"/>
                <w:lang w:val="es-CL" w:eastAsia="es-CL"/>
              </w:rPr>
              <w:t>2019</w:t>
            </w:r>
          </w:p>
        </w:tc>
        <w:tc>
          <w:tcPr>
            <w:tcW w:w="2161"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447.717</w:t>
            </w:r>
          </w:p>
        </w:tc>
        <w:tc>
          <w:tcPr>
            <w:tcW w:w="2162"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689</w:t>
            </w:r>
          </w:p>
        </w:tc>
        <w:tc>
          <w:tcPr>
            <w:tcW w:w="2162"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0,21%</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522.830</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Pr>
                <w:color w:val="000000" w:themeColor="text1"/>
                <w:sz w:val="18"/>
                <w:szCs w:val="18"/>
                <w:lang w:val="es-CL" w:eastAsia="es-CL"/>
              </w:rPr>
              <w:t>2020</w:t>
            </w:r>
          </w:p>
        </w:tc>
        <w:tc>
          <w:tcPr>
            <w:tcW w:w="2161"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461.712</w:t>
            </w:r>
          </w:p>
        </w:tc>
        <w:tc>
          <w:tcPr>
            <w:tcW w:w="2162"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679</w:t>
            </w:r>
          </w:p>
        </w:tc>
        <w:tc>
          <w:tcPr>
            <w:tcW w:w="2162"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0,22%</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519.723</w:t>
            </w:r>
          </w:p>
        </w:tc>
      </w:tr>
      <w:tr w:rsidR="000C5361" w:rsidRPr="00017443" w:rsidTr="003C4C62">
        <w:tc>
          <w:tcPr>
            <w:tcW w:w="846" w:type="dxa"/>
            <w:vAlign w:val="bottom"/>
          </w:tcPr>
          <w:p w:rsidR="000C5361" w:rsidRPr="00B43583" w:rsidRDefault="000C5361" w:rsidP="003C4C62">
            <w:pPr>
              <w:jc w:val="center"/>
              <w:rPr>
                <w:color w:val="000000" w:themeColor="text1"/>
                <w:sz w:val="18"/>
                <w:szCs w:val="18"/>
                <w:lang w:val="es-CL" w:eastAsia="es-CL"/>
              </w:rPr>
            </w:pPr>
            <w:r>
              <w:rPr>
                <w:color w:val="000000" w:themeColor="text1"/>
                <w:sz w:val="18"/>
                <w:szCs w:val="18"/>
                <w:lang w:val="es-CL" w:eastAsia="es-CL"/>
              </w:rPr>
              <w:t>2021</w:t>
            </w:r>
          </w:p>
        </w:tc>
        <w:tc>
          <w:tcPr>
            <w:tcW w:w="2161" w:type="dxa"/>
            <w:vAlign w:val="bottom"/>
          </w:tcPr>
          <w:p w:rsidR="000C5361" w:rsidRPr="00044061" w:rsidRDefault="000C5361" w:rsidP="003C4C62">
            <w:pPr>
              <w:jc w:val="center"/>
              <w:rPr>
                <w:i/>
                <w:color w:val="000000" w:themeColor="text1"/>
                <w:sz w:val="18"/>
                <w:szCs w:val="18"/>
                <w:lang w:val="es-CL" w:eastAsia="es-CL"/>
              </w:rPr>
            </w:pPr>
            <w:r w:rsidRPr="00044061">
              <w:rPr>
                <w:i/>
                <w:color w:val="000000" w:themeColor="text1"/>
                <w:sz w:val="18"/>
                <w:szCs w:val="18"/>
                <w:lang w:val="es-CL" w:eastAsia="es-CL"/>
              </w:rPr>
              <w:t>s/i</w:t>
            </w:r>
          </w:p>
        </w:tc>
        <w:tc>
          <w:tcPr>
            <w:tcW w:w="2162" w:type="dxa"/>
            <w:vAlign w:val="bottom"/>
          </w:tcPr>
          <w:p w:rsidR="000C5361" w:rsidRPr="00044061" w:rsidRDefault="000C5361" w:rsidP="003C4C62">
            <w:pPr>
              <w:jc w:val="center"/>
              <w:rPr>
                <w:i/>
                <w:color w:val="000000" w:themeColor="text1"/>
                <w:sz w:val="18"/>
                <w:szCs w:val="18"/>
                <w:lang w:val="es-CL" w:eastAsia="es-CL"/>
              </w:rPr>
            </w:pPr>
            <w:r w:rsidRPr="00044061">
              <w:rPr>
                <w:i/>
                <w:color w:val="000000" w:themeColor="text1"/>
                <w:sz w:val="18"/>
                <w:szCs w:val="18"/>
                <w:lang w:val="es-CL" w:eastAsia="es-CL"/>
              </w:rPr>
              <w:t>s/i</w:t>
            </w:r>
          </w:p>
        </w:tc>
        <w:tc>
          <w:tcPr>
            <w:tcW w:w="2162" w:type="dxa"/>
            <w:vAlign w:val="bottom"/>
          </w:tcPr>
          <w:p w:rsidR="000C5361" w:rsidRPr="00044061" w:rsidRDefault="000C5361" w:rsidP="003C4C62">
            <w:pPr>
              <w:jc w:val="center"/>
              <w:rPr>
                <w:i/>
                <w:color w:val="000000" w:themeColor="text1"/>
                <w:sz w:val="18"/>
                <w:szCs w:val="18"/>
                <w:lang w:val="es-CL" w:eastAsia="es-CL"/>
              </w:rPr>
            </w:pPr>
            <w:r w:rsidRPr="00044061">
              <w:rPr>
                <w:i/>
                <w:color w:val="000000" w:themeColor="text1"/>
                <w:sz w:val="18"/>
                <w:szCs w:val="18"/>
                <w:lang w:val="es-CL" w:eastAsia="es-CL"/>
              </w:rPr>
              <w:t>s/i</w:t>
            </w:r>
          </w:p>
        </w:tc>
        <w:tc>
          <w:tcPr>
            <w:tcW w:w="2162" w:type="dxa"/>
            <w:vAlign w:val="bottom"/>
          </w:tcPr>
          <w:p w:rsidR="000C5361" w:rsidRPr="00DE0589" w:rsidRDefault="000C5361" w:rsidP="003C4C62">
            <w:pPr>
              <w:jc w:val="center"/>
              <w:rPr>
                <w:i/>
                <w:color w:val="000000" w:themeColor="text1"/>
                <w:sz w:val="18"/>
                <w:szCs w:val="18"/>
                <w:lang w:val="es-CL" w:eastAsia="es-CL"/>
              </w:rPr>
            </w:pPr>
            <w:r w:rsidRPr="00044061">
              <w:rPr>
                <w:i/>
                <w:color w:val="000000" w:themeColor="text1"/>
                <w:sz w:val="18"/>
                <w:szCs w:val="18"/>
                <w:lang w:val="es-CL" w:eastAsia="es-CL"/>
              </w:rPr>
              <w:t>s/i</w:t>
            </w:r>
            <w:r w:rsidRPr="00DE0589">
              <w:rPr>
                <w:i/>
                <w:color w:val="000000" w:themeColor="text1"/>
                <w:sz w:val="18"/>
                <w:szCs w:val="18"/>
                <w:lang w:val="es-CL" w:eastAsia="es-CL"/>
              </w:rPr>
              <w:t> </w:t>
            </w:r>
          </w:p>
        </w:tc>
      </w:tr>
      <w:tr w:rsidR="000C5361" w:rsidRPr="00017443" w:rsidTr="003C4C62">
        <w:tc>
          <w:tcPr>
            <w:tcW w:w="846" w:type="dxa"/>
            <w:vAlign w:val="bottom"/>
          </w:tcPr>
          <w:p w:rsidR="000C5361" w:rsidRDefault="000C5361" w:rsidP="003C4C62">
            <w:pPr>
              <w:jc w:val="center"/>
              <w:rPr>
                <w:color w:val="000000" w:themeColor="text1"/>
                <w:sz w:val="18"/>
                <w:szCs w:val="18"/>
                <w:lang w:val="es-CL" w:eastAsia="es-CL"/>
              </w:rPr>
            </w:pPr>
            <w:r>
              <w:rPr>
                <w:color w:val="000000" w:themeColor="text1"/>
                <w:sz w:val="18"/>
                <w:szCs w:val="18"/>
                <w:lang w:val="es-CL" w:eastAsia="es-CL"/>
              </w:rPr>
              <w:t>2022</w:t>
            </w:r>
          </w:p>
        </w:tc>
        <w:tc>
          <w:tcPr>
            <w:tcW w:w="2161"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495.958</w:t>
            </w:r>
          </w:p>
        </w:tc>
        <w:tc>
          <w:tcPr>
            <w:tcW w:w="2162"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671</w:t>
            </w:r>
          </w:p>
        </w:tc>
        <w:tc>
          <w:tcPr>
            <w:tcW w:w="2162" w:type="dxa"/>
            <w:vAlign w:val="bottom"/>
          </w:tcPr>
          <w:p w:rsidR="000C5361" w:rsidRPr="00B43583" w:rsidRDefault="000C5361" w:rsidP="003C4C62">
            <w:pPr>
              <w:jc w:val="center"/>
              <w:rPr>
                <w:color w:val="000000" w:themeColor="text1"/>
                <w:sz w:val="18"/>
                <w:szCs w:val="18"/>
                <w:lang w:val="es-CL" w:eastAsia="es-CL"/>
              </w:rPr>
            </w:pPr>
            <w:r w:rsidRPr="00EE5B61">
              <w:rPr>
                <w:color w:val="000000" w:themeColor="text1"/>
                <w:sz w:val="18"/>
                <w:szCs w:val="18"/>
                <w:lang w:val="es-CL" w:eastAsia="es-CL"/>
              </w:rPr>
              <w:t>0,19%</w:t>
            </w:r>
          </w:p>
        </w:tc>
        <w:tc>
          <w:tcPr>
            <w:tcW w:w="2162" w:type="dxa"/>
            <w:vAlign w:val="bottom"/>
          </w:tcPr>
          <w:p w:rsidR="000C5361" w:rsidRPr="00DE0589" w:rsidRDefault="000C5361" w:rsidP="003C4C62">
            <w:pPr>
              <w:jc w:val="center"/>
              <w:rPr>
                <w:color w:val="000000" w:themeColor="text1"/>
                <w:sz w:val="18"/>
                <w:szCs w:val="18"/>
                <w:lang w:val="es-CL" w:eastAsia="es-CL"/>
              </w:rPr>
            </w:pPr>
            <w:r w:rsidRPr="00DE0589">
              <w:rPr>
                <w:color w:val="000000" w:themeColor="text1"/>
                <w:sz w:val="18"/>
                <w:szCs w:val="18"/>
                <w:lang w:val="es-CL" w:eastAsia="es-CL"/>
              </w:rPr>
              <w:t>495.958</w:t>
            </w:r>
          </w:p>
        </w:tc>
      </w:tr>
    </w:tbl>
    <w:p w:rsidR="000C5361" w:rsidRPr="00B46917" w:rsidRDefault="000C5361" w:rsidP="00B46917">
      <w:pPr>
        <w:rPr>
          <w:rFonts w:ascii="Arial" w:hAnsi="Arial" w:cs="Arial"/>
          <w:sz w:val="18"/>
          <w:szCs w:val="18"/>
        </w:rPr>
      </w:pPr>
      <w:r w:rsidRPr="00B46917">
        <w:rPr>
          <w:rFonts w:ascii="Arial" w:hAnsi="Arial" w:cs="Arial"/>
          <w:b/>
          <w:sz w:val="18"/>
          <w:szCs w:val="18"/>
        </w:rPr>
        <w:t>Nota</w:t>
      </w:r>
      <w:r w:rsidRPr="00B46917">
        <w:rPr>
          <w:rFonts w:ascii="Arial" w:hAnsi="Arial" w:cs="Arial"/>
          <w:sz w:val="18"/>
          <w:szCs w:val="18"/>
        </w:rPr>
        <w:t>: Para el año 2021 no se encontró información en los Informes de Finanzas Públicas</w:t>
      </w:r>
    </w:p>
    <w:p w:rsidR="000C5361" w:rsidRPr="00B46917" w:rsidRDefault="000C5361" w:rsidP="00B46917">
      <w:pPr>
        <w:rPr>
          <w:rFonts w:ascii="Arial" w:hAnsi="Arial" w:cs="Arial"/>
          <w:sz w:val="18"/>
          <w:szCs w:val="18"/>
        </w:rPr>
      </w:pPr>
      <w:r w:rsidRPr="00B46917">
        <w:rPr>
          <w:rFonts w:ascii="Arial" w:hAnsi="Arial" w:cs="Arial"/>
          <w:sz w:val="18"/>
          <w:szCs w:val="18"/>
        </w:rPr>
        <w:t xml:space="preserve">Fuente: Elaboración propia en base al Informe de Finanzas Públicas (varios años) y Banco Central de Chile </w:t>
      </w:r>
    </w:p>
    <w:p w:rsidR="000C5361" w:rsidRPr="00B46917" w:rsidRDefault="000C5361" w:rsidP="00B46917">
      <w:pPr>
        <w:rPr>
          <w:rFonts w:ascii="Arial" w:hAnsi="Arial" w:cs="Arial"/>
          <w:sz w:val="18"/>
          <w:szCs w:val="18"/>
        </w:rPr>
      </w:pPr>
    </w:p>
    <w:p w:rsidR="000C5361" w:rsidRPr="00B46917" w:rsidRDefault="000C5361" w:rsidP="00B46917">
      <w:pPr>
        <w:jc w:val="both"/>
        <w:rPr>
          <w:rFonts w:ascii="Arial" w:hAnsi="Arial" w:cs="Arial"/>
        </w:rPr>
      </w:pPr>
    </w:p>
    <w:p w:rsidR="000C5361" w:rsidRPr="00B46917" w:rsidRDefault="000C5361" w:rsidP="00B46917">
      <w:pPr>
        <w:spacing w:line="276" w:lineRule="auto"/>
        <w:ind w:right="-142" w:firstLine="1701"/>
        <w:jc w:val="both"/>
        <w:rPr>
          <w:rFonts w:ascii="Arial" w:hAnsi="Arial" w:cs="Arial"/>
          <w:sz w:val="22"/>
          <w:szCs w:val="22"/>
        </w:rPr>
      </w:pPr>
      <w:r w:rsidRPr="00B46917">
        <w:rPr>
          <w:rFonts w:ascii="Arial" w:hAnsi="Arial" w:cs="Arial"/>
          <w:sz w:val="22"/>
          <w:szCs w:val="22"/>
        </w:rPr>
        <w:t xml:space="preserve">Para el periodo analizado el gasto tributario en crédito especial para la construcción de viviendas se ha movido en rangos que los sitúan entre 0,17 y 0,38% del PIB, promediando en términos generales el 0,24% del PIB. </w:t>
      </w:r>
    </w:p>
    <w:p w:rsidR="000C5361" w:rsidRPr="00B46917" w:rsidRDefault="000C5361" w:rsidP="00B46917">
      <w:pPr>
        <w:spacing w:line="276" w:lineRule="auto"/>
        <w:ind w:right="-142" w:firstLine="1701"/>
        <w:jc w:val="both"/>
        <w:rPr>
          <w:rFonts w:ascii="Arial" w:hAnsi="Arial" w:cs="Arial"/>
          <w:sz w:val="22"/>
          <w:szCs w:val="22"/>
        </w:rPr>
      </w:pPr>
    </w:p>
    <w:p w:rsidR="000C5361" w:rsidRDefault="000C5361" w:rsidP="00B46917">
      <w:pPr>
        <w:spacing w:line="276" w:lineRule="auto"/>
        <w:ind w:right="-142" w:firstLine="1701"/>
        <w:jc w:val="both"/>
        <w:rPr>
          <w:rFonts w:ascii="Arial" w:hAnsi="Arial" w:cs="Arial"/>
          <w:sz w:val="22"/>
          <w:szCs w:val="22"/>
        </w:rPr>
      </w:pPr>
      <w:r w:rsidRPr="00B46917">
        <w:rPr>
          <w:rFonts w:ascii="Arial" w:hAnsi="Arial" w:cs="Arial"/>
          <w:sz w:val="22"/>
          <w:szCs w:val="22"/>
        </w:rPr>
        <w:t>Por su parte el Gráfico 1 replica la columna (d) de la Tabla 1. A partir de este se aprecia una tendencia creciente entre los años 2004-2009, para caer y mantenerse relativamente estable entre los años 2010 y 2012. Las proyecciones para el año 2013 se ubicaron muy por encima a la de los años previos (US$ 1.059 millones) más que duplicando el guarismo del año 2012. Con posterioridad a ese año, y como consecuencia de la Reforma Tributaria del año 2014, la tendencia bajó, manteniéndose relativamente estable desde el año 2019 en adelante.</w:t>
      </w:r>
    </w:p>
    <w:p w:rsidR="00B46917" w:rsidRPr="00B46917" w:rsidRDefault="00B46917" w:rsidP="00B46917">
      <w:pPr>
        <w:spacing w:line="276" w:lineRule="auto"/>
        <w:ind w:right="-142" w:firstLine="1701"/>
        <w:jc w:val="both"/>
        <w:rPr>
          <w:rFonts w:ascii="Arial" w:hAnsi="Arial" w:cs="Arial"/>
          <w:sz w:val="22"/>
          <w:szCs w:val="22"/>
        </w:rPr>
      </w:pPr>
    </w:p>
    <w:p w:rsidR="000C5361" w:rsidRDefault="000C5361" w:rsidP="000C5361">
      <w:pPr>
        <w:jc w:val="center"/>
      </w:pPr>
    </w:p>
    <w:p w:rsidR="000C5361" w:rsidRPr="00B46917" w:rsidRDefault="000C5361" w:rsidP="000C5361">
      <w:pPr>
        <w:jc w:val="center"/>
        <w:rPr>
          <w:rFonts w:ascii="Arial" w:hAnsi="Arial" w:cs="Arial"/>
        </w:rPr>
      </w:pPr>
      <w:r w:rsidRPr="004F11E4">
        <w:rPr>
          <w:b/>
        </w:rPr>
        <w:t>Gráfico 1</w:t>
      </w:r>
      <w:r w:rsidRPr="006B7B31">
        <w:t xml:space="preserve">: </w:t>
      </w:r>
      <w:r w:rsidRPr="00B46917">
        <w:rPr>
          <w:rFonts w:ascii="Arial" w:hAnsi="Arial" w:cs="Arial"/>
        </w:rPr>
        <w:t>Proyecciones del gasto tributario crédito especial para la construcción de viviendas, 2004-2022, en millones de peso a marzo de 2022.</w:t>
      </w:r>
    </w:p>
    <w:p w:rsidR="000C5361" w:rsidRDefault="000C5361" w:rsidP="000C5361">
      <w:pPr>
        <w:jc w:val="center"/>
      </w:pPr>
      <w:r>
        <w:rPr>
          <w:noProof/>
          <w:lang w:val="es-CL" w:eastAsia="es-CL"/>
        </w:rPr>
        <w:drawing>
          <wp:inline distT="0" distB="0" distL="0" distR="0" wp14:anchorId="45B461DF" wp14:editId="341B9209">
            <wp:extent cx="5736566" cy="3093878"/>
            <wp:effectExtent l="19050" t="19050" r="17145" b="1143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1"/>
                    <a:stretch>
                      <a:fillRect/>
                    </a:stretch>
                  </pic:blipFill>
                  <pic:spPr>
                    <a:xfrm>
                      <a:off x="0" y="0"/>
                      <a:ext cx="5756958" cy="3104876"/>
                    </a:xfrm>
                    <a:prstGeom prst="rect">
                      <a:avLst/>
                    </a:prstGeom>
                    <a:ln>
                      <a:solidFill>
                        <a:schemeClr val="tx1"/>
                      </a:solidFill>
                    </a:ln>
                  </pic:spPr>
                </pic:pic>
              </a:graphicData>
            </a:graphic>
          </wp:inline>
        </w:drawing>
      </w:r>
    </w:p>
    <w:p w:rsidR="000C5361" w:rsidRPr="00B46917" w:rsidRDefault="000C5361" w:rsidP="00B46917">
      <w:pPr>
        <w:jc w:val="both"/>
        <w:rPr>
          <w:rFonts w:ascii="Arial" w:hAnsi="Arial" w:cs="Arial"/>
          <w:sz w:val="18"/>
          <w:szCs w:val="18"/>
        </w:rPr>
      </w:pPr>
      <w:r w:rsidRPr="00B46917">
        <w:rPr>
          <w:rFonts w:ascii="Arial" w:hAnsi="Arial" w:cs="Arial"/>
          <w:b/>
          <w:sz w:val="18"/>
          <w:szCs w:val="18"/>
        </w:rPr>
        <w:t>Nota:</w:t>
      </w:r>
      <w:r w:rsidRPr="00B46917">
        <w:rPr>
          <w:rFonts w:ascii="Arial" w:hAnsi="Arial" w:cs="Arial"/>
          <w:sz w:val="18"/>
          <w:szCs w:val="18"/>
        </w:rPr>
        <w:t xml:space="preserve"> Para el año 2021 no se encontró la información en los Informes de Finanzas Públicas</w:t>
      </w:r>
    </w:p>
    <w:p w:rsidR="000C5361" w:rsidRPr="00B46917" w:rsidRDefault="000C5361" w:rsidP="00B46917">
      <w:pPr>
        <w:jc w:val="both"/>
        <w:rPr>
          <w:rFonts w:ascii="Arial" w:hAnsi="Arial" w:cs="Arial"/>
          <w:sz w:val="18"/>
          <w:szCs w:val="18"/>
        </w:rPr>
      </w:pPr>
      <w:r w:rsidRPr="00B46917">
        <w:rPr>
          <w:rFonts w:ascii="Arial" w:hAnsi="Arial" w:cs="Arial"/>
          <w:sz w:val="18"/>
          <w:szCs w:val="18"/>
        </w:rPr>
        <w:t xml:space="preserve">Fuente: Elaboración propia en base al Informe de Finanzas Públicas (varios años) y Banco Central de Chile </w:t>
      </w:r>
    </w:p>
    <w:p w:rsidR="000C5361" w:rsidRDefault="000C5361" w:rsidP="00B46917">
      <w:pPr>
        <w:jc w:val="both"/>
        <w:rPr>
          <w:rFonts w:ascii="Arial" w:hAnsi="Arial" w:cs="Arial"/>
          <w:sz w:val="18"/>
          <w:szCs w:val="18"/>
        </w:rPr>
      </w:pPr>
    </w:p>
    <w:p w:rsidR="00B46917" w:rsidRPr="00B46917" w:rsidRDefault="00B46917" w:rsidP="00B46917">
      <w:pPr>
        <w:jc w:val="both"/>
        <w:rPr>
          <w:rFonts w:ascii="Arial" w:hAnsi="Arial" w:cs="Arial"/>
          <w:sz w:val="18"/>
          <w:szCs w:val="18"/>
        </w:rPr>
      </w:pPr>
    </w:p>
    <w:p w:rsidR="000C5361" w:rsidRPr="00B46917" w:rsidRDefault="000C5361" w:rsidP="00B46917">
      <w:pPr>
        <w:jc w:val="both"/>
        <w:rPr>
          <w:rFonts w:ascii="Arial" w:hAnsi="Arial" w:cs="Arial"/>
          <w:sz w:val="18"/>
          <w:szCs w:val="18"/>
        </w:rPr>
      </w:pPr>
    </w:p>
    <w:p w:rsidR="009137CA" w:rsidRPr="00A9672C" w:rsidRDefault="009D0308" w:rsidP="00A9672C">
      <w:pPr>
        <w:widowControl w:val="0"/>
        <w:autoSpaceDE w:val="0"/>
        <w:autoSpaceDN w:val="0"/>
        <w:spacing w:line="276" w:lineRule="auto"/>
        <w:jc w:val="both"/>
        <w:rPr>
          <w:rFonts w:ascii="Arial" w:eastAsia="Tahoma" w:hAnsi="Arial" w:cs="Arial"/>
          <w:b/>
          <w:sz w:val="22"/>
          <w:szCs w:val="22"/>
          <w:lang w:val="es-CL" w:eastAsia="en-US"/>
        </w:rPr>
      </w:pPr>
      <w:r>
        <w:rPr>
          <w:rFonts w:ascii="Arial" w:eastAsia="Tahoma" w:hAnsi="Arial" w:cs="Arial"/>
          <w:b/>
          <w:sz w:val="22"/>
          <w:szCs w:val="22"/>
          <w:lang w:val="es-CL" w:eastAsia="en-US"/>
        </w:rPr>
        <w:t>IV.-</w:t>
      </w:r>
      <w:r w:rsidR="00B5358C" w:rsidRPr="00A9672C">
        <w:rPr>
          <w:rFonts w:ascii="Arial" w:eastAsia="Tahoma" w:hAnsi="Arial" w:cs="Arial"/>
          <w:b/>
          <w:sz w:val="22"/>
          <w:szCs w:val="22"/>
          <w:lang w:val="es-CL" w:eastAsia="en-US"/>
        </w:rPr>
        <w:t xml:space="preserve"> INCIDENCIA EN MATERIA FINANCIERA O PRESUPUESTARIA DEL ESTADO</w:t>
      </w:r>
    </w:p>
    <w:p w:rsidR="0095662C" w:rsidRDefault="0095662C" w:rsidP="00F030DA">
      <w:pPr>
        <w:widowControl w:val="0"/>
        <w:autoSpaceDE w:val="0"/>
        <w:autoSpaceDN w:val="0"/>
        <w:adjustRightInd w:val="0"/>
        <w:spacing w:line="276" w:lineRule="auto"/>
        <w:ind w:firstLine="1701"/>
        <w:jc w:val="both"/>
        <w:rPr>
          <w:rFonts w:ascii="Arial" w:hAnsi="Arial" w:cs="Arial"/>
          <w:bCs/>
          <w:sz w:val="22"/>
          <w:szCs w:val="22"/>
          <w:lang w:val="es-CL"/>
        </w:rPr>
      </w:pPr>
    </w:p>
    <w:p w:rsidR="00860F7A" w:rsidRPr="00860F7A" w:rsidRDefault="00860F7A" w:rsidP="00860F7A">
      <w:pPr>
        <w:widowControl w:val="0"/>
        <w:autoSpaceDE w:val="0"/>
        <w:autoSpaceDN w:val="0"/>
        <w:adjustRightInd w:val="0"/>
        <w:spacing w:line="276" w:lineRule="auto"/>
        <w:ind w:right="-234" w:firstLine="1701"/>
        <w:jc w:val="both"/>
        <w:rPr>
          <w:rFonts w:ascii="Arial" w:hAnsi="Arial" w:cs="Arial"/>
          <w:b/>
          <w:bCs/>
          <w:sz w:val="22"/>
          <w:szCs w:val="22"/>
          <w:lang w:val="es-MX" w:eastAsia="x-none"/>
        </w:rPr>
      </w:pPr>
      <w:r w:rsidRPr="00860F7A">
        <w:rPr>
          <w:rFonts w:ascii="Arial" w:hAnsi="Arial" w:cs="Arial"/>
          <w:b/>
          <w:bCs/>
          <w:sz w:val="22"/>
          <w:szCs w:val="22"/>
          <w:lang w:val="es-MX" w:eastAsia="x-none"/>
        </w:rPr>
        <w:t>Primer informe financiero</w:t>
      </w:r>
    </w:p>
    <w:p w:rsidR="00860F7A" w:rsidRPr="00860F7A" w:rsidRDefault="00860F7A" w:rsidP="00860F7A">
      <w:pPr>
        <w:widowControl w:val="0"/>
        <w:autoSpaceDE w:val="0"/>
        <w:autoSpaceDN w:val="0"/>
        <w:adjustRightInd w:val="0"/>
        <w:spacing w:line="276" w:lineRule="auto"/>
        <w:ind w:right="-142" w:firstLine="1701"/>
        <w:jc w:val="both"/>
        <w:rPr>
          <w:rFonts w:ascii="Arial" w:hAnsi="Arial" w:cs="Arial"/>
          <w:bCs/>
          <w:sz w:val="22"/>
          <w:szCs w:val="22"/>
          <w:lang w:val="en-US" w:eastAsia="x-none"/>
        </w:rPr>
      </w:pPr>
      <w:r w:rsidRPr="00860F7A">
        <w:rPr>
          <w:rFonts w:ascii="Arial" w:hAnsi="Arial" w:cs="Arial"/>
          <w:bCs/>
          <w:sz w:val="22"/>
          <w:szCs w:val="22"/>
          <w:lang w:val="es-MX" w:eastAsia="x-none"/>
        </w:rPr>
        <w:t>El IF N°034 de 1 de marzo del año en curso que acompañó al proyecto de ley a su ingreso, indicó que l</w:t>
      </w:r>
      <w:r w:rsidRPr="00860F7A">
        <w:rPr>
          <w:rFonts w:ascii="Arial" w:hAnsi="Arial" w:cs="Arial"/>
          <w:bCs/>
          <w:sz w:val="22"/>
          <w:szCs w:val="22"/>
          <w:lang w:val="en-US" w:eastAsia="x-none"/>
        </w:rPr>
        <w:t xml:space="preserve">as </w:t>
      </w:r>
      <w:proofErr w:type="spellStart"/>
      <w:r w:rsidRPr="00860F7A">
        <w:rPr>
          <w:rFonts w:ascii="Arial" w:hAnsi="Arial" w:cs="Arial"/>
          <w:bCs/>
          <w:sz w:val="22"/>
          <w:szCs w:val="22"/>
          <w:lang w:val="en-US" w:eastAsia="x-none"/>
        </w:rPr>
        <w:t>modificaciones</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propuestas</w:t>
      </w:r>
      <w:proofErr w:type="spellEnd"/>
      <w:r w:rsidRPr="00860F7A">
        <w:rPr>
          <w:rFonts w:ascii="Arial" w:hAnsi="Arial" w:cs="Arial"/>
          <w:bCs/>
          <w:sz w:val="22"/>
          <w:szCs w:val="22"/>
          <w:lang w:val="en-US" w:eastAsia="x-none"/>
        </w:rPr>
        <w:t xml:space="preserve"> no </w:t>
      </w:r>
      <w:proofErr w:type="spellStart"/>
      <w:r w:rsidRPr="00860F7A">
        <w:rPr>
          <w:rFonts w:ascii="Arial" w:hAnsi="Arial" w:cs="Arial"/>
          <w:bCs/>
          <w:sz w:val="22"/>
          <w:szCs w:val="22"/>
          <w:lang w:val="en-US" w:eastAsia="x-none"/>
        </w:rPr>
        <w:t>implican</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cambios</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en</w:t>
      </w:r>
      <w:proofErr w:type="spellEnd"/>
      <w:r w:rsidRPr="00860F7A">
        <w:rPr>
          <w:rFonts w:ascii="Arial" w:hAnsi="Arial" w:cs="Arial"/>
          <w:bCs/>
          <w:sz w:val="22"/>
          <w:szCs w:val="22"/>
          <w:lang w:val="en-US" w:eastAsia="x-none"/>
        </w:rPr>
        <w:t xml:space="preserve"> las </w:t>
      </w:r>
      <w:proofErr w:type="spellStart"/>
      <w:r w:rsidRPr="00860F7A">
        <w:rPr>
          <w:rFonts w:ascii="Arial" w:hAnsi="Arial" w:cs="Arial"/>
          <w:bCs/>
          <w:sz w:val="22"/>
          <w:szCs w:val="22"/>
          <w:lang w:val="en-US" w:eastAsia="x-none"/>
        </w:rPr>
        <w:t>estimaciones</w:t>
      </w:r>
      <w:proofErr w:type="spellEnd"/>
      <w:r w:rsidRPr="00860F7A">
        <w:rPr>
          <w:rFonts w:ascii="Arial" w:hAnsi="Arial" w:cs="Arial"/>
          <w:bCs/>
          <w:sz w:val="22"/>
          <w:szCs w:val="22"/>
          <w:lang w:val="en-US" w:eastAsia="x-none"/>
        </w:rPr>
        <w:t xml:space="preserve"> de </w:t>
      </w:r>
      <w:proofErr w:type="spellStart"/>
      <w:r w:rsidRPr="00860F7A">
        <w:rPr>
          <w:rFonts w:ascii="Arial" w:hAnsi="Arial" w:cs="Arial"/>
          <w:bCs/>
          <w:sz w:val="22"/>
          <w:szCs w:val="22"/>
          <w:lang w:val="en-US" w:eastAsia="x-none"/>
        </w:rPr>
        <w:t>ingresos</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presentadas</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en</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los</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informe</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financiero</w:t>
      </w:r>
      <w:proofErr w:type="spellEnd"/>
      <w:r w:rsidRPr="00860F7A">
        <w:rPr>
          <w:rFonts w:ascii="Arial" w:hAnsi="Arial" w:cs="Arial"/>
          <w:bCs/>
          <w:sz w:val="22"/>
          <w:szCs w:val="22"/>
          <w:lang w:val="en-US" w:eastAsia="x-none"/>
        </w:rPr>
        <w:t xml:space="preserve"> N° 163 de 2021, y el Nº12 de 2022, que </w:t>
      </w:r>
      <w:proofErr w:type="spellStart"/>
      <w:r w:rsidRPr="00860F7A">
        <w:rPr>
          <w:rFonts w:ascii="Arial" w:hAnsi="Arial" w:cs="Arial"/>
          <w:bCs/>
          <w:sz w:val="22"/>
          <w:szCs w:val="22"/>
          <w:lang w:val="en-US" w:eastAsia="x-none"/>
        </w:rPr>
        <w:t>acompañaron</w:t>
      </w:r>
      <w:proofErr w:type="spellEnd"/>
      <w:r w:rsidRPr="00860F7A">
        <w:rPr>
          <w:rFonts w:ascii="Arial" w:hAnsi="Arial" w:cs="Arial"/>
          <w:bCs/>
          <w:sz w:val="22"/>
          <w:szCs w:val="22"/>
          <w:lang w:val="en-US" w:eastAsia="x-none"/>
        </w:rPr>
        <w:t xml:space="preserve"> la </w:t>
      </w:r>
      <w:proofErr w:type="spellStart"/>
      <w:r w:rsidRPr="00860F7A">
        <w:rPr>
          <w:rFonts w:ascii="Arial" w:hAnsi="Arial" w:cs="Arial"/>
          <w:bCs/>
          <w:sz w:val="22"/>
          <w:szCs w:val="22"/>
          <w:lang w:val="en-US" w:eastAsia="x-none"/>
        </w:rPr>
        <w:t>tramitación</w:t>
      </w:r>
      <w:proofErr w:type="spellEnd"/>
      <w:r w:rsidRPr="00860F7A">
        <w:rPr>
          <w:rFonts w:ascii="Arial" w:hAnsi="Arial" w:cs="Arial"/>
          <w:bCs/>
          <w:sz w:val="22"/>
          <w:szCs w:val="22"/>
          <w:lang w:val="en-US" w:eastAsia="x-none"/>
        </w:rPr>
        <w:t xml:space="preserve"> de la </w:t>
      </w:r>
      <w:r>
        <w:rPr>
          <w:rFonts w:ascii="Arial" w:hAnsi="Arial" w:cs="Arial"/>
          <w:bCs/>
          <w:sz w:val="22"/>
          <w:szCs w:val="22"/>
          <w:lang w:val="en-US" w:eastAsia="x-none"/>
        </w:rPr>
        <w:t>l</w:t>
      </w:r>
      <w:r w:rsidRPr="00860F7A">
        <w:rPr>
          <w:rFonts w:ascii="Arial" w:hAnsi="Arial" w:cs="Arial"/>
          <w:bCs/>
          <w:sz w:val="22"/>
          <w:szCs w:val="22"/>
          <w:lang w:val="en-US" w:eastAsia="x-none"/>
        </w:rPr>
        <w:t>ey N°21.420</w:t>
      </w:r>
      <w:r>
        <w:rPr>
          <w:rFonts w:ascii="Arial" w:hAnsi="Arial" w:cs="Arial"/>
          <w:bCs/>
          <w:sz w:val="22"/>
          <w:szCs w:val="22"/>
          <w:lang w:val="en-US" w:eastAsia="x-none"/>
        </w:rPr>
        <w:t xml:space="preserve">, que reduce o </w:t>
      </w:r>
      <w:proofErr w:type="spellStart"/>
      <w:r>
        <w:rPr>
          <w:rFonts w:ascii="Arial" w:hAnsi="Arial" w:cs="Arial"/>
          <w:bCs/>
          <w:sz w:val="22"/>
          <w:szCs w:val="22"/>
          <w:lang w:val="en-US" w:eastAsia="x-none"/>
        </w:rPr>
        <w:t>elimina</w:t>
      </w:r>
      <w:proofErr w:type="spellEnd"/>
      <w:r>
        <w:rPr>
          <w:rFonts w:ascii="Arial" w:hAnsi="Arial" w:cs="Arial"/>
          <w:bCs/>
          <w:sz w:val="22"/>
          <w:szCs w:val="22"/>
          <w:lang w:val="en-US" w:eastAsia="x-none"/>
        </w:rPr>
        <w:t xml:space="preserve"> </w:t>
      </w:r>
      <w:proofErr w:type="spellStart"/>
      <w:r>
        <w:rPr>
          <w:rFonts w:ascii="Arial" w:hAnsi="Arial" w:cs="Arial"/>
          <w:bCs/>
          <w:sz w:val="22"/>
          <w:szCs w:val="22"/>
          <w:lang w:val="en-US" w:eastAsia="x-none"/>
        </w:rPr>
        <w:t>exenciones</w:t>
      </w:r>
      <w:proofErr w:type="spellEnd"/>
      <w:r>
        <w:rPr>
          <w:rFonts w:ascii="Arial" w:hAnsi="Arial" w:cs="Arial"/>
          <w:bCs/>
          <w:sz w:val="22"/>
          <w:szCs w:val="22"/>
          <w:lang w:val="en-US" w:eastAsia="x-none"/>
        </w:rPr>
        <w:t xml:space="preserve"> </w:t>
      </w:r>
      <w:proofErr w:type="spellStart"/>
      <w:r>
        <w:rPr>
          <w:rFonts w:ascii="Arial" w:hAnsi="Arial" w:cs="Arial"/>
          <w:bCs/>
          <w:sz w:val="22"/>
          <w:szCs w:val="22"/>
          <w:lang w:val="en-US" w:eastAsia="x-none"/>
        </w:rPr>
        <w:t>tributarias</w:t>
      </w:r>
      <w:proofErr w:type="spellEnd"/>
      <w:r w:rsidRPr="00860F7A">
        <w:rPr>
          <w:rFonts w:ascii="Arial" w:hAnsi="Arial" w:cs="Arial"/>
          <w:bCs/>
          <w:sz w:val="22"/>
          <w:szCs w:val="22"/>
          <w:lang w:val="en-US" w:eastAsia="x-none"/>
        </w:rPr>
        <w:t>.</w:t>
      </w:r>
    </w:p>
    <w:p w:rsidR="00860F7A" w:rsidRPr="00860F7A" w:rsidRDefault="00860F7A" w:rsidP="00860F7A">
      <w:pPr>
        <w:widowControl w:val="0"/>
        <w:autoSpaceDE w:val="0"/>
        <w:autoSpaceDN w:val="0"/>
        <w:adjustRightInd w:val="0"/>
        <w:spacing w:before="240" w:line="276" w:lineRule="auto"/>
        <w:ind w:right="-234" w:firstLine="1701"/>
        <w:jc w:val="both"/>
        <w:rPr>
          <w:rFonts w:ascii="Arial" w:hAnsi="Arial" w:cs="Arial"/>
          <w:b/>
          <w:bCs/>
          <w:sz w:val="22"/>
          <w:szCs w:val="22"/>
          <w:lang w:val="en-US" w:eastAsia="x-none"/>
        </w:rPr>
      </w:pPr>
      <w:r w:rsidRPr="00860F7A">
        <w:rPr>
          <w:rFonts w:ascii="Arial" w:hAnsi="Arial" w:cs="Arial"/>
          <w:b/>
          <w:bCs/>
          <w:sz w:val="22"/>
          <w:szCs w:val="22"/>
          <w:lang w:val="en-US" w:eastAsia="x-none"/>
        </w:rPr>
        <w:t xml:space="preserve">Segundo </w:t>
      </w:r>
      <w:proofErr w:type="spellStart"/>
      <w:r w:rsidRPr="00860F7A">
        <w:rPr>
          <w:rFonts w:ascii="Arial" w:hAnsi="Arial" w:cs="Arial"/>
          <w:b/>
          <w:bCs/>
          <w:sz w:val="22"/>
          <w:szCs w:val="22"/>
          <w:lang w:val="en-US" w:eastAsia="x-none"/>
        </w:rPr>
        <w:t>informe</w:t>
      </w:r>
      <w:proofErr w:type="spellEnd"/>
      <w:r w:rsidRPr="00860F7A">
        <w:rPr>
          <w:rFonts w:ascii="Arial" w:hAnsi="Arial" w:cs="Arial"/>
          <w:b/>
          <w:bCs/>
          <w:sz w:val="22"/>
          <w:szCs w:val="22"/>
          <w:lang w:val="en-US" w:eastAsia="x-none"/>
        </w:rPr>
        <w:t xml:space="preserve"> </w:t>
      </w:r>
      <w:proofErr w:type="spellStart"/>
      <w:r w:rsidRPr="00860F7A">
        <w:rPr>
          <w:rFonts w:ascii="Arial" w:hAnsi="Arial" w:cs="Arial"/>
          <w:b/>
          <w:bCs/>
          <w:sz w:val="22"/>
          <w:szCs w:val="22"/>
          <w:lang w:val="en-US" w:eastAsia="x-none"/>
        </w:rPr>
        <w:t>financiero</w:t>
      </w:r>
      <w:proofErr w:type="spellEnd"/>
    </w:p>
    <w:p w:rsidR="00860F7A" w:rsidRPr="00860F7A" w:rsidRDefault="00860F7A" w:rsidP="00860F7A">
      <w:pPr>
        <w:widowControl w:val="0"/>
        <w:autoSpaceDE w:val="0"/>
        <w:autoSpaceDN w:val="0"/>
        <w:adjustRightInd w:val="0"/>
        <w:spacing w:line="276" w:lineRule="auto"/>
        <w:ind w:right="-234" w:firstLine="1701"/>
        <w:jc w:val="both"/>
        <w:rPr>
          <w:rFonts w:ascii="Arial" w:hAnsi="Arial" w:cs="Arial"/>
          <w:bCs/>
          <w:sz w:val="22"/>
          <w:szCs w:val="22"/>
          <w:lang w:val="en-US" w:eastAsia="x-none"/>
        </w:rPr>
      </w:pPr>
      <w:r w:rsidRPr="00860F7A">
        <w:rPr>
          <w:rFonts w:ascii="Arial" w:hAnsi="Arial" w:cs="Arial"/>
          <w:bCs/>
          <w:sz w:val="22"/>
          <w:szCs w:val="22"/>
          <w:lang w:val="en-US" w:eastAsia="x-none"/>
        </w:rPr>
        <w:t xml:space="preserve">La </w:t>
      </w:r>
      <w:proofErr w:type="spellStart"/>
      <w:r w:rsidRPr="00860F7A">
        <w:rPr>
          <w:rFonts w:ascii="Arial" w:hAnsi="Arial" w:cs="Arial"/>
          <w:bCs/>
          <w:sz w:val="22"/>
          <w:szCs w:val="22"/>
          <w:lang w:val="en-US" w:eastAsia="x-none"/>
        </w:rPr>
        <w:t>Dirección</w:t>
      </w:r>
      <w:proofErr w:type="spellEnd"/>
      <w:r w:rsidRPr="00860F7A">
        <w:rPr>
          <w:rFonts w:ascii="Arial" w:hAnsi="Arial" w:cs="Arial"/>
          <w:bCs/>
          <w:sz w:val="22"/>
          <w:szCs w:val="22"/>
          <w:lang w:val="en-US" w:eastAsia="x-none"/>
        </w:rPr>
        <w:t xml:space="preserve"> de </w:t>
      </w:r>
      <w:proofErr w:type="spellStart"/>
      <w:r w:rsidRPr="00860F7A">
        <w:rPr>
          <w:rFonts w:ascii="Arial" w:hAnsi="Arial" w:cs="Arial"/>
          <w:bCs/>
          <w:sz w:val="22"/>
          <w:szCs w:val="22"/>
          <w:lang w:val="en-US" w:eastAsia="x-none"/>
        </w:rPr>
        <w:t>Presupuestos</w:t>
      </w:r>
      <w:proofErr w:type="spellEnd"/>
      <w:r w:rsidRPr="00860F7A">
        <w:rPr>
          <w:rFonts w:ascii="Arial" w:hAnsi="Arial" w:cs="Arial"/>
          <w:bCs/>
          <w:sz w:val="22"/>
          <w:szCs w:val="22"/>
          <w:lang w:val="en-US" w:eastAsia="x-none"/>
        </w:rPr>
        <w:t xml:space="preserve"> del </w:t>
      </w:r>
      <w:proofErr w:type="spellStart"/>
      <w:r w:rsidRPr="00860F7A">
        <w:rPr>
          <w:rFonts w:ascii="Arial" w:hAnsi="Arial" w:cs="Arial"/>
          <w:bCs/>
          <w:sz w:val="22"/>
          <w:szCs w:val="22"/>
          <w:lang w:val="en-US" w:eastAsia="x-none"/>
        </w:rPr>
        <w:t>Ministerio</w:t>
      </w:r>
      <w:proofErr w:type="spellEnd"/>
      <w:r w:rsidRPr="00860F7A">
        <w:rPr>
          <w:rFonts w:ascii="Arial" w:hAnsi="Arial" w:cs="Arial"/>
          <w:bCs/>
          <w:sz w:val="22"/>
          <w:szCs w:val="22"/>
          <w:lang w:val="en-US" w:eastAsia="x-none"/>
        </w:rPr>
        <w:t xml:space="preserve"> de Hacienda ha </w:t>
      </w:r>
      <w:proofErr w:type="spellStart"/>
      <w:r w:rsidRPr="00860F7A">
        <w:rPr>
          <w:rFonts w:ascii="Arial" w:hAnsi="Arial" w:cs="Arial"/>
          <w:bCs/>
          <w:sz w:val="22"/>
          <w:szCs w:val="22"/>
          <w:lang w:val="en-US" w:eastAsia="x-none"/>
        </w:rPr>
        <w:t>elaborado</w:t>
      </w:r>
      <w:proofErr w:type="spellEnd"/>
      <w:r w:rsidRPr="00860F7A">
        <w:rPr>
          <w:rFonts w:ascii="Arial" w:hAnsi="Arial" w:cs="Arial"/>
          <w:bCs/>
          <w:sz w:val="22"/>
          <w:szCs w:val="22"/>
          <w:lang w:val="en-US" w:eastAsia="x-none"/>
        </w:rPr>
        <w:t xml:space="preserve"> el </w:t>
      </w:r>
      <w:proofErr w:type="spellStart"/>
      <w:r w:rsidRPr="00860F7A">
        <w:rPr>
          <w:rFonts w:ascii="Arial" w:hAnsi="Arial" w:cs="Arial"/>
          <w:bCs/>
          <w:sz w:val="22"/>
          <w:szCs w:val="22"/>
          <w:lang w:val="en-US" w:eastAsia="x-none"/>
        </w:rPr>
        <w:t>informe</w:t>
      </w:r>
      <w:proofErr w:type="spellEnd"/>
      <w:r w:rsidRPr="00860F7A">
        <w:rPr>
          <w:rFonts w:ascii="Arial" w:hAnsi="Arial" w:cs="Arial"/>
          <w:bCs/>
          <w:sz w:val="22"/>
          <w:szCs w:val="22"/>
          <w:lang w:val="en-US" w:eastAsia="x-none"/>
        </w:rPr>
        <w:t xml:space="preserve"> financier N°53 de 19 de </w:t>
      </w:r>
      <w:proofErr w:type="spellStart"/>
      <w:r w:rsidRPr="00860F7A">
        <w:rPr>
          <w:rFonts w:ascii="Arial" w:hAnsi="Arial" w:cs="Arial"/>
          <w:bCs/>
          <w:sz w:val="22"/>
          <w:szCs w:val="22"/>
          <w:lang w:val="en-US" w:eastAsia="x-none"/>
        </w:rPr>
        <w:t>abril</w:t>
      </w:r>
      <w:proofErr w:type="spellEnd"/>
      <w:r w:rsidRPr="00860F7A">
        <w:rPr>
          <w:rFonts w:ascii="Arial" w:hAnsi="Arial" w:cs="Arial"/>
          <w:bCs/>
          <w:sz w:val="22"/>
          <w:szCs w:val="22"/>
          <w:lang w:val="en-US" w:eastAsia="x-none"/>
        </w:rPr>
        <w:t xml:space="preserve"> del </w:t>
      </w:r>
      <w:proofErr w:type="spellStart"/>
      <w:r w:rsidRPr="00860F7A">
        <w:rPr>
          <w:rFonts w:ascii="Arial" w:hAnsi="Arial" w:cs="Arial"/>
          <w:bCs/>
          <w:sz w:val="22"/>
          <w:szCs w:val="22"/>
          <w:lang w:val="en-US" w:eastAsia="x-none"/>
        </w:rPr>
        <w:t>año</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en</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curso</w:t>
      </w:r>
      <w:proofErr w:type="spellEnd"/>
      <w:r w:rsidRPr="00860F7A">
        <w:rPr>
          <w:rFonts w:ascii="Arial" w:hAnsi="Arial" w:cs="Arial"/>
          <w:bCs/>
          <w:sz w:val="22"/>
          <w:szCs w:val="22"/>
          <w:lang w:val="en-US" w:eastAsia="x-none"/>
        </w:rPr>
        <w:t xml:space="preserve">, con motive de la </w:t>
      </w:r>
      <w:proofErr w:type="spellStart"/>
      <w:r w:rsidRPr="00860F7A">
        <w:rPr>
          <w:rFonts w:ascii="Arial" w:hAnsi="Arial" w:cs="Arial"/>
          <w:bCs/>
          <w:sz w:val="22"/>
          <w:szCs w:val="22"/>
          <w:lang w:val="en-US" w:eastAsia="x-none"/>
        </w:rPr>
        <w:t>presentación</w:t>
      </w:r>
      <w:proofErr w:type="spellEnd"/>
      <w:r w:rsidRPr="00860F7A">
        <w:rPr>
          <w:rFonts w:ascii="Arial" w:hAnsi="Arial" w:cs="Arial"/>
          <w:bCs/>
          <w:sz w:val="22"/>
          <w:szCs w:val="22"/>
          <w:lang w:val="en-US" w:eastAsia="x-none"/>
        </w:rPr>
        <w:t xml:space="preserve"> de </w:t>
      </w:r>
      <w:proofErr w:type="spellStart"/>
      <w:r w:rsidRPr="00860F7A">
        <w:rPr>
          <w:rFonts w:ascii="Arial" w:hAnsi="Arial" w:cs="Arial"/>
          <w:bCs/>
          <w:sz w:val="22"/>
          <w:szCs w:val="22"/>
          <w:lang w:val="en-US" w:eastAsia="x-none"/>
        </w:rPr>
        <w:t>indicaciones</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por</w:t>
      </w:r>
      <w:proofErr w:type="spellEnd"/>
      <w:r w:rsidRPr="00860F7A">
        <w:rPr>
          <w:rFonts w:ascii="Arial" w:hAnsi="Arial" w:cs="Arial"/>
          <w:bCs/>
          <w:sz w:val="22"/>
          <w:szCs w:val="22"/>
          <w:lang w:val="en-US" w:eastAsia="x-none"/>
        </w:rPr>
        <w:t xml:space="preserve"> parte del </w:t>
      </w:r>
      <w:proofErr w:type="spellStart"/>
      <w:r w:rsidRPr="00860F7A">
        <w:rPr>
          <w:rFonts w:ascii="Arial" w:hAnsi="Arial" w:cs="Arial"/>
          <w:bCs/>
          <w:sz w:val="22"/>
          <w:szCs w:val="22"/>
          <w:lang w:val="en-US" w:eastAsia="x-none"/>
        </w:rPr>
        <w:t>Ejecutivo</w:t>
      </w:r>
      <w:proofErr w:type="spellEnd"/>
      <w:r w:rsidRPr="00860F7A">
        <w:rPr>
          <w:rFonts w:ascii="Arial" w:hAnsi="Arial" w:cs="Arial"/>
          <w:bCs/>
          <w:sz w:val="22"/>
          <w:szCs w:val="22"/>
          <w:lang w:val="en-US" w:eastAsia="x-none"/>
        </w:rPr>
        <w:t xml:space="preserve">, con </w:t>
      </w:r>
      <w:proofErr w:type="spellStart"/>
      <w:r w:rsidRPr="00860F7A">
        <w:rPr>
          <w:rFonts w:ascii="Arial" w:hAnsi="Arial" w:cs="Arial"/>
          <w:bCs/>
          <w:sz w:val="22"/>
          <w:szCs w:val="22"/>
          <w:lang w:val="en-US" w:eastAsia="x-none"/>
        </w:rPr>
        <w:t>esta</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misma</w:t>
      </w:r>
      <w:proofErr w:type="spellEnd"/>
      <w:r w:rsidRPr="00860F7A">
        <w:rPr>
          <w:rFonts w:ascii="Arial" w:hAnsi="Arial" w:cs="Arial"/>
          <w:bCs/>
          <w:sz w:val="22"/>
          <w:szCs w:val="22"/>
          <w:lang w:val="en-US" w:eastAsia="x-none"/>
        </w:rPr>
        <w:t xml:space="preserve"> </w:t>
      </w:r>
      <w:proofErr w:type="spellStart"/>
      <w:r w:rsidRPr="00860F7A">
        <w:rPr>
          <w:rFonts w:ascii="Arial" w:hAnsi="Arial" w:cs="Arial"/>
          <w:bCs/>
          <w:sz w:val="22"/>
          <w:szCs w:val="22"/>
          <w:lang w:val="en-US" w:eastAsia="x-none"/>
        </w:rPr>
        <w:t>fecha</w:t>
      </w:r>
      <w:proofErr w:type="spellEnd"/>
      <w:r w:rsidRPr="00860F7A">
        <w:rPr>
          <w:rFonts w:ascii="Arial" w:hAnsi="Arial" w:cs="Arial"/>
          <w:bCs/>
          <w:sz w:val="22"/>
          <w:szCs w:val="22"/>
          <w:lang w:val="en-US" w:eastAsia="x-none"/>
        </w:rPr>
        <w:t>.</w:t>
      </w:r>
    </w:p>
    <w:p w:rsidR="00860F7A" w:rsidRPr="00860F7A" w:rsidRDefault="00860F7A" w:rsidP="00860F7A">
      <w:pPr>
        <w:widowControl w:val="0"/>
        <w:tabs>
          <w:tab w:val="left" w:pos="567"/>
        </w:tabs>
        <w:autoSpaceDE w:val="0"/>
        <w:autoSpaceDN w:val="0"/>
        <w:adjustRightInd w:val="0"/>
        <w:spacing w:after="240" w:line="276" w:lineRule="auto"/>
        <w:ind w:left="1701"/>
        <w:jc w:val="both"/>
        <w:rPr>
          <w:rFonts w:ascii="Arial" w:hAnsi="Arial" w:cs="Arial"/>
          <w:b/>
          <w:sz w:val="22"/>
          <w:szCs w:val="22"/>
          <w:lang w:val="es-ES" w:eastAsia="x-none"/>
        </w:rPr>
      </w:pPr>
    </w:p>
    <w:p w:rsidR="00860F7A" w:rsidRPr="00860F7A" w:rsidRDefault="00860F7A" w:rsidP="00860F7A">
      <w:pPr>
        <w:widowControl w:val="0"/>
        <w:tabs>
          <w:tab w:val="left" w:pos="567"/>
        </w:tabs>
        <w:autoSpaceDE w:val="0"/>
        <w:autoSpaceDN w:val="0"/>
        <w:adjustRightInd w:val="0"/>
        <w:spacing w:after="240" w:line="276" w:lineRule="auto"/>
        <w:ind w:firstLine="1701"/>
        <w:jc w:val="both"/>
        <w:rPr>
          <w:rFonts w:ascii="Arial" w:hAnsi="Arial" w:cs="Arial"/>
          <w:b/>
          <w:sz w:val="22"/>
          <w:szCs w:val="22"/>
          <w:lang w:val="es-ES" w:eastAsia="x-none"/>
        </w:rPr>
      </w:pPr>
      <w:r w:rsidRPr="00860F7A">
        <w:rPr>
          <w:rFonts w:ascii="Arial" w:hAnsi="Arial" w:cs="Arial"/>
          <w:b/>
          <w:sz w:val="22"/>
          <w:szCs w:val="22"/>
          <w:lang w:val="es-ES" w:eastAsia="x-none"/>
        </w:rPr>
        <w:t>EFECTO DEL PROYECTO DE LEY SOBRE EL PRESUPUESTO FISCAL</w:t>
      </w:r>
    </w:p>
    <w:p w:rsidR="00860F7A" w:rsidRPr="00860F7A" w:rsidRDefault="00860F7A"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sz w:val="22"/>
          <w:szCs w:val="22"/>
          <w:lang w:val="es-ES" w:eastAsia="x-none"/>
        </w:rPr>
      </w:pPr>
      <w:r w:rsidRPr="00860F7A">
        <w:rPr>
          <w:rFonts w:ascii="Arial" w:hAnsi="Arial" w:cs="Arial"/>
          <w:bCs/>
          <w:color w:val="000000"/>
          <w:sz w:val="22"/>
          <w:szCs w:val="22"/>
          <w:shd w:val="clear" w:color="auto" w:fill="FFFFFF"/>
          <w:lang w:val="es-ES" w:eastAsia="x-none"/>
        </w:rPr>
        <w:t xml:space="preserve">Las indicaciones no implicarán menores ingresos fiscales, </w:t>
      </w:r>
      <w:r w:rsidRPr="00860F7A">
        <w:rPr>
          <w:rFonts w:ascii="Arial" w:hAnsi="Arial" w:cs="Arial"/>
          <w:color w:val="000000"/>
          <w:sz w:val="22"/>
          <w:szCs w:val="22"/>
          <w:shd w:val="clear" w:color="auto" w:fill="FFFFFF"/>
          <w:lang w:val="es-ES" w:eastAsia="x-none"/>
        </w:rPr>
        <w:t>respe</w:t>
      </w:r>
      <w:r w:rsidRPr="00860F7A">
        <w:rPr>
          <w:rFonts w:ascii="Arial" w:hAnsi="Arial" w:cs="Arial"/>
          <w:bCs/>
          <w:sz w:val="22"/>
          <w:szCs w:val="22"/>
          <w:lang w:val="es-ES" w:eastAsia="x-none"/>
        </w:rPr>
        <w:t xml:space="preserve">cto de los considerados en los </w:t>
      </w:r>
      <w:r w:rsidRPr="00860F7A">
        <w:rPr>
          <w:rFonts w:ascii="Arial" w:hAnsi="Arial" w:cs="Arial"/>
          <w:sz w:val="22"/>
          <w:szCs w:val="22"/>
          <w:lang w:val="es-ES" w:eastAsia="x-none"/>
        </w:rPr>
        <w:t>Informes Financieros N°163 de 2021 y N°12 de 2022</w:t>
      </w:r>
      <w:r w:rsidRPr="00860F7A">
        <w:rPr>
          <w:rFonts w:ascii="Arial" w:hAnsi="Arial" w:cs="Arial"/>
          <w:bCs/>
          <w:sz w:val="22"/>
          <w:szCs w:val="22"/>
          <w:lang w:val="es-ES" w:eastAsia="x-none"/>
        </w:rPr>
        <w:t xml:space="preserve">, que acompañaron la tramitación de la ley N°21.420, los cuales ya consideraban la cobertura y transitoriedad repuestas con estas indicaciones. De esta manera los mayores ingresos derivados de la Ley N°21.420, incorporando la Indicación presentada en el día de hoy, serían los descritos en la siguiente tabla. </w:t>
      </w:r>
    </w:p>
    <w:p w:rsidR="00860F7A" w:rsidRPr="00860F7A" w:rsidRDefault="00860F7A" w:rsidP="00860F7A">
      <w:pPr>
        <w:widowControl w:val="0"/>
        <w:tabs>
          <w:tab w:val="left" w:pos="567"/>
        </w:tabs>
        <w:autoSpaceDE w:val="0"/>
        <w:autoSpaceDN w:val="0"/>
        <w:adjustRightInd w:val="0"/>
        <w:jc w:val="center"/>
        <w:rPr>
          <w:rFonts w:ascii="Verdana" w:hAnsi="Verdana" w:cs="Arial"/>
          <w:b/>
          <w:sz w:val="22"/>
          <w:szCs w:val="22"/>
          <w:lang w:val="es-ES" w:eastAsia="x-none"/>
        </w:rPr>
      </w:pPr>
    </w:p>
    <w:p w:rsidR="00860F7A" w:rsidRPr="00860F7A" w:rsidRDefault="00860F7A" w:rsidP="00860F7A">
      <w:pPr>
        <w:widowControl w:val="0"/>
        <w:tabs>
          <w:tab w:val="left" w:pos="567"/>
        </w:tabs>
        <w:autoSpaceDE w:val="0"/>
        <w:autoSpaceDN w:val="0"/>
        <w:adjustRightInd w:val="0"/>
        <w:jc w:val="center"/>
        <w:rPr>
          <w:rFonts w:ascii="Verdana" w:hAnsi="Verdana" w:cs="Arial"/>
          <w:b/>
          <w:lang w:val="es-ES" w:eastAsia="x-none"/>
        </w:rPr>
      </w:pPr>
      <w:r w:rsidRPr="00860F7A">
        <w:rPr>
          <w:rFonts w:ascii="Verdana" w:hAnsi="Verdana" w:cs="Arial"/>
          <w:b/>
          <w:lang w:val="es-ES" w:eastAsia="x-none"/>
        </w:rPr>
        <w:t>Tabla 1</w:t>
      </w:r>
    </w:p>
    <w:p w:rsidR="00860F7A" w:rsidRPr="00860F7A" w:rsidRDefault="00860F7A" w:rsidP="00860F7A">
      <w:pPr>
        <w:widowControl w:val="0"/>
        <w:tabs>
          <w:tab w:val="left" w:pos="567"/>
        </w:tabs>
        <w:autoSpaceDE w:val="0"/>
        <w:autoSpaceDN w:val="0"/>
        <w:adjustRightInd w:val="0"/>
        <w:jc w:val="center"/>
        <w:rPr>
          <w:rFonts w:ascii="Verdana" w:hAnsi="Verdana" w:cs="Arial"/>
          <w:b/>
          <w:lang w:val="es-ES" w:eastAsia="x-none"/>
        </w:rPr>
      </w:pPr>
      <w:r w:rsidRPr="00860F7A">
        <w:rPr>
          <w:rFonts w:ascii="Verdana" w:hAnsi="Verdana" w:cs="Arial"/>
          <w:b/>
          <w:lang w:val="es-ES" w:eastAsia="x-none"/>
        </w:rPr>
        <w:t>Mayores Ingresos Fiscales por reducción o eliminación de exenciones tributarias</w:t>
      </w:r>
    </w:p>
    <w:p w:rsidR="00860F7A" w:rsidRPr="00860F7A" w:rsidRDefault="00860F7A" w:rsidP="00860F7A">
      <w:pPr>
        <w:widowControl w:val="0"/>
        <w:tabs>
          <w:tab w:val="left" w:pos="567"/>
        </w:tabs>
        <w:autoSpaceDE w:val="0"/>
        <w:autoSpaceDN w:val="0"/>
        <w:adjustRightInd w:val="0"/>
        <w:jc w:val="center"/>
        <w:rPr>
          <w:rFonts w:ascii="Verdana" w:hAnsi="Verdana" w:cs="Arial"/>
          <w:bCs/>
          <w:sz w:val="18"/>
          <w:szCs w:val="18"/>
          <w:lang w:val="es-ES" w:eastAsia="x-none"/>
        </w:rPr>
      </w:pPr>
      <w:r w:rsidRPr="00860F7A">
        <w:rPr>
          <w:rFonts w:ascii="Verdana" w:hAnsi="Verdana" w:cs="Arial"/>
          <w:bCs/>
          <w:sz w:val="18"/>
          <w:szCs w:val="18"/>
          <w:lang w:val="es-ES" w:eastAsia="x-none"/>
        </w:rPr>
        <w:t>(Millones de pesos 2022)</w:t>
      </w:r>
    </w:p>
    <w:p w:rsidR="00860F7A" w:rsidRPr="00860F7A" w:rsidRDefault="00860F7A" w:rsidP="00860F7A">
      <w:pPr>
        <w:widowControl w:val="0"/>
        <w:tabs>
          <w:tab w:val="left" w:pos="567"/>
        </w:tabs>
        <w:autoSpaceDE w:val="0"/>
        <w:autoSpaceDN w:val="0"/>
        <w:adjustRightInd w:val="0"/>
        <w:jc w:val="center"/>
        <w:rPr>
          <w:rFonts w:ascii="Verdana" w:hAnsi="Verdana" w:cs="Arial"/>
          <w:bCs/>
          <w:sz w:val="18"/>
          <w:szCs w:val="18"/>
          <w:lang w:val="es-ES" w:eastAsia="x-none"/>
        </w:rPr>
      </w:pPr>
    </w:p>
    <w:tbl>
      <w:tblPr>
        <w:tblW w:w="0" w:type="auto"/>
        <w:jc w:val="center"/>
        <w:tblBorders>
          <w:top w:val="single" w:sz="4" w:space="0" w:color="4472C4"/>
          <w:left w:val="single" w:sz="4" w:space="0" w:color="4472C4"/>
          <w:bottom w:val="single" w:sz="4" w:space="0" w:color="4472C4"/>
          <w:right w:val="single" w:sz="4" w:space="0" w:color="4472C4"/>
        </w:tblBorders>
        <w:tblLook w:val="04A0" w:firstRow="1" w:lastRow="0" w:firstColumn="1" w:lastColumn="0" w:noHBand="0" w:noVBand="1"/>
      </w:tblPr>
      <w:tblGrid>
        <w:gridCol w:w="2569"/>
        <w:gridCol w:w="718"/>
        <w:gridCol w:w="809"/>
        <w:gridCol w:w="946"/>
        <w:gridCol w:w="946"/>
        <w:gridCol w:w="946"/>
        <w:gridCol w:w="946"/>
        <w:gridCol w:w="757"/>
      </w:tblGrid>
      <w:tr w:rsidR="00860F7A" w:rsidRPr="00860F7A" w:rsidTr="00177781">
        <w:trPr>
          <w:jc w:val="center"/>
        </w:trPr>
        <w:tc>
          <w:tcPr>
            <w:tcW w:w="3237" w:type="dxa"/>
            <w:tcBorders>
              <w:bottom w:val="single" w:sz="4" w:space="0" w:color="5B9BD5"/>
              <w:right w:val="nil"/>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Calibri"/>
                <w:b/>
                <w:bCs/>
                <w:color w:val="FFFFFF"/>
                <w:lang w:val="x-none" w:eastAsia="x-none"/>
              </w:rPr>
            </w:pPr>
            <w:r w:rsidRPr="00860F7A">
              <w:rPr>
                <w:rFonts w:ascii="Arial Narrow" w:hAnsi="Arial Narrow" w:cs="Calibri"/>
                <w:b/>
                <w:bCs/>
                <w:color w:val="FFFFFF"/>
                <w:lang w:val="x-none" w:eastAsia="x-none"/>
              </w:rPr>
              <w:t>Exenciones</w:t>
            </w:r>
          </w:p>
        </w:tc>
        <w:tc>
          <w:tcPr>
            <w:tcW w:w="718" w:type="dxa"/>
            <w:tcBorders>
              <w:bottom w:val="single" w:sz="4" w:space="0" w:color="5B9BD5"/>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Arial"/>
                <w:b/>
                <w:bCs/>
                <w:color w:val="FFFFFF"/>
                <w:lang w:val="es-ES" w:eastAsia="x-none"/>
              </w:rPr>
            </w:pPr>
            <w:r w:rsidRPr="00860F7A">
              <w:rPr>
                <w:rFonts w:ascii="Arial Narrow" w:hAnsi="Arial Narrow" w:cs="Calibri"/>
                <w:b/>
                <w:bCs/>
                <w:color w:val="FFFFFF"/>
                <w:lang w:val="x-none" w:eastAsia="x-none"/>
              </w:rPr>
              <w:t>2022</w:t>
            </w:r>
          </w:p>
        </w:tc>
        <w:tc>
          <w:tcPr>
            <w:tcW w:w="809" w:type="dxa"/>
            <w:tcBorders>
              <w:bottom w:val="single" w:sz="4" w:space="0" w:color="5B9BD5"/>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Arial"/>
                <w:b/>
                <w:bCs/>
                <w:color w:val="FFFFFF"/>
                <w:lang w:val="es-ES" w:eastAsia="x-none"/>
              </w:rPr>
            </w:pPr>
            <w:r w:rsidRPr="00860F7A">
              <w:rPr>
                <w:rFonts w:ascii="Arial Narrow" w:hAnsi="Arial Narrow" w:cs="Calibri"/>
                <w:b/>
                <w:bCs/>
                <w:color w:val="FFFFFF"/>
                <w:lang w:val="x-none" w:eastAsia="x-none"/>
              </w:rPr>
              <w:t>2023</w:t>
            </w:r>
          </w:p>
        </w:tc>
        <w:tc>
          <w:tcPr>
            <w:tcW w:w="946" w:type="dxa"/>
            <w:tcBorders>
              <w:bottom w:val="single" w:sz="4" w:space="0" w:color="5B9BD5"/>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Arial"/>
                <w:b/>
                <w:bCs/>
                <w:color w:val="FFFFFF"/>
                <w:lang w:val="es-ES" w:eastAsia="x-none"/>
              </w:rPr>
            </w:pPr>
            <w:r w:rsidRPr="00860F7A">
              <w:rPr>
                <w:rFonts w:ascii="Arial Narrow" w:hAnsi="Arial Narrow" w:cs="Calibri"/>
                <w:b/>
                <w:bCs/>
                <w:color w:val="FFFFFF"/>
                <w:lang w:val="x-none" w:eastAsia="x-none"/>
              </w:rPr>
              <w:t>2024</w:t>
            </w:r>
          </w:p>
        </w:tc>
        <w:tc>
          <w:tcPr>
            <w:tcW w:w="946" w:type="dxa"/>
            <w:tcBorders>
              <w:bottom w:val="single" w:sz="4" w:space="0" w:color="5B9BD5"/>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Arial"/>
                <w:b/>
                <w:bCs/>
                <w:color w:val="FFFFFF"/>
                <w:lang w:val="es-ES" w:eastAsia="x-none"/>
              </w:rPr>
            </w:pPr>
            <w:r w:rsidRPr="00860F7A">
              <w:rPr>
                <w:rFonts w:ascii="Arial Narrow" w:hAnsi="Arial Narrow" w:cs="Calibri"/>
                <w:b/>
                <w:bCs/>
                <w:color w:val="FFFFFF"/>
                <w:lang w:val="x-none" w:eastAsia="x-none"/>
              </w:rPr>
              <w:t>2025</w:t>
            </w:r>
          </w:p>
        </w:tc>
        <w:tc>
          <w:tcPr>
            <w:tcW w:w="946" w:type="dxa"/>
            <w:tcBorders>
              <w:bottom w:val="single" w:sz="4" w:space="0" w:color="5B9BD5"/>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Arial"/>
                <w:b/>
                <w:bCs/>
                <w:color w:val="FFFFFF"/>
                <w:lang w:val="es-ES" w:eastAsia="x-none"/>
              </w:rPr>
            </w:pPr>
            <w:r w:rsidRPr="00860F7A">
              <w:rPr>
                <w:rFonts w:ascii="Arial Narrow" w:hAnsi="Arial Narrow" w:cs="Calibri"/>
                <w:b/>
                <w:bCs/>
                <w:color w:val="FFFFFF"/>
                <w:lang w:val="x-none" w:eastAsia="x-none"/>
              </w:rPr>
              <w:t>2026</w:t>
            </w:r>
          </w:p>
        </w:tc>
        <w:tc>
          <w:tcPr>
            <w:tcW w:w="946" w:type="dxa"/>
            <w:tcBorders>
              <w:bottom w:val="single" w:sz="4" w:space="0" w:color="5B9BD5"/>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Arial"/>
                <w:b/>
                <w:bCs/>
                <w:color w:val="FFFFFF"/>
                <w:lang w:val="es-ES" w:eastAsia="x-none"/>
              </w:rPr>
            </w:pPr>
            <w:r w:rsidRPr="00860F7A">
              <w:rPr>
                <w:rFonts w:ascii="Arial Narrow" w:hAnsi="Arial Narrow" w:cs="Calibri"/>
                <w:b/>
                <w:bCs/>
                <w:color w:val="FFFFFF"/>
                <w:lang w:val="x-none" w:eastAsia="x-none"/>
              </w:rPr>
              <w:t>Régimen</w:t>
            </w:r>
          </w:p>
        </w:tc>
        <w:tc>
          <w:tcPr>
            <w:tcW w:w="794" w:type="dxa"/>
            <w:tcBorders>
              <w:bottom w:val="single" w:sz="4" w:space="0" w:color="5B9BD5"/>
            </w:tcBorders>
            <w:shd w:val="clear" w:color="auto" w:fill="4472C4"/>
            <w:vAlign w:val="center"/>
          </w:tcPr>
          <w:p w:rsidR="00860F7A" w:rsidRPr="00860F7A" w:rsidRDefault="00860F7A" w:rsidP="00860F7A">
            <w:pPr>
              <w:widowControl w:val="0"/>
              <w:tabs>
                <w:tab w:val="left" w:pos="567"/>
              </w:tabs>
              <w:autoSpaceDE w:val="0"/>
              <w:autoSpaceDN w:val="0"/>
              <w:adjustRightInd w:val="0"/>
              <w:jc w:val="center"/>
              <w:rPr>
                <w:rFonts w:ascii="Arial Narrow" w:hAnsi="Arial Narrow" w:cs="Arial"/>
                <w:b/>
                <w:bCs/>
                <w:color w:val="FFFFFF"/>
                <w:lang w:val="es-ES" w:eastAsia="x-none"/>
              </w:rPr>
            </w:pPr>
            <w:r w:rsidRPr="00860F7A">
              <w:rPr>
                <w:rFonts w:ascii="Arial Narrow" w:hAnsi="Arial Narrow" w:cs="Calibri"/>
                <w:b/>
                <w:bCs/>
                <w:color w:val="FFFFFF"/>
                <w:lang w:val="x-none" w:eastAsia="x-none"/>
              </w:rPr>
              <w:t>(% del PIB)</w:t>
            </w:r>
          </w:p>
        </w:tc>
      </w:tr>
      <w:tr w:rsidR="00860F7A" w:rsidRPr="00860F7A" w:rsidTr="00177781">
        <w:trPr>
          <w:jc w:val="center"/>
        </w:trPr>
        <w:tc>
          <w:tcPr>
            <w:tcW w:w="3237" w:type="dxa"/>
            <w:tcBorders>
              <w:top w:val="single" w:sz="4" w:space="0" w:color="4472C4"/>
              <w:left w:val="single" w:sz="4" w:space="0" w:color="5B9BD5"/>
              <w:bottom w:val="nil"/>
              <w:right w:val="nil"/>
            </w:tcBorders>
            <w:shd w:val="clear" w:color="auto" w:fill="FFFFFF"/>
            <w:vAlign w:val="center"/>
          </w:tcPr>
          <w:p w:rsidR="00860F7A" w:rsidRPr="00860F7A" w:rsidRDefault="00860F7A" w:rsidP="00860F7A">
            <w:pPr>
              <w:widowControl w:val="0"/>
              <w:tabs>
                <w:tab w:val="left" w:pos="567"/>
              </w:tabs>
              <w:autoSpaceDE w:val="0"/>
              <w:autoSpaceDN w:val="0"/>
              <w:adjustRightInd w:val="0"/>
              <w:rPr>
                <w:rFonts w:ascii="Arial Narrow" w:hAnsi="Arial Narrow" w:cs="Arial"/>
                <w:b/>
                <w:bCs/>
                <w:lang w:val="es-ES" w:eastAsia="x-none"/>
              </w:rPr>
            </w:pPr>
            <w:r w:rsidRPr="00860F7A">
              <w:rPr>
                <w:rFonts w:ascii="Arial Narrow" w:hAnsi="Arial Narrow" w:cs="Calibri"/>
                <w:b/>
                <w:bCs/>
                <w:color w:val="000000"/>
                <w:lang w:val="x-none" w:eastAsia="x-none"/>
              </w:rPr>
              <w:t>Exenciones en el mercado inmobiliario (CEEC)</w:t>
            </w:r>
          </w:p>
        </w:tc>
        <w:tc>
          <w:tcPr>
            <w:tcW w:w="718" w:type="dxa"/>
            <w:tcBorders>
              <w:top w:val="single" w:sz="4" w:space="0" w:color="4472C4"/>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c>
          <w:tcPr>
            <w:tcW w:w="809" w:type="dxa"/>
            <w:tcBorders>
              <w:top w:val="single" w:sz="4" w:space="0" w:color="4472C4"/>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c>
          <w:tcPr>
            <w:tcW w:w="946" w:type="dxa"/>
            <w:tcBorders>
              <w:top w:val="single" w:sz="4" w:space="0" w:color="4472C4"/>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c>
          <w:tcPr>
            <w:tcW w:w="946" w:type="dxa"/>
            <w:tcBorders>
              <w:top w:val="single" w:sz="4" w:space="0" w:color="4472C4"/>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c>
          <w:tcPr>
            <w:tcW w:w="946" w:type="dxa"/>
            <w:tcBorders>
              <w:top w:val="single" w:sz="4" w:space="0" w:color="4472C4"/>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c>
          <w:tcPr>
            <w:tcW w:w="946" w:type="dxa"/>
            <w:tcBorders>
              <w:top w:val="single" w:sz="4" w:space="0" w:color="4472C4"/>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c>
          <w:tcPr>
            <w:tcW w:w="794" w:type="dxa"/>
            <w:tcBorders>
              <w:top w:val="single" w:sz="4" w:space="0" w:color="4472C4"/>
              <w:bottom w:val="nil"/>
              <w:right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r>
      <w:tr w:rsidR="00860F7A" w:rsidRPr="00860F7A" w:rsidTr="00177781">
        <w:trPr>
          <w:jc w:val="center"/>
        </w:trPr>
        <w:tc>
          <w:tcPr>
            <w:tcW w:w="3237" w:type="dxa"/>
            <w:tcBorders>
              <w:top w:val="nil"/>
              <w:left w:val="single" w:sz="4" w:space="0" w:color="5B9BD5"/>
              <w:bottom w:val="nil"/>
              <w:right w:val="nil"/>
            </w:tcBorders>
            <w:shd w:val="clear" w:color="auto" w:fill="FFFFFF"/>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color w:val="000000"/>
                <w:lang w:val="x-none" w:eastAsia="x-none"/>
              </w:rPr>
              <w:t xml:space="preserve">Reducción transitoria de la tasa </w:t>
            </w:r>
          </w:p>
        </w:tc>
        <w:tc>
          <w:tcPr>
            <w:tcW w:w="718"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 </w:t>
            </w:r>
          </w:p>
        </w:tc>
        <w:tc>
          <w:tcPr>
            <w:tcW w:w="809"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187.119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187.119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794" w:type="dxa"/>
            <w:tcBorders>
              <w:top w:val="nil"/>
              <w:bottom w:val="nil"/>
              <w:right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p>
        </w:tc>
      </w:tr>
      <w:tr w:rsidR="00860F7A" w:rsidRPr="00860F7A" w:rsidTr="00177781">
        <w:trPr>
          <w:jc w:val="center"/>
        </w:trPr>
        <w:tc>
          <w:tcPr>
            <w:tcW w:w="3237" w:type="dxa"/>
            <w:tcBorders>
              <w:top w:val="nil"/>
              <w:left w:val="single" w:sz="4" w:space="0" w:color="5B9BD5"/>
              <w:bottom w:val="nil"/>
              <w:right w:val="nil"/>
            </w:tcBorders>
            <w:shd w:val="clear" w:color="auto" w:fill="FFFFFF"/>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color w:val="000000"/>
                <w:lang w:val="x-none" w:eastAsia="x-none"/>
              </w:rPr>
              <w:t xml:space="preserve">Eliminación de la franquicia </w:t>
            </w:r>
          </w:p>
        </w:tc>
        <w:tc>
          <w:tcPr>
            <w:tcW w:w="718"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809"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467.798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467.798 </w:t>
            </w:r>
          </w:p>
        </w:tc>
        <w:tc>
          <w:tcPr>
            <w:tcW w:w="946" w:type="dxa"/>
            <w:tcBorders>
              <w:top w:val="nil"/>
              <w:bottom w:val="nil"/>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467.798 </w:t>
            </w:r>
          </w:p>
        </w:tc>
        <w:tc>
          <w:tcPr>
            <w:tcW w:w="794" w:type="dxa"/>
            <w:tcBorders>
              <w:top w:val="nil"/>
              <w:bottom w:val="nil"/>
              <w:right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0,18%</w:t>
            </w:r>
          </w:p>
        </w:tc>
      </w:tr>
      <w:tr w:rsidR="00860F7A" w:rsidRPr="00860F7A" w:rsidTr="00177781">
        <w:trPr>
          <w:jc w:val="center"/>
        </w:trPr>
        <w:tc>
          <w:tcPr>
            <w:tcW w:w="3237" w:type="dxa"/>
            <w:tcBorders>
              <w:top w:val="nil"/>
              <w:left w:val="single" w:sz="4" w:space="0" w:color="5B9BD5"/>
              <w:bottom w:val="single" w:sz="4" w:space="0" w:color="5B9BD5"/>
              <w:right w:val="nil"/>
            </w:tcBorders>
            <w:shd w:val="clear" w:color="auto" w:fill="FFFFFF"/>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color w:val="000000"/>
                <w:lang w:val="x-none" w:eastAsia="x-none"/>
              </w:rPr>
              <w:t xml:space="preserve">3a vivienda de la franquicia </w:t>
            </w:r>
          </w:p>
        </w:tc>
        <w:tc>
          <w:tcPr>
            <w:tcW w:w="718" w:type="dxa"/>
            <w:tcBorders>
              <w:top w:val="nil"/>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809" w:type="dxa"/>
            <w:tcBorders>
              <w:top w:val="nil"/>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 </w:t>
            </w:r>
          </w:p>
        </w:tc>
        <w:tc>
          <w:tcPr>
            <w:tcW w:w="946" w:type="dxa"/>
            <w:tcBorders>
              <w:top w:val="nil"/>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10.060 </w:t>
            </w:r>
          </w:p>
        </w:tc>
        <w:tc>
          <w:tcPr>
            <w:tcW w:w="946" w:type="dxa"/>
            <w:tcBorders>
              <w:top w:val="nil"/>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10.060 </w:t>
            </w:r>
          </w:p>
        </w:tc>
        <w:tc>
          <w:tcPr>
            <w:tcW w:w="946" w:type="dxa"/>
            <w:tcBorders>
              <w:top w:val="nil"/>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10.060 </w:t>
            </w:r>
          </w:p>
        </w:tc>
        <w:tc>
          <w:tcPr>
            <w:tcW w:w="946" w:type="dxa"/>
            <w:tcBorders>
              <w:top w:val="nil"/>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10.060 </w:t>
            </w:r>
          </w:p>
        </w:tc>
        <w:tc>
          <w:tcPr>
            <w:tcW w:w="794" w:type="dxa"/>
            <w:tcBorders>
              <w:top w:val="nil"/>
              <w:bottom w:val="single" w:sz="4" w:space="0" w:color="5B9BD5"/>
              <w:right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0,00%</w:t>
            </w:r>
          </w:p>
        </w:tc>
      </w:tr>
      <w:tr w:rsidR="00860F7A" w:rsidRPr="00860F7A" w:rsidTr="00177781">
        <w:trPr>
          <w:jc w:val="center"/>
        </w:trPr>
        <w:tc>
          <w:tcPr>
            <w:tcW w:w="3237" w:type="dxa"/>
            <w:tcBorders>
              <w:top w:val="single" w:sz="4" w:space="0" w:color="4472C4"/>
              <w:bottom w:val="single" w:sz="4" w:space="0" w:color="4472C4"/>
              <w:right w:val="nil"/>
            </w:tcBorders>
            <w:shd w:val="clear" w:color="auto" w:fill="FFFFFF"/>
            <w:vAlign w:val="center"/>
          </w:tcPr>
          <w:p w:rsidR="00860F7A" w:rsidRPr="00860F7A" w:rsidRDefault="00860F7A" w:rsidP="00860F7A">
            <w:pPr>
              <w:spacing w:after="200" w:line="276" w:lineRule="auto"/>
              <w:rPr>
                <w:rFonts w:ascii="Arial Narrow" w:hAnsi="Arial Narrow" w:cs="Arial"/>
                <w:b/>
                <w:bCs/>
                <w:sz w:val="22"/>
                <w:lang w:val="es-CL" w:eastAsia="en-US"/>
              </w:rPr>
            </w:pPr>
            <w:r w:rsidRPr="00860F7A">
              <w:rPr>
                <w:rFonts w:ascii="Arial Narrow" w:hAnsi="Arial Narrow" w:cs="Calibri"/>
                <w:b/>
                <w:bCs/>
                <w:color w:val="000000"/>
                <w:sz w:val="22"/>
                <w:lang w:val="es-CL" w:eastAsia="en-US"/>
              </w:rPr>
              <w:t>Otras exenciones</w:t>
            </w:r>
          </w:p>
        </w:tc>
        <w:tc>
          <w:tcPr>
            <w:tcW w:w="718" w:type="dxa"/>
            <w:tcBorders>
              <w:top w:val="single" w:sz="4" w:space="0" w:color="4472C4"/>
              <w:bottom w:val="single" w:sz="4" w:space="0" w:color="4472C4"/>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43.061 </w:t>
            </w:r>
          </w:p>
        </w:tc>
        <w:tc>
          <w:tcPr>
            <w:tcW w:w="809" w:type="dxa"/>
            <w:tcBorders>
              <w:top w:val="single" w:sz="4" w:space="0" w:color="4472C4"/>
              <w:bottom w:val="single" w:sz="4" w:space="0" w:color="4472C4"/>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708.394 </w:t>
            </w:r>
          </w:p>
        </w:tc>
        <w:tc>
          <w:tcPr>
            <w:tcW w:w="946" w:type="dxa"/>
            <w:tcBorders>
              <w:top w:val="single" w:sz="4" w:space="0" w:color="4472C4"/>
              <w:bottom w:val="single" w:sz="4" w:space="0" w:color="4472C4"/>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1.180.697 </w:t>
            </w:r>
          </w:p>
        </w:tc>
        <w:tc>
          <w:tcPr>
            <w:tcW w:w="946" w:type="dxa"/>
            <w:tcBorders>
              <w:top w:val="single" w:sz="4" w:space="0" w:color="4472C4"/>
              <w:bottom w:val="single" w:sz="4" w:space="0" w:color="4472C4"/>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1.029.517 </w:t>
            </w:r>
          </w:p>
        </w:tc>
        <w:tc>
          <w:tcPr>
            <w:tcW w:w="946" w:type="dxa"/>
            <w:tcBorders>
              <w:top w:val="single" w:sz="4" w:space="0" w:color="4472C4"/>
              <w:bottom w:val="single" w:sz="4" w:space="0" w:color="4472C4"/>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1.064.517 </w:t>
            </w:r>
          </w:p>
        </w:tc>
        <w:tc>
          <w:tcPr>
            <w:tcW w:w="946" w:type="dxa"/>
            <w:tcBorders>
              <w:top w:val="single" w:sz="4" w:space="0" w:color="4472C4"/>
              <w:bottom w:val="single" w:sz="4" w:space="0" w:color="4472C4"/>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 xml:space="preserve">1.224.473 </w:t>
            </w:r>
          </w:p>
        </w:tc>
        <w:tc>
          <w:tcPr>
            <w:tcW w:w="794" w:type="dxa"/>
            <w:tcBorders>
              <w:top w:val="single" w:sz="4" w:space="0" w:color="4472C4"/>
              <w:bottom w:val="single" w:sz="4" w:space="0" w:color="4472C4"/>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Cs/>
                <w:lang w:val="es-ES" w:eastAsia="x-none"/>
              </w:rPr>
            </w:pPr>
            <w:r w:rsidRPr="00860F7A">
              <w:rPr>
                <w:rFonts w:ascii="Arial Narrow" w:hAnsi="Arial Narrow" w:cs="Calibri"/>
                <w:color w:val="000000"/>
                <w:lang w:val="x-none" w:eastAsia="x-none"/>
              </w:rPr>
              <w:t>0,49%</w:t>
            </w:r>
          </w:p>
        </w:tc>
      </w:tr>
      <w:tr w:rsidR="00860F7A" w:rsidRPr="00860F7A" w:rsidTr="00177781">
        <w:trPr>
          <w:jc w:val="center"/>
        </w:trPr>
        <w:tc>
          <w:tcPr>
            <w:tcW w:w="3237" w:type="dxa"/>
            <w:tcBorders>
              <w:top w:val="single" w:sz="4" w:space="0" w:color="5B9BD5"/>
              <w:bottom w:val="single" w:sz="4" w:space="0" w:color="5B9BD5"/>
              <w:right w:val="nil"/>
            </w:tcBorders>
            <w:shd w:val="clear" w:color="auto" w:fill="FFFFFF"/>
            <w:vAlign w:val="center"/>
          </w:tcPr>
          <w:p w:rsidR="00860F7A" w:rsidRPr="00860F7A" w:rsidRDefault="00860F7A" w:rsidP="00860F7A">
            <w:pPr>
              <w:spacing w:after="200" w:line="276" w:lineRule="auto"/>
              <w:rPr>
                <w:rFonts w:ascii="Arial Narrow" w:hAnsi="Arial Narrow" w:cs="Arial"/>
                <w:b/>
                <w:bCs/>
                <w:sz w:val="22"/>
                <w:lang w:val="es-ES" w:eastAsia="en-US"/>
              </w:rPr>
            </w:pPr>
            <w:r w:rsidRPr="00860F7A">
              <w:rPr>
                <w:rFonts w:ascii="Arial Narrow" w:hAnsi="Arial Narrow" w:cs="Calibri"/>
                <w:b/>
                <w:bCs/>
                <w:color w:val="000000"/>
                <w:sz w:val="22"/>
                <w:lang w:val="es-CL" w:eastAsia="en-US"/>
              </w:rPr>
              <w:t>Total exenciones</w:t>
            </w:r>
          </w:p>
        </w:tc>
        <w:tc>
          <w:tcPr>
            <w:tcW w:w="718" w:type="dxa"/>
            <w:tcBorders>
              <w:top w:val="single" w:sz="4" w:space="0" w:color="5B9BD5"/>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b/>
                <w:bCs/>
                <w:color w:val="000000"/>
                <w:lang w:val="x-none" w:eastAsia="x-none"/>
              </w:rPr>
              <w:t xml:space="preserve">43.601 </w:t>
            </w:r>
          </w:p>
        </w:tc>
        <w:tc>
          <w:tcPr>
            <w:tcW w:w="809" w:type="dxa"/>
            <w:tcBorders>
              <w:top w:val="single" w:sz="4" w:space="0" w:color="5B9BD5"/>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b/>
                <w:bCs/>
                <w:color w:val="000000"/>
                <w:lang w:val="x-none" w:eastAsia="x-none"/>
              </w:rPr>
              <w:t xml:space="preserve">895.513 </w:t>
            </w:r>
          </w:p>
        </w:tc>
        <w:tc>
          <w:tcPr>
            <w:tcW w:w="946" w:type="dxa"/>
            <w:tcBorders>
              <w:top w:val="single" w:sz="4" w:space="0" w:color="5B9BD5"/>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b/>
                <w:bCs/>
                <w:color w:val="000000"/>
                <w:lang w:val="x-none" w:eastAsia="x-none"/>
              </w:rPr>
              <w:t xml:space="preserve">1.377.876 </w:t>
            </w:r>
          </w:p>
        </w:tc>
        <w:tc>
          <w:tcPr>
            <w:tcW w:w="946" w:type="dxa"/>
            <w:tcBorders>
              <w:top w:val="single" w:sz="4" w:space="0" w:color="5B9BD5"/>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b/>
                <w:bCs/>
                <w:color w:val="000000"/>
                <w:lang w:val="x-none" w:eastAsia="x-none"/>
              </w:rPr>
              <w:t xml:space="preserve">1.507.375 </w:t>
            </w:r>
          </w:p>
        </w:tc>
        <w:tc>
          <w:tcPr>
            <w:tcW w:w="946" w:type="dxa"/>
            <w:tcBorders>
              <w:top w:val="single" w:sz="4" w:space="0" w:color="5B9BD5"/>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b/>
                <w:bCs/>
                <w:color w:val="000000"/>
                <w:lang w:val="x-none" w:eastAsia="x-none"/>
              </w:rPr>
              <w:t xml:space="preserve">1.542.375 </w:t>
            </w:r>
          </w:p>
        </w:tc>
        <w:tc>
          <w:tcPr>
            <w:tcW w:w="946" w:type="dxa"/>
            <w:tcBorders>
              <w:top w:val="single" w:sz="4" w:space="0" w:color="5B9BD5"/>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b/>
                <w:bCs/>
                <w:color w:val="000000"/>
                <w:lang w:val="x-none" w:eastAsia="x-none"/>
              </w:rPr>
              <w:t xml:space="preserve">1.702.331 </w:t>
            </w:r>
          </w:p>
        </w:tc>
        <w:tc>
          <w:tcPr>
            <w:tcW w:w="794" w:type="dxa"/>
            <w:tcBorders>
              <w:top w:val="single" w:sz="4" w:space="0" w:color="5B9BD5"/>
              <w:bottom w:val="single" w:sz="4" w:space="0" w:color="5B9BD5"/>
            </w:tcBorders>
            <w:shd w:val="clear" w:color="auto" w:fill="auto"/>
            <w:vAlign w:val="center"/>
          </w:tcPr>
          <w:p w:rsidR="00860F7A" w:rsidRPr="00860F7A" w:rsidRDefault="00860F7A" w:rsidP="00860F7A">
            <w:pPr>
              <w:widowControl w:val="0"/>
              <w:tabs>
                <w:tab w:val="left" w:pos="567"/>
              </w:tabs>
              <w:autoSpaceDE w:val="0"/>
              <w:autoSpaceDN w:val="0"/>
              <w:adjustRightInd w:val="0"/>
              <w:jc w:val="right"/>
              <w:rPr>
                <w:rFonts w:ascii="Arial Narrow" w:hAnsi="Arial Narrow" w:cs="Arial"/>
                <w:b/>
                <w:bCs/>
                <w:lang w:val="es-ES" w:eastAsia="x-none"/>
              </w:rPr>
            </w:pPr>
            <w:r w:rsidRPr="00860F7A">
              <w:rPr>
                <w:rFonts w:ascii="Arial Narrow" w:hAnsi="Arial Narrow" w:cs="Calibri"/>
                <w:b/>
                <w:bCs/>
                <w:color w:val="000000"/>
                <w:lang w:val="x-none" w:eastAsia="x-none"/>
              </w:rPr>
              <w:t>0,67%</w:t>
            </w:r>
          </w:p>
        </w:tc>
      </w:tr>
      <w:tr w:rsidR="00860F7A" w:rsidRPr="00860F7A" w:rsidTr="00177781">
        <w:trPr>
          <w:jc w:val="center"/>
        </w:trPr>
        <w:tc>
          <w:tcPr>
            <w:tcW w:w="9342" w:type="dxa"/>
            <w:gridSpan w:val="8"/>
            <w:tcBorders>
              <w:top w:val="single" w:sz="4" w:space="0" w:color="4472C4"/>
              <w:left w:val="nil"/>
              <w:bottom w:val="nil"/>
              <w:right w:val="nil"/>
            </w:tcBorders>
            <w:shd w:val="clear" w:color="auto" w:fill="FFFFFF"/>
            <w:vAlign w:val="center"/>
          </w:tcPr>
          <w:p w:rsidR="00860F7A" w:rsidRPr="00860F7A" w:rsidRDefault="00860F7A" w:rsidP="00860F7A">
            <w:pPr>
              <w:widowControl w:val="0"/>
              <w:tabs>
                <w:tab w:val="left" w:pos="567"/>
              </w:tabs>
              <w:autoSpaceDE w:val="0"/>
              <w:autoSpaceDN w:val="0"/>
              <w:adjustRightInd w:val="0"/>
              <w:rPr>
                <w:rFonts w:ascii="Arial Narrow" w:hAnsi="Arial Narrow" w:cs="Calibri"/>
                <w:b/>
                <w:bCs/>
                <w:color w:val="000000"/>
                <w:lang w:val="x-none" w:eastAsia="x-none"/>
              </w:rPr>
            </w:pPr>
            <w:r w:rsidRPr="00860F7A">
              <w:rPr>
                <w:rFonts w:ascii="Arial Narrow" w:hAnsi="Arial Narrow" w:cs="Calibri"/>
                <w:b/>
                <w:bCs/>
                <w:color w:val="000000"/>
                <w:sz w:val="16"/>
                <w:szCs w:val="16"/>
                <w:lang w:val="x-none" w:eastAsia="x-none"/>
              </w:rPr>
              <w:t xml:space="preserve">Fuente: </w:t>
            </w:r>
            <w:r w:rsidRPr="00860F7A">
              <w:rPr>
                <w:rFonts w:ascii="Arial Narrow" w:hAnsi="Arial Narrow" w:cs="Calibri"/>
                <w:color w:val="000000"/>
                <w:sz w:val="16"/>
                <w:szCs w:val="16"/>
                <w:lang w:val="x-none" w:eastAsia="x-none"/>
              </w:rPr>
              <w:t>Informes Financieros N°163 de 2021 y N°12 de 2022</w:t>
            </w:r>
          </w:p>
        </w:tc>
      </w:tr>
    </w:tbl>
    <w:p w:rsidR="00860F7A" w:rsidRPr="00860F7A" w:rsidRDefault="00860F7A" w:rsidP="00860F7A">
      <w:pPr>
        <w:widowControl w:val="0"/>
        <w:tabs>
          <w:tab w:val="left" w:pos="567"/>
        </w:tabs>
        <w:autoSpaceDE w:val="0"/>
        <w:autoSpaceDN w:val="0"/>
        <w:adjustRightInd w:val="0"/>
        <w:jc w:val="center"/>
        <w:rPr>
          <w:rFonts w:ascii="Verdana" w:hAnsi="Verdana" w:cs="Arial"/>
          <w:bCs/>
          <w:sz w:val="18"/>
          <w:szCs w:val="18"/>
          <w:lang w:val="es-ES" w:eastAsia="x-none"/>
        </w:rPr>
      </w:pPr>
    </w:p>
    <w:p w:rsidR="00860F7A" w:rsidRPr="00860F7A" w:rsidRDefault="00860F7A" w:rsidP="00860F7A">
      <w:pPr>
        <w:widowControl w:val="0"/>
        <w:autoSpaceDE w:val="0"/>
        <w:autoSpaceDN w:val="0"/>
        <w:adjustRightInd w:val="0"/>
        <w:spacing w:after="200"/>
        <w:ind w:left="212" w:right="-234"/>
        <w:jc w:val="both"/>
        <w:rPr>
          <w:rFonts w:ascii="Arial" w:hAnsi="Arial" w:cs="Arial"/>
          <w:b/>
          <w:bCs/>
          <w:sz w:val="18"/>
          <w:szCs w:val="18"/>
          <w:lang w:val="en-US" w:eastAsia="x-none"/>
        </w:rPr>
      </w:pPr>
      <w:r>
        <w:rPr>
          <w:rFonts w:ascii="Arial" w:hAnsi="Arial" w:cs="Arial"/>
          <w:b/>
          <w:bCs/>
          <w:sz w:val="18"/>
          <w:szCs w:val="18"/>
          <w:lang w:val="en-US" w:eastAsia="x-none"/>
        </w:rPr>
        <w:t>F</w:t>
      </w:r>
      <w:r w:rsidRPr="00860F7A">
        <w:rPr>
          <w:rFonts w:ascii="Arial" w:hAnsi="Arial" w:cs="Arial"/>
          <w:b/>
          <w:bCs/>
          <w:sz w:val="18"/>
          <w:szCs w:val="18"/>
          <w:lang w:val="en-US" w:eastAsia="x-none"/>
        </w:rPr>
        <w:t xml:space="preserve">uentes de </w:t>
      </w:r>
      <w:proofErr w:type="spellStart"/>
      <w:r w:rsidRPr="00860F7A">
        <w:rPr>
          <w:rFonts w:ascii="Arial" w:hAnsi="Arial" w:cs="Arial"/>
          <w:b/>
          <w:bCs/>
          <w:sz w:val="18"/>
          <w:szCs w:val="18"/>
          <w:lang w:val="en-US" w:eastAsia="x-none"/>
        </w:rPr>
        <w:t>Información</w:t>
      </w:r>
      <w:proofErr w:type="spellEnd"/>
    </w:p>
    <w:p w:rsidR="00860F7A" w:rsidRPr="00860F7A" w:rsidRDefault="00860F7A" w:rsidP="00B46917">
      <w:pPr>
        <w:widowControl w:val="0"/>
        <w:autoSpaceDE w:val="0"/>
        <w:autoSpaceDN w:val="0"/>
        <w:adjustRightInd w:val="0"/>
        <w:ind w:right="-234"/>
        <w:jc w:val="both"/>
        <w:rPr>
          <w:rFonts w:ascii="Arial" w:hAnsi="Arial" w:cs="Arial"/>
          <w:bCs/>
          <w:sz w:val="18"/>
          <w:szCs w:val="18"/>
          <w:lang w:val="en-US" w:eastAsia="x-none"/>
        </w:rPr>
      </w:pPr>
      <w:proofErr w:type="spellStart"/>
      <w:r w:rsidRPr="00860F7A">
        <w:rPr>
          <w:rFonts w:ascii="Arial" w:hAnsi="Arial" w:cs="Arial"/>
          <w:bCs/>
          <w:sz w:val="18"/>
          <w:szCs w:val="18"/>
          <w:lang w:val="en-US" w:eastAsia="x-none"/>
        </w:rPr>
        <w:t>Mensaje</w:t>
      </w:r>
      <w:proofErr w:type="spellEnd"/>
      <w:r w:rsidRPr="00860F7A">
        <w:rPr>
          <w:rFonts w:ascii="Arial" w:hAnsi="Arial" w:cs="Arial"/>
          <w:bCs/>
          <w:sz w:val="18"/>
          <w:szCs w:val="18"/>
          <w:lang w:val="en-US" w:eastAsia="x-none"/>
        </w:rPr>
        <w:t xml:space="preserve"> N° 465-369 de S.E. el </w:t>
      </w:r>
      <w:proofErr w:type="spellStart"/>
      <w:r w:rsidRPr="00860F7A">
        <w:rPr>
          <w:rFonts w:ascii="Arial" w:hAnsi="Arial" w:cs="Arial"/>
          <w:bCs/>
          <w:sz w:val="18"/>
          <w:szCs w:val="18"/>
          <w:lang w:val="en-US" w:eastAsia="x-none"/>
        </w:rPr>
        <w:t>Presidente</w:t>
      </w:r>
      <w:proofErr w:type="spellEnd"/>
      <w:r w:rsidRPr="00860F7A">
        <w:rPr>
          <w:rFonts w:ascii="Arial" w:hAnsi="Arial" w:cs="Arial"/>
          <w:bCs/>
          <w:sz w:val="18"/>
          <w:szCs w:val="18"/>
          <w:lang w:val="en-US" w:eastAsia="x-none"/>
        </w:rPr>
        <w:t xml:space="preserve"> de la </w:t>
      </w:r>
      <w:proofErr w:type="spellStart"/>
      <w:r w:rsidRPr="00860F7A">
        <w:rPr>
          <w:rFonts w:ascii="Arial" w:hAnsi="Arial" w:cs="Arial"/>
          <w:bCs/>
          <w:sz w:val="18"/>
          <w:szCs w:val="18"/>
          <w:lang w:val="en-US" w:eastAsia="x-none"/>
        </w:rPr>
        <w:t>República</w:t>
      </w:r>
      <w:proofErr w:type="spellEnd"/>
      <w:r w:rsidRPr="00860F7A">
        <w:rPr>
          <w:rFonts w:ascii="Arial" w:hAnsi="Arial" w:cs="Arial"/>
          <w:bCs/>
          <w:sz w:val="18"/>
          <w:szCs w:val="18"/>
          <w:lang w:val="en-US" w:eastAsia="x-none"/>
        </w:rPr>
        <w:t xml:space="preserve"> con el que </w:t>
      </w:r>
      <w:proofErr w:type="spellStart"/>
      <w:r w:rsidRPr="00860F7A">
        <w:rPr>
          <w:rFonts w:ascii="Arial" w:hAnsi="Arial" w:cs="Arial"/>
          <w:bCs/>
          <w:sz w:val="18"/>
          <w:szCs w:val="18"/>
          <w:lang w:val="en-US" w:eastAsia="x-none"/>
        </w:rPr>
        <w:t>inicia</w:t>
      </w:r>
      <w:proofErr w:type="spellEnd"/>
      <w:r w:rsidRPr="00860F7A">
        <w:rPr>
          <w:rFonts w:ascii="Arial" w:hAnsi="Arial" w:cs="Arial"/>
          <w:bCs/>
          <w:sz w:val="18"/>
          <w:szCs w:val="18"/>
          <w:lang w:val="en-US" w:eastAsia="x-none"/>
        </w:rPr>
        <w:t xml:space="preserve"> un Proyecto de Ley que </w:t>
      </w:r>
      <w:proofErr w:type="spellStart"/>
      <w:r w:rsidRPr="00860F7A">
        <w:rPr>
          <w:rFonts w:ascii="Arial" w:hAnsi="Arial" w:cs="Arial"/>
          <w:bCs/>
          <w:sz w:val="18"/>
          <w:szCs w:val="18"/>
          <w:lang w:val="en-US" w:eastAsia="x-none"/>
        </w:rPr>
        <w:t>modifica</w:t>
      </w:r>
      <w:proofErr w:type="spellEnd"/>
      <w:r w:rsidRPr="00860F7A">
        <w:rPr>
          <w:rFonts w:ascii="Arial" w:hAnsi="Arial" w:cs="Arial"/>
          <w:bCs/>
          <w:sz w:val="18"/>
          <w:szCs w:val="18"/>
          <w:lang w:val="en-US" w:eastAsia="x-none"/>
        </w:rPr>
        <w:t xml:space="preserve"> la Ley N° 21.420, que reduce o </w:t>
      </w:r>
      <w:proofErr w:type="spellStart"/>
      <w:r w:rsidRPr="00860F7A">
        <w:rPr>
          <w:rFonts w:ascii="Arial" w:hAnsi="Arial" w:cs="Arial"/>
          <w:bCs/>
          <w:sz w:val="18"/>
          <w:szCs w:val="18"/>
          <w:lang w:val="en-US" w:eastAsia="x-none"/>
        </w:rPr>
        <w:t>elimina</w:t>
      </w:r>
      <w:proofErr w:type="spellEnd"/>
      <w:r w:rsidRPr="00860F7A">
        <w:rPr>
          <w:rFonts w:ascii="Arial" w:hAnsi="Arial" w:cs="Arial"/>
          <w:bCs/>
          <w:sz w:val="18"/>
          <w:szCs w:val="18"/>
          <w:lang w:val="en-US" w:eastAsia="x-none"/>
        </w:rPr>
        <w:t xml:space="preserve"> </w:t>
      </w:r>
      <w:proofErr w:type="spellStart"/>
      <w:r w:rsidRPr="00860F7A">
        <w:rPr>
          <w:rFonts w:ascii="Arial" w:hAnsi="Arial" w:cs="Arial"/>
          <w:bCs/>
          <w:sz w:val="18"/>
          <w:szCs w:val="18"/>
          <w:lang w:val="en-US" w:eastAsia="x-none"/>
        </w:rPr>
        <w:t>exenciones</w:t>
      </w:r>
      <w:proofErr w:type="spellEnd"/>
      <w:r w:rsidRPr="00860F7A">
        <w:rPr>
          <w:rFonts w:ascii="Arial" w:hAnsi="Arial" w:cs="Arial"/>
          <w:bCs/>
          <w:sz w:val="18"/>
          <w:szCs w:val="18"/>
          <w:lang w:val="en-US" w:eastAsia="x-none"/>
        </w:rPr>
        <w:t xml:space="preserve"> </w:t>
      </w:r>
      <w:proofErr w:type="spellStart"/>
      <w:r w:rsidRPr="00860F7A">
        <w:rPr>
          <w:rFonts w:ascii="Arial" w:hAnsi="Arial" w:cs="Arial"/>
          <w:bCs/>
          <w:sz w:val="18"/>
          <w:szCs w:val="18"/>
          <w:lang w:val="en-US" w:eastAsia="x-none"/>
        </w:rPr>
        <w:t>tributarias</w:t>
      </w:r>
      <w:proofErr w:type="spellEnd"/>
      <w:r w:rsidRPr="00860F7A">
        <w:rPr>
          <w:rFonts w:ascii="Arial" w:hAnsi="Arial" w:cs="Arial"/>
          <w:bCs/>
          <w:sz w:val="18"/>
          <w:szCs w:val="18"/>
          <w:lang w:val="en-US" w:eastAsia="x-none"/>
        </w:rPr>
        <w:t xml:space="preserve"> que </w:t>
      </w:r>
      <w:proofErr w:type="spellStart"/>
      <w:r w:rsidRPr="00860F7A">
        <w:rPr>
          <w:rFonts w:ascii="Arial" w:hAnsi="Arial" w:cs="Arial"/>
          <w:bCs/>
          <w:sz w:val="18"/>
          <w:szCs w:val="18"/>
          <w:lang w:val="en-US" w:eastAsia="x-none"/>
        </w:rPr>
        <w:t>indica</w:t>
      </w:r>
      <w:proofErr w:type="spellEnd"/>
      <w:r w:rsidRPr="00860F7A">
        <w:rPr>
          <w:rFonts w:ascii="Arial" w:hAnsi="Arial" w:cs="Arial"/>
          <w:bCs/>
          <w:sz w:val="18"/>
          <w:szCs w:val="18"/>
          <w:lang w:val="en-US" w:eastAsia="x-none"/>
        </w:rPr>
        <w:t>.</w:t>
      </w:r>
    </w:p>
    <w:p w:rsidR="00860F7A" w:rsidRPr="00860F7A" w:rsidRDefault="00860F7A" w:rsidP="00B46917">
      <w:pPr>
        <w:widowControl w:val="0"/>
        <w:autoSpaceDE w:val="0"/>
        <w:autoSpaceDN w:val="0"/>
        <w:adjustRightInd w:val="0"/>
        <w:ind w:right="-234"/>
        <w:jc w:val="both"/>
        <w:rPr>
          <w:rFonts w:ascii="Arial" w:hAnsi="Arial" w:cs="Arial"/>
          <w:bCs/>
          <w:sz w:val="18"/>
          <w:szCs w:val="18"/>
          <w:lang w:val="en-US" w:eastAsia="x-none"/>
        </w:rPr>
      </w:pPr>
      <w:proofErr w:type="spellStart"/>
      <w:r w:rsidRPr="00860F7A">
        <w:rPr>
          <w:rFonts w:ascii="Arial" w:hAnsi="Arial" w:cs="Arial"/>
          <w:bCs/>
          <w:sz w:val="18"/>
          <w:szCs w:val="18"/>
          <w:lang w:val="en-US" w:eastAsia="x-none"/>
        </w:rPr>
        <w:t>Informes</w:t>
      </w:r>
      <w:proofErr w:type="spellEnd"/>
      <w:r w:rsidRPr="00860F7A">
        <w:rPr>
          <w:rFonts w:ascii="Arial" w:hAnsi="Arial" w:cs="Arial"/>
          <w:bCs/>
          <w:sz w:val="18"/>
          <w:szCs w:val="18"/>
          <w:lang w:val="en-US" w:eastAsia="x-none"/>
        </w:rPr>
        <w:t xml:space="preserve"> </w:t>
      </w:r>
      <w:proofErr w:type="spellStart"/>
      <w:r w:rsidRPr="00860F7A">
        <w:rPr>
          <w:rFonts w:ascii="Arial" w:hAnsi="Arial" w:cs="Arial"/>
          <w:bCs/>
          <w:sz w:val="18"/>
          <w:szCs w:val="18"/>
          <w:lang w:val="en-US" w:eastAsia="x-none"/>
        </w:rPr>
        <w:t>Financieros</w:t>
      </w:r>
      <w:proofErr w:type="spellEnd"/>
      <w:r w:rsidRPr="00860F7A">
        <w:rPr>
          <w:rFonts w:ascii="Arial" w:hAnsi="Arial" w:cs="Arial"/>
          <w:bCs/>
          <w:sz w:val="18"/>
          <w:szCs w:val="18"/>
          <w:lang w:val="en-US" w:eastAsia="x-none"/>
        </w:rPr>
        <w:t xml:space="preserve"> N° 163 de 2021 y Nº12 de 2022, </w:t>
      </w:r>
      <w:proofErr w:type="spellStart"/>
      <w:r w:rsidRPr="00860F7A">
        <w:rPr>
          <w:rFonts w:ascii="Arial" w:hAnsi="Arial" w:cs="Arial"/>
          <w:bCs/>
          <w:sz w:val="18"/>
          <w:szCs w:val="18"/>
          <w:lang w:val="en-US" w:eastAsia="x-none"/>
        </w:rPr>
        <w:t>correspondiente</w:t>
      </w:r>
      <w:proofErr w:type="spellEnd"/>
      <w:r w:rsidRPr="00860F7A">
        <w:rPr>
          <w:rFonts w:ascii="Arial" w:hAnsi="Arial" w:cs="Arial"/>
          <w:bCs/>
          <w:sz w:val="18"/>
          <w:szCs w:val="18"/>
          <w:lang w:val="en-US" w:eastAsia="x-none"/>
        </w:rPr>
        <w:t xml:space="preserve"> al </w:t>
      </w:r>
      <w:proofErr w:type="spellStart"/>
      <w:r w:rsidRPr="00860F7A">
        <w:rPr>
          <w:rFonts w:ascii="Arial" w:hAnsi="Arial" w:cs="Arial"/>
          <w:bCs/>
          <w:sz w:val="18"/>
          <w:szCs w:val="18"/>
          <w:lang w:val="en-US" w:eastAsia="x-none"/>
        </w:rPr>
        <w:t>Boletín</w:t>
      </w:r>
      <w:proofErr w:type="spellEnd"/>
      <w:r w:rsidRPr="00860F7A">
        <w:rPr>
          <w:rFonts w:ascii="Arial" w:hAnsi="Arial" w:cs="Arial"/>
          <w:bCs/>
          <w:sz w:val="18"/>
          <w:szCs w:val="18"/>
          <w:lang w:val="en-US" w:eastAsia="x-none"/>
        </w:rPr>
        <w:t xml:space="preserve"> N°14.763- 05.</w:t>
      </w:r>
    </w:p>
    <w:p w:rsidR="00860F7A" w:rsidRPr="00860F7A" w:rsidRDefault="00860F7A" w:rsidP="00B46917">
      <w:pPr>
        <w:widowControl w:val="0"/>
        <w:autoSpaceDE w:val="0"/>
        <w:autoSpaceDN w:val="0"/>
        <w:adjustRightInd w:val="0"/>
        <w:ind w:right="-234"/>
        <w:jc w:val="both"/>
        <w:rPr>
          <w:rFonts w:ascii="Arial" w:hAnsi="Arial" w:cs="Arial"/>
          <w:bCs/>
          <w:sz w:val="18"/>
          <w:szCs w:val="18"/>
          <w:lang w:val="en-US" w:eastAsia="x-none"/>
        </w:rPr>
      </w:pPr>
      <w:r w:rsidRPr="00860F7A">
        <w:rPr>
          <w:rFonts w:ascii="Arial" w:hAnsi="Arial" w:cs="Arial"/>
          <w:bCs/>
          <w:sz w:val="18"/>
          <w:szCs w:val="18"/>
          <w:lang w:val="en-US" w:eastAsia="x-none"/>
        </w:rPr>
        <w:t xml:space="preserve">Ley de </w:t>
      </w:r>
      <w:proofErr w:type="spellStart"/>
      <w:r w:rsidRPr="00860F7A">
        <w:rPr>
          <w:rFonts w:ascii="Arial" w:hAnsi="Arial" w:cs="Arial"/>
          <w:bCs/>
          <w:sz w:val="18"/>
          <w:szCs w:val="18"/>
          <w:lang w:val="en-US" w:eastAsia="x-none"/>
        </w:rPr>
        <w:t>Presupuestos</w:t>
      </w:r>
      <w:proofErr w:type="spellEnd"/>
      <w:r w:rsidRPr="00860F7A">
        <w:rPr>
          <w:rFonts w:ascii="Arial" w:hAnsi="Arial" w:cs="Arial"/>
          <w:bCs/>
          <w:sz w:val="18"/>
          <w:szCs w:val="18"/>
          <w:lang w:val="en-US" w:eastAsia="x-none"/>
        </w:rPr>
        <w:t xml:space="preserve"> </w:t>
      </w:r>
      <w:proofErr w:type="gramStart"/>
      <w:r w:rsidRPr="00860F7A">
        <w:rPr>
          <w:rFonts w:ascii="Arial" w:hAnsi="Arial" w:cs="Arial"/>
          <w:bCs/>
          <w:sz w:val="18"/>
          <w:szCs w:val="18"/>
          <w:lang w:val="en-US" w:eastAsia="x-none"/>
        </w:rPr>
        <w:t>del</w:t>
      </w:r>
      <w:proofErr w:type="gramEnd"/>
      <w:r w:rsidRPr="00860F7A">
        <w:rPr>
          <w:rFonts w:ascii="Arial" w:hAnsi="Arial" w:cs="Arial"/>
          <w:bCs/>
          <w:sz w:val="18"/>
          <w:szCs w:val="18"/>
          <w:lang w:val="en-US" w:eastAsia="x-none"/>
        </w:rPr>
        <w:t xml:space="preserve"> Sector </w:t>
      </w:r>
      <w:proofErr w:type="spellStart"/>
      <w:r w:rsidRPr="00860F7A">
        <w:rPr>
          <w:rFonts w:ascii="Arial" w:hAnsi="Arial" w:cs="Arial"/>
          <w:bCs/>
          <w:sz w:val="18"/>
          <w:szCs w:val="18"/>
          <w:lang w:val="en-US" w:eastAsia="x-none"/>
        </w:rPr>
        <w:t>Público</w:t>
      </w:r>
      <w:proofErr w:type="spellEnd"/>
      <w:r w:rsidRPr="00860F7A">
        <w:rPr>
          <w:rFonts w:ascii="Arial" w:hAnsi="Arial" w:cs="Arial"/>
          <w:bCs/>
          <w:sz w:val="18"/>
          <w:szCs w:val="18"/>
          <w:lang w:val="en-US" w:eastAsia="x-none"/>
        </w:rPr>
        <w:t xml:space="preserve"> 2022, </w:t>
      </w:r>
      <w:proofErr w:type="spellStart"/>
      <w:r w:rsidRPr="00860F7A">
        <w:rPr>
          <w:rFonts w:ascii="Arial" w:hAnsi="Arial" w:cs="Arial"/>
          <w:bCs/>
          <w:sz w:val="18"/>
          <w:szCs w:val="18"/>
          <w:lang w:val="en-US" w:eastAsia="x-none"/>
        </w:rPr>
        <w:t>Dirección</w:t>
      </w:r>
      <w:proofErr w:type="spellEnd"/>
      <w:r w:rsidRPr="00860F7A">
        <w:rPr>
          <w:rFonts w:ascii="Arial" w:hAnsi="Arial" w:cs="Arial"/>
          <w:bCs/>
          <w:sz w:val="18"/>
          <w:szCs w:val="18"/>
          <w:lang w:val="en-US" w:eastAsia="x-none"/>
        </w:rPr>
        <w:t xml:space="preserve"> de </w:t>
      </w:r>
      <w:proofErr w:type="spellStart"/>
      <w:r w:rsidRPr="00860F7A">
        <w:rPr>
          <w:rFonts w:ascii="Arial" w:hAnsi="Arial" w:cs="Arial"/>
          <w:bCs/>
          <w:sz w:val="18"/>
          <w:szCs w:val="18"/>
          <w:lang w:val="en-US" w:eastAsia="x-none"/>
        </w:rPr>
        <w:t>Presupuestos</w:t>
      </w:r>
      <w:proofErr w:type="spellEnd"/>
      <w:r w:rsidRPr="00860F7A">
        <w:rPr>
          <w:rFonts w:ascii="Arial" w:hAnsi="Arial" w:cs="Arial"/>
          <w:bCs/>
          <w:sz w:val="18"/>
          <w:szCs w:val="18"/>
          <w:lang w:val="en-US" w:eastAsia="x-none"/>
        </w:rPr>
        <w:t>.</w:t>
      </w:r>
    </w:p>
    <w:p w:rsidR="00860F7A" w:rsidRPr="00860F7A" w:rsidRDefault="00860F7A" w:rsidP="00860F7A">
      <w:pPr>
        <w:widowControl w:val="0"/>
        <w:autoSpaceDE w:val="0"/>
        <w:autoSpaceDN w:val="0"/>
        <w:adjustRightInd w:val="0"/>
        <w:ind w:right="-234"/>
        <w:jc w:val="both"/>
        <w:rPr>
          <w:rFonts w:ascii="Arial" w:hAnsi="Arial" w:cs="Arial"/>
          <w:bCs/>
          <w:sz w:val="18"/>
          <w:szCs w:val="18"/>
          <w:lang w:val="en-US" w:eastAsia="x-none"/>
        </w:rPr>
      </w:pPr>
    </w:p>
    <w:p w:rsidR="00EB65F7" w:rsidRDefault="00EB65F7" w:rsidP="002E7F31">
      <w:pPr>
        <w:tabs>
          <w:tab w:val="left" w:pos="2268"/>
        </w:tabs>
        <w:spacing w:after="200" w:line="276" w:lineRule="auto"/>
        <w:jc w:val="both"/>
        <w:rPr>
          <w:rFonts w:ascii="Arial" w:eastAsia="Calibri" w:hAnsi="Arial" w:cs="Arial"/>
          <w:b/>
          <w:spacing w:val="-3"/>
          <w:sz w:val="22"/>
          <w:szCs w:val="22"/>
          <w:lang w:val="es-CL" w:eastAsia="en-US"/>
        </w:rPr>
      </w:pPr>
    </w:p>
    <w:p w:rsidR="005A1AD6" w:rsidRDefault="005A1AD6" w:rsidP="002E7F31">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DC4E26" w:rsidRPr="009D0308" w:rsidRDefault="00DC4E26" w:rsidP="00EB65F7">
      <w:pPr>
        <w:widowControl w:val="0"/>
        <w:tabs>
          <w:tab w:val="left" w:pos="567"/>
        </w:tabs>
        <w:autoSpaceDE w:val="0"/>
        <w:autoSpaceDN w:val="0"/>
        <w:adjustRightInd w:val="0"/>
        <w:spacing w:before="360" w:after="240" w:line="276" w:lineRule="auto"/>
        <w:ind w:right="-142" w:firstLine="1701"/>
        <w:jc w:val="both"/>
        <w:rPr>
          <w:rFonts w:ascii="Arial" w:hAnsi="Arial" w:cs="Arial"/>
          <w:b/>
          <w:bCs/>
          <w:color w:val="000000"/>
          <w:sz w:val="22"/>
          <w:szCs w:val="22"/>
          <w:shd w:val="clear" w:color="auto" w:fill="FFFFFF"/>
          <w:lang w:val="es-ES" w:eastAsia="x-none"/>
        </w:rPr>
      </w:pPr>
      <w:r w:rsidRPr="009D0308">
        <w:rPr>
          <w:rFonts w:ascii="Arial" w:hAnsi="Arial" w:cs="Arial"/>
          <w:b/>
          <w:bCs/>
          <w:color w:val="000000"/>
          <w:sz w:val="22"/>
          <w:szCs w:val="22"/>
          <w:shd w:val="clear" w:color="auto" w:fill="FFFFFF"/>
          <w:lang w:val="es-ES" w:eastAsia="x-none"/>
        </w:rPr>
        <w:t xml:space="preserve">Previo a la votación, la Comisión recibió a la </w:t>
      </w:r>
      <w:r w:rsidR="00826335" w:rsidRPr="009D0308">
        <w:rPr>
          <w:rFonts w:ascii="Arial" w:hAnsi="Arial" w:cs="Arial"/>
          <w:b/>
          <w:bCs/>
          <w:color w:val="000000"/>
          <w:sz w:val="22"/>
          <w:szCs w:val="22"/>
          <w:shd w:val="clear" w:color="auto" w:fill="FFFFFF"/>
          <w:lang w:val="es-ES" w:eastAsia="x-none"/>
        </w:rPr>
        <w:t xml:space="preserve">Subsecretaria de Hacienda, </w:t>
      </w:r>
      <w:r w:rsidR="00826335" w:rsidRPr="009D0308">
        <w:rPr>
          <w:rFonts w:ascii="Arial" w:hAnsi="Arial" w:cs="Arial"/>
          <w:b/>
          <w:sz w:val="22"/>
          <w:szCs w:val="22"/>
        </w:rPr>
        <w:t>señora Claudia Sanhueza Riveros</w:t>
      </w:r>
    </w:p>
    <w:p w:rsidR="004B4525" w:rsidRPr="004B4525" w:rsidRDefault="0082633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Pr>
          <w:rFonts w:ascii="Arial" w:hAnsi="Arial" w:cs="Arial"/>
          <w:bCs/>
          <w:color w:val="000000"/>
          <w:sz w:val="22"/>
          <w:szCs w:val="22"/>
          <w:shd w:val="clear" w:color="auto" w:fill="FFFFFF"/>
          <w:lang w:val="es-ES" w:eastAsia="x-none"/>
        </w:rPr>
        <w:t>E</w:t>
      </w:r>
      <w:r w:rsidR="004B4525" w:rsidRPr="004B4525">
        <w:rPr>
          <w:rFonts w:ascii="Arial" w:hAnsi="Arial" w:cs="Arial"/>
          <w:bCs/>
          <w:color w:val="000000"/>
          <w:sz w:val="22"/>
          <w:szCs w:val="22"/>
          <w:shd w:val="clear" w:color="auto" w:fill="FFFFFF"/>
          <w:lang w:val="es-ES" w:eastAsia="x-none"/>
        </w:rPr>
        <w:t xml:space="preserve">xplicó que este proyecto de ley tiene por objeto enmendar ciertos errores de redacción presentes en la ley N° 21.420, particularmente relacionados con las modificaciones introducidas al Código de Minería, en relación al pago de patentes mineras, y respecto al crédito especial de las empresas constructoras. </w:t>
      </w: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En lo que respecta a las patentes mineras, por un error de digitación, se escribió tres décimos de UTM en lugar de un décimo de UTM, cuestión que no se condice con el espíritu de la discusión legislativa. </w:t>
      </w: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Tratándose de las modificaciones relacionadas a la eliminación del crédito especial en el IVA de las empresas constructoras, indicó que durante la tramitación de la ley, se eliminó, de manera accidental, una disposición relativa a la transitoriedad de dicha eliminación. Con el objeto de que todos los intervinientes queden sujetos a la misma entrada en vigencia, es que se realiza la propuesta legal en estudio en esta oportunidad.</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24DED">
        <w:rPr>
          <w:rFonts w:ascii="Arial" w:hAnsi="Arial" w:cs="Arial"/>
          <w:b/>
          <w:bCs/>
          <w:color w:val="000000"/>
          <w:sz w:val="22"/>
          <w:szCs w:val="22"/>
          <w:shd w:val="clear" w:color="auto" w:fill="FFFFFF"/>
          <w:lang w:val="es-ES" w:eastAsia="x-none"/>
        </w:rPr>
        <w:t xml:space="preserve">El </w:t>
      </w:r>
      <w:r w:rsidR="00826335" w:rsidRPr="00424DED">
        <w:rPr>
          <w:rFonts w:ascii="Arial" w:hAnsi="Arial" w:cs="Arial"/>
          <w:b/>
          <w:bCs/>
          <w:color w:val="000000"/>
          <w:sz w:val="22"/>
          <w:szCs w:val="22"/>
          <w:shd w:val="clear" w:color="auto" w:fill="FFFFFF"/>
          <w:lang w:val="es-ES" w:eastAsia="x-none"/>
        </w:rPr>
        <w:t xml:space="preserve">señor Simón Ramírez, </w:t>
      </w:r>
      <w:r w:rsidRPr="00424DED">
        <w:rPr>
          <w:rFonts w:ascii="Arial" w:hAnsi="Arial" w:cs="Arial"/>
          <w:b/>
          <w:bCs/>
          <w:color w:val="000000"/>
          <w:sz w:val="22"/>
          <w:szCs w:val="22"/>
          <w:shd w:val="clear" w:color="auto" w:fill="FFFFFF"/>
          <w:lang w:val="es-ES" w:eastAsia="x-none"/>
        </w:rPr>
        <w:t>Subdirector Normativo del Servicio de Impuestos Internos,</w:t>
      </w:r>
      <w:r w:rsidRPr="004B4525">
        <w:rPr>
          <w:rFonts w:ascii="Arial" w:hAnsi="Arial" w:cs="Arial"/>
          <w:bCs/>
          <w:color w:val="000000"/>
          <w:sz w:val="22"/>
          <w:szCs w:val="22"/>
          <w:shd w:val="clear" w:color="auto" w:fill="FFFFFF"/>
          <w:lang w:val="es-ES" w:eastAsia="x-none"/>
        </w:rPr>
        <w:t xml:space="preserve"> coincidió con el propósito de la propuesta legal como fuera expuesto por la Subsecretaria. </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24DED">
        <w:rPr>
          <w:rFonts w:ascii="Arial" w:hAnsi="Arial" w:cs="Arial"/>
          <w:b/>
          <w:bCs/>
          <w:color w:val="000000"/>
          <w:sz w:val="22"/>
          <w:szCs w:val="22"/>
          <w:shd w:val="clear" w:color="auto" w:fill="FFFFFF"/>
          <w:lang w:val="es-ES" w:eastAsia="x-none"/>
        </w:rPr>
        <w:t xml:space="preserve">El diputado </w:t>
      </w:r>
      <w:proofErr w:type="spellStart"/>
      <w:r w:rsidRPr="00424DED">
        <w:rPr>
          <w:rFonts w:ascii="Arial" w:hAnsi="Arial" w:cs="Arial"/>
          <w:b/>
          <w:bCs/>
          <w:color w:val="000000"/>
          <w:sz w:val="22"/>
          <w:szCs w:val="22"/>
          <w:shd w:val="clear" w:color="auto" w:fill="FFFFFF"/>
          <w:lang w:val="es-ES" w:eastAsia="x-none"/>
        </w:rPr>
        <w:t>Sauerbaum</w:t>
      </w:r>
      <w:proofErr w:type="spellEnd"/>
      <w:r w:rsidRPr="004B4525">
        <w:rPr>
          <w:rFonts w:ascii="Arial" w:hAnsi="Arial" w:cs="Arial"/>
          <w:bCs/>
          <w:color w:val="000000"/>
          <w:sz w:val="22"/>
          <w:szCs w:val="22"/>
          <w:shd w:val="clear" w:color="auto" w:fill="FFFFFF"/>
          <w:lang w:val="es-ES" w:eastAsia="x-none"/>
        </w:rPr>
        <w:t xml:space="preserve"> consultó si esta propuesta tendrá o no efecto retroactivo.</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24DED">
        <w:rPr>
          <w:rFonts w:ascii="Arial" w:hAnsi="Arial" w:cs="Arial"/>
          <w:b/>
          <w:bCs/>
          <w:color w:val="000000"/>
          <w:sz w:val="22"/>
          <w:szCs w:val="22"/>
          <w:shd w:val="clear" w:color="auto" w:fill="FFFFFF"/>
          <w:lang w:val="es-ES" w:eastAsia="x-none"/>
        </w:rPr>
        <w:t>El señor Diego Riquelme</w:t>
      </w:r>
      <w:r w:rsidRPr="004B4525">
        <w:rPr>
          <w:rFonts w:ascii="Arial" w:hAnsi="Arial" w:cs="Arial"/>
          <w:bCs/>
          <w:color w:val="000000"/>
          <w:sz w:val="22"/>
          <w:szCs w:val="22"/>
          <w:shd w:val="clear" w:color="auto" w:fill="FFFFFF"/>
          <w:lang w:val="es-ES" w:eastAsia="x-none"/>
        </w:rPr>
        <w:t xml:space="preserve">, </w:t>
      </w:r>
      <w:r w:rsidR="00424DED">
        <w:rPr>
          <w:rFonts w:ascii="Arial" w:hAnsi="Arial" w:cs="Arial"/>
          <w:bCs/>
          <w:color w:val="000000"/>
          <w:sz w:val="22"/>
          <w:szCs w:val="22"/>
          <w:shd w:val="clear" w:color="auto" w:fill="FFFFFF"/>
          <w:lang w:val="es-ES" w:eastAsia="x-none"/>
        </w:rPr>
        <w:t xml:space="preserve">coordinador de política tributaria, </w:t>
      </w:r>
      <w:r w:rsidRPr="004B4525">
        <w:rPr>
          <w:rFonts w:ascii="Arial" w:hAnsi="Arial" w:cs="Arial"/>
          <w:bCs/>
          <w:color w:val="000000"/>
          <w:sz w:val="22"/>
          <w:szCs w:val="22"/>
          <w:shd w:val="clear" w:color="auto" w:fill="FFFFFF"/>
          <w:lang w:val="es-ES" w:eastAsia="x-none"/>
        </w:rPr>
        <w:t xml:space="preserve">señaló que se establece una norma especial, que regula que todas las operaciones que ocurrieron entre abril de este año y la fecha de promulgación de la norma, se van a regir por lo que estaba vigente al 31 de marzo de 2022, es decir, se regula el tiempo intermedio con una norma específica, de forma que no quede ningún vacío, a fin de respetar el espíritu original de la ley aprobada en el Congreso Nacional. </w:t>
      </w:r>
    </w:p>
    <w:p w:rsidR="004B4525" w:rsidRPr="00424DED" w:rsidRDefault="00424DED" w:rsidP="00EB65F7">
      <w:pPr>
        <w:widowControl w:val="0"/>
        <w:tabs>
          <w:tab w:val="left" w:pos="567"/>
        </w:tabs>
        <w:autoSpaceDE w:val="0"/>
        <w:autoSpaceDN w:val="0"/>
        <w:adjustRightInd w:val="0"/>
        <w:spacing w:before="360" w:after="240" w:line="276" w:lineRule="auto"/>
        <w:ind w:right="-142" w:firstLine="1701"/>
        <w:jc w:val="both"/>
        <w:rPr>
          <w:rFonts w:ascii="Arial" w:hAnsi="Arial" w:cs="Arial"/>
          <w:b/>
          <w:bCs/>
          <w:color w:val="000000"/>
          <w:sz w:val="22"/>
          <w:szCs w:val="22"/>
          <w:shd w:val="clear" w:color="auto" w:fill="FFFFFF"/>
          <w:lang w:val="es-ES" w:eastAsia="x-none"/>
        </w:rPr>
      </w:pPr>
      <w:r>
        <w:rPr>
          <w:rFonts w:ascii="Arial" w:hAnsi="Arial" w:cs="Arial"/>
          <w:b/>
          <w:bCs/>
          <w:color w:val="000000"/>
          <w:sz w:val="22"/>
          <w:szCs w:val="22"/>
          <w:shd w:val="clear" w:color="auto" w:fill="FFFFFF"/>
          <w:lang w:val="es-ES" w:eastAsia="x-none"/>
        </w:rPr>
        <w:t>ACUERDOS ALCANZADOS</w:t>
      </w:r>
    </w:p>
    <w:p w:rsidR="004B4525" w:rsidRPr="004B4525" w:rsidRDefault="00424DED"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Pr>
          <w:rFonts w:ascii="Arial" w:hAnsi="Arial" w:cs="Arial"/>
          <w:bCs/>
          <w:color w:val="000000"/>
          <w:sz w:val="22"/>
          <w:szCs w:val="22"/>
          <w:shd w:val="clear" w:color="auto" w:fill="FFFFFF"/>
          <w:lang w:val="es-ES" w:eastAsia="x-none"/>
        </w:rPr>
        <w:t>“</w:t>
      </w:r>
      <w:r w:rsidR="004B4525" w:rsidRPr="005B143E">
        <w:rPr>
          <w:rFonts w:ascii="Arial" w:hAnsi="Arial" w:cs="Arial"/>
          <w:b/>
          <w:bCs/>
          <w:color w:val="000000"/>
          <w:sz w:val="22"/>
          <w:szCs w:val="22"/>
          <w:shd w:val="clear" w:color="auto" w:fill="FFFFFF"/>
          <w:lang w:val="es-ES" w:eastAsia="x-none"/>
        </w:rPr>
        <w:t>Artículo único</w:t>
      </w:r>
      <w:r w:rsidR="004B4525" w:rsidRPr="004B4525">
        <w:rPr>
          <w:rFonts w:ascii="Arial" w:hAnsi="Arial" w:cs="Arial"/>
          <w:bCs/>
          <w:color w:val="000000"/>
          <w:sz w:val="22"/>
          <w:szCs w:val="22"/>
          <w:shd w:val="clear" w:color="auto" w:fill="FFFFFF"/>
          <w:lang w:val="es-ES" w:eastAsia="x-none"/>
        </w:rPr>
        <w:t>.-</w:t>
      </w:r>
      <w:r w:rsidR="004B4525" w:rsidRPr="004B4525">
        <w:rPr>
          <w:rFonts w:ascii="Arial" w:hAnsi="Arial" w:cs="Arial"/>
          <w:bCs/>
          <w:color w:val="000000"/>
          <w:sz w:val="22"/>
          <w:szCs w:val="22"/>
          <w:shd w:val="clear" w:color="auto" w:fill="FFFFFF"/>
          <w:lang w:val="es-ES" w:eastAsia="x-none"/>
        </w:rPr>
        <w:tab/>
      </w:r>
      <w:proofErr w:type="spellStart"/>
      <w:r w:rsidR="004B4525" w:rsidRPr="004B4525">
        <w:rPr>
          <w:rFonts w:ascii="Arial" w:hAnsi="Arial" w:cs="Arial"/>
          <w:bCs/>
          <w:color w:val="000000"/>
          <w:sz w:val="22"/>
          <w:szCs w:val="22"/>
          <w:shd w:val="clear" w:color="auto" w:fill="FFFFFF"/>
          <w:lang w:val="es-ES" w:eastAsia="x-none"/>
        </w:rPr>
        <w:t>Introdúcense</w:t>
      </w:r>
      <w:proofErr w:type="spellEnd"/>
      <w:r w:rsidR="004B4525" w:rsidRPr="004B4525">
        <w:rPr>
          <w:rFonts w:ascii="Arial" w:hAnsi="Arial" w:cs="Arial"/>
          <w:bCs/>
          <w:color w:val="000000"/>
          <w:sz w:val="22"/>
          <w:szCs w:val="22"/>
          <w:shd w:val="clear" w:color="auto" w:fill="FFFFFF"/>
          <w:lang w:val="es-ES" w:eastAsia="x-none"/>
        </w:rPr>
        <w:t xml:space="preserve"> las siguientes modificaciones a la ley N° 21.420, reduce o elimina exenciones tributarias que indica:</w:t>
      </w: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1)</w:t>
      </w:r>
      <w:r w:rsidRPr="004B4525">
        <w:rPr>
          <w:rFonts w:ascii="Arial" w:hAnsi="Arial" w:cs="Arial"/>
          <w:bCs/>
          <w:color w:val="000000"/>
          <w:sz w:val="22"/>
          <w:szCs w:val="22"/>
          <w:shd w:val="clear" w:color="auto" w:fill="FFFFFF"/>
          <w:lang w:val="es-ES" w:eastAsia="x-none"/>
        </w:rPr>
        <w:tab/>
      </w:r>
      <w:proofErr w:type="spellStart"/>
      <w:r w:rsidRPr="004B4525">
        <w:rPr>
          <w:rFonts w:ascii="Arial" w:hAnsi="Arial" w:cs="Arial"/>
          <w:bCs/>
          <w:color w:val="000000"/>
          <w:sz w:val="22"/>
          <w:szCs w:val="22"/>
          <w:shd w:val="clear" w:color="auto" w:fill="FFFFFF"/>
          <w:lang w:val="es-ES" w:eastAsia="x-none"/>
        </w:rPr>
        <w:t>Modifícase</w:t>
      </w:r>
      <w:proofErr w:type="spellEnd"/>
      <w:r w:rsidRPr="004B4525">
        <w:rPr>
          <w:rFonts w:ascii="Arial" w:hAnsi="Arial" w:cs="Arial"/>
          <w:bCs/>
          <w:color w:val="000000"/>
          <w:sz w:val="22"/>
          <w:szCs w:val="22"/>
          <w:shd w:val="clear" w:color="auto" w:fill="FFFFFF"/>
          <w:lang w:val="es-ES" w:eastAsia="x-none"/>
        </w:rPr>
        <w:t xml:space="preserve"> el numeral 16 del artículo 10, en los siguientes términos: </w:t>
      </w: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a) </w:t>
      </w:r>
      <w:r w:rsidRPr="004B4525">
        <w:rPr>
          <w:rFonts w:ascii="Arial" w:hAnsi="Arial" w:cs="Arial"/>
          <w:bCs/>
          <w:color w:val="000000"/>
          <w:sz w:val="22"/>
          <w:szCs w:val="22"/>
          <w:shd w:val="clear" w:color="auto" w:fill="FFFFFF"/>
          <w:lang w:val="es-ES" w:eastAsia="x-none"/>
        </w:rPr>
        <w:tab/>
      </w:r>
      <w:proofErr w:type="spellStart"/>
      <w:r w:rsidRPr="004B4525">
        <w:rPr>
          <w:rFonts w:ascii="Arial" w:hAnsi="Arial" w:cs="Arial"/>
          <w:bCs/>
          <w:color w:val="000000"/>
          <w:sz w:val="22"/>
          <w:szCs w:val="22"/>
          <w:shd w:val="clear" w:color="auto" w:fill="FFFFFF"/>
          <w:lang w:val="es-ES" w:eastAsia="x-none"/>
        </w:rPr>
        <w:t>Reemplázase</w:t>
      </w:r>
      <w:proofErr w:type="spellEnd"/>
      <w:r w:rsidRPr="004B4525">
        <w:rPr>
          <w:rFonts w:ascii="Arial" w:hAnsi="Arial" w:cs="Arial"/>
          <w:bCs/>
          <w:color w:val="000000"/>
          <w:sz w:val="22"/>
          <w:szCs w:val="22"/>
          <w:shd w:val="clear" w:color="auto" w:fill="FFFFFF"/>
          <w:lang w:val="es-ES" w:eastAsia="x-none"/>
        </w:rPr>
        <w:t xml:space="preserve"> en el inciso cuarto del artículo 142 bis que se agrega, la frase “tres décimos de unidad tributaria mensual” por “un décimo de unidad tributaria mensual”, las dos veces que aparece.</w:t>
      </w: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b) </w:t>
      </w:r>
      <w:proofErr w:type="spellStart"/>
      <w:r w:rsidRPr="004B4525">
        <w:rPr>
          <w:rFonts w:ascii="Arial" w:hAnsi="Arial" w:cs="Arial"/>
          <w:bCs/>
          <w:color w:val="000000"/>
          <w:sz w:val="22"/>
          <w:szCs w:val="22"/>
          <w:shd w:val="clear" w:color="auto" w:fill="FFFFFF"/>
          <w:lang w:val="es-ES" w:eastAsia="x-none"/>
        </w:rPr>
        <w:t>Reemplázase</w:t>
      </w:r>
      <w:proofErr w:type="spellEnd"/>
      <w:r w:rsidRPr="004B4525">
        <w:rPr>
          <w:rFonts w:ascii="Arial" w:hAnsi="Arial" w:cs="Arial"/>
          <w:bCs/>
          <w:color w:val="000000"/>
          <w:sz w:val="22"/>
          <w:szCs w:val="22"/>
          <w:shd w:val="clear" w:color="auto" w:fill="FFFFFF"/>
          <w:lang w:val="es-ES" w:eastAsia="x-none"/>
        </w:rPr>
        <w:t xml:space="preserve"> en el inciso cuarto del artículo 142 bis que se agrega, la frase “inciso quinto y sexto” por la siguiente frase: “presente inciso o el inciso siguiente,”.</w:t>
      </w: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5B143E" w:rsidRDefault="005B143E"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2)</w:t>
      </w:r>
      <w:r w:rsidRPr="004B4525">
        <w:rPr>
          <w:rFonts w:ascii="Arial" w:hAnsi="Arial" w:cs="Arial"/>
          <w:bCs/>
          <w:color w:val="000000"/>
          <w:sz w:val="22"/>
          <w:szCs w:val="22"/>
          <w:shd w:val="clear" w:color="auto" w:fill="FFFFFF"/>
          <w:lang w:val="es-ES" w:eastAsia="x-none"/>
        </w:rPr>
        <w:tab/>
      </w:r>
      <w:proofErr w:type="spellStart"/>
      <w:r w:rsidRPr="004B4525">
        <w:rPr>
          <w:rFonts w:ascii="Arial" w:hAnsi="Arial" w:cs="Arial"/>
          <w:bCs/>
          <w:color w:val="000000"/>
          <w:sz w:val="22"/>
          <w:szCs w:val="22"/>
          <w:shd w:val="clear" w:color="auto" w:fill="FFFFFF"/>
          <w:lang w:val="es-ES" w:eastAsia="x-none"/>
        </w:rPr>
        <w:t>Reemplázase</w:t>
      </w:r>
      <w:proofErr w:type="spellEnd"/>
      <w:r w:rsidRPr="004B4525">
        <w:rPr>
          <w:rFonts w:ascii="Arial" w:hAnsi="Arial" w:cs="Arial"/>
          <w:bCs/>
          <w:color w:val="000000"/>
          <w:sz w:val="22"/>
          <w:szCs w:val="22"/>
          <w:shd w:val="clear" w:color="auto" w:fill="FFFFFF"/>
          <w:lang w:val="es-ES" w:eastAsia="x-none"/>
        </w:rPr>
        <w:t xml:space="preserve"> el inciso primero del artículo quinto transitorio, por el siguiente: </w:t>
      </w:r>
    </w:p>
    <w:p w:rsidR="004B4525" w:rsidRP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4B4525" w:rsidRDefault="004B4525"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5B143E">
        <w:rPr>
          <w:rFonts w:ascii="Arial" w:hAnsi="Arial" w:cs="Arial"/>
          <w:b/>
          <w:bCs/>
          <w:color w:val="000000"/>
          <w:sz w:val="22"/>
          <w:szCs w:val="22"/>
          <w:shd w:val="clear" w:color="auto" w:fill="FFFFFF"/>
          <w:lang w:val="es-ES" w:eastAsia="x-none"/>
        </w:rPr>
        <w:t>“Artículo quinto transitorio</w:t>
      </w:r>
      <w:r w:rsidRPr="004B4525">
        <w:rPr>
          <w:rFonts w:ascii="Arial" w:hAnsi="Arial" w:cs="Arial"/>
          <w:bCs/>
          <w:color w:val="000000"/>
          <w:sz w:val="22"/>
          <w:szCs w:val="22"/>
          <w:shd w:val="clear" w:color="auto" w:fill="FFFFFF"/>
          <w:lang w:val="es-ES" w:eastAsia="x-none"/>
        </w:rPr>
        <w:t xml:space="preserve">.- Las disposiciones contenidas en el artículo 5, y en el numeral 3 del artículo 6 de la presente ley, entrarán en vigencia respecto de la venta de bienes corporales inmuebles para habitación y para los contratos generales de construcción de dichos inmuebles que no sean por administración, realizadas y celebrados, respectivamente, a contar del 1º de enero del año </w:t>
      </w:r>
      <w:smartTag w:uri="urn:schemas-microsoft-com:office:smarttags" w:element="metricconverter">
        <w:smartTagPr>
          <w:attr w:name="ProductID" w:val="2025.”"/>
        </w:smartTagPr>
        <w:r w:rsidRPr="004B4525">
          <w:rPr>
            <w:rFonts w:ascii="Arial" w:hAnsi="Arial" w:cs="Arial"/>
            <w:bCs/>
            <w:color w:val="000000"/>
            <w:sz w:val="22"/>
            <w:szCs w:val="22"/>
            <w:shd w:val="clear" w:color="auto" w:fill="FFFFFF"/>
            <w:lang w:val="es-ES" w:eastAsia="x-none"/>
          </w:rPr>
          <w:t>2025.”</w:t>
        </w:r>
      </w:smartTag>
      <w:r w:rsidRPr="004B4525">
        <w:rPr>
          <w:rFonts w:ascii="Arial" w:hAnsi="Arial" w:cs="Arial"/>
          <w:bCs/>
          <w:color w:val="000000"/>
          <w:sz w:val="22"/>
          <w:szCs w:val="22"/>
          <w:shd w:val="clear" w:color="auto" w:fill="FFFFFF"/>
          <w:lang w:val="es-ES" w:eastAsia="x-none"/>
        </w:rPr>
        <w:t>.”.</w:t>
      </w:r>
    </w:p>
    <w:p w:rsidR="004B4525" w:rsidRPr="00424DED" w:rsidRDefault="00936F60" w:rsidP="00EB65F7">
      <w:pPr>
        <w:widowControl w:val="0"/>
        <w:tabs>
          <w:tab w:val="left" w:pos="567"/>
        </w:tabs>
        <w:autoSpaceDE w:val="0"/>
        <w:autoSpaceDN w:val="0"/>
        <w:adjustRightInd w:val="0"/>
        <w:spacing w:before="360" w:after="240" w:line="276" w:lineRule="auto"/>
        <w:ind w:right="-142" w:firstLine="1701"/>
        <w:jc w:val="both"/>
        <w:rPr>
          <w:rFonts w:ascii="Arial" w:hAnsi="Arial" w:cs="Arial"/>
          <w:b/>
          <w:bCs/>
          <w:color w:val="000000"/>
          <w:sz w:val="22"/>
          <w:szCs w:val="22"/>
          <w:shd w:val="clear" w:color="auto" w:fill="FFFFFF"/>
          <w:lang w:val="es-ES" w:eastAsia="x-none"/>
        </w:rPr>
      </w:pPr>
      <w:r>
        <w:rPr>
          <w:rFonts w:ascii="Arial" w:hAnsi="Arial" w:cs="Arial"/>
          <w:b/>
          <w:bCs/>
          <w:color w:val="000000"/>
          <w:sz w:val="22"/>
          <w:szCs w:val="22"/>
          <w:shd w:val="clear" w:color="auto" w:fill="FFFFFF"/>
          <w:lang w:val="es-ES" w:eastAsia="x-none"/>
        </w:rPr>
        <w:t>Indicaciones del Ejecutivo</w:t>
      </w:r>
    </w:p>
    <w:p w:rsidR="004B4525" w:rsidRPr="00600EAE"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
          <w:bCs/>
          <w:color w:val="000000"/>
          <w:sz w:val="22"/>
          <w:szCs w:val="22"/>
          <w:shd w:val="clear" w:color="auto" w:fill="FFFFFF"/>
          <w:lang w:val="es-ES" w:eastAsia="x-none"/>
        </w:rPr>
      </w:pPr>
      <w:r w:rsidRPr="00600EAE">
        <w:rPr>
          <w:rFonts w:ascii="Arial" w:hAnsi="Arial" w:cs="Arial"/>
          <w:b/>
          <w:bCs/>
          <w:color w:val="000000"/>
          <w:sz w:val="22"/>
          <w:szCs w:val="22"/>
          <w:shd w:val="clear" w:color="auto" w:fill="FFFFFF"/>
          <w:lang w:val="es-ES" w:eastAsia="x-none"/>
        </w:rPr>
        <w:t>AL ARTÍCULO ÚNICO</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1)</w:t>
      </w:r>
      <w:r w:rsidRPr="004B4525">
        <w:rPr>
          <w:rFonts w:ascii="Arial" w:hAnsi="Arial" w:cs="Arial"/>
          <w:bCs/>
          <w:color w:val="000000"/>
          <w:sz w:val="22"/>
          <w:szCs w:val="22"/>
          <w:shd w:val="clear" w:color="auto" w:fill="FFFFFF"/>
          <w:lang w:val="es-ES" w:eastAsia="x-none"/>
        </w:rPr>
        <w:tab/>
      </w:r>
      <w:r w:rsidRPr="002F7F83">
        <w:rPr>
          <w:rFonts w:ascii="Arial" w:hAnsi="Arial" w:cs="Arial"/>
          <w:bCs/>
          <w:color w:val="000000"/>
          <w:sz w:val="22"/>
          <w:szCs w:val="22"/>
          <w:u w:val="single"/>
          <w:shd w:val="clear" w:color="auto" w:fill="FFFFFF"/>
          <w:lang w:val="es-ES" w:eastAsia="x-none"/>
        </w:rPr>
        <w:t>Para reemplazar su numeral 2) por el siguiente</w:t>
      </w:r>
      <w:r w:rsidRPr="004B4525">
        <w:rPr>
          <w:rFonts w:ascii="Arial" w:hAnsi="Arial" w:cs="Arial"/>
          <w:bCs/>
          <w:color w:val="000000"/>
          <w:sz w:val="22"/>
          <w:szCs w:val="22"/>
          <w:shd w:val="clear" w:color="auto" w:fill="FFFFFF"/>
          <w:lang w:val="es-ES" w:eastAsia="x-none"/>
        </w:rPr>
        <w:t>:</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“2) </w:t>
      </w:r>
      <w:proofErr w:type="spellStart"/>
      <w:r w:rsidRPr="004B4525">
        <w:rPr>
          <w:rFonts w:ascii="Arial" w:hAnsi="Arial" w:cs="Arial"/>
          <w:bCs/>
          <w:color w:val="000000"/>
          <w:sz w:val="22"/>
          <w:szCs w:val="22"/>
          <w:shd w:val="clear" w:color="auto" w:fill="FFFFFF"/>
          <w:lang w:val="es-ES" w:eastAsia="x-none"/>
        </w:rPr>
        <w:t>Reemplázase</w:t>
      </w:r>
      <w:proofErr w:type="spellEnd"/>
      <w:r w:rsidRPr="004B4525">
        <w:rPr>
          <w:rFonts w:ascii="Arial" w:hAnsi="Arial" w:cs="Arial"/>
          <w:bCs/>
          <w:color w:val="000000"/>
          <w:sz w:val="22"/>
          <w:szCs w:val="22"/>
          <w:shd w:val="clear" w:color="auto" w:fill="FFFFFF"/>
          <w:lang w:val="es-ES" w:eastAsia="x-none"/>
        </w:rPr>
        <w:t xml:space="preserve"> el inciso primero del artículo quinto transitorio por el siguiente: </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 “Artículo quinto.- Las disposiciones contenidas en el artículo 5, y en el numeral 3 del artículo 6 de la presente ley, entrarán en vigencia a contar del 1º de enero del año 2025, sin perjuicio de lo establecido en el artículo siguiente.”.”.</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2)</w:t>
      </w:r>
      <w:r w:rsidRPr="004B4525">
        <w:rPr>
          <w:rFonts w:ascii="Arial" w:hAnsi="Arial" w:cs="Arial"/>
          <w:bCs/>
          <w:color w:val="000000"/>
          <w:sz w:val="22"/>
          <w:szCs w:val="22"/>
          <w:shd w:val="clear" w:color="auto" w:fill="FFFFFF"/>
          <w:lang w:val="es-ES" w:eastAsia="x-none"/>
        </w:rPr>
        <w:tab/>
      </w:r>
      <w:r w:rsidRPr="002F7F83">
        <w:rPr>
          <w:rFonts w:ascii="Arial" w:hAnsi="Arial" w:cs="Arial"/>
          <w:bCs/>
          <w:color w:val="000000"/>
          <w:sz w:val="22"/>
          <w:szCs w:val="22"/>
          <w:u w:val="single"/>
          <w:shd w:val="clear" w:color="auto" w:fill="FFFFFF"/>
          <w:lang w:val="es-ES" w:eastAsia="x-none"/>
        </w:rPr>
        <w:t>Para agregar el siguiente numeral 3, nuevo</w:t>
      </w:r>
      <w:r w:rsidRPr="004B4525">
        <w:rPr>
          <w:rFonts w:ascii="Arial" w:hAnsi="Arial" w:cs="Arial"/>
          <w:bCs/>
          <w:color w:val="000000"/>
          <w:sz w:val="22"/>
          <w:szCs w:val="22"/>
          <w:shd w:val="clear" w:color="auto" w:fill="FFFFFF"/>
          <w:lang w:val="es-ES" w:eastAsia="x-none"/>
        </w:rPr>
        <w:t>:</w:t>
      </w:r>
    </w:p>
    <w:p w:rsidR="004B4525" w:rsidRP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“3) </w:t>
      </w:r>
      <w:proofErr w:type="spellStart"/>
      <w:r w:rsidRPr="004B4525">
        <w:rPr>
          <w:rFonts w:ascii="Arial" w:hAnsi="Arial" w:cs="Arial"/>
          <w:bCs/>
          <w:color w:val="000000"/>
          <w:sz w:val="22"/>
          <w:szCs w:val="22"/>
          <w:shd w:val="clear" w:color="auto" w:fill="FFFFFF"/>
          <w:lang w:val="es-ES" w:eastAsia="x-none"/>
        </w:rPr>
        <w:t>Agrégase</w:t>
      </w:r>
      <w:proofErr w:type="spellEnd"/>
      <w:r w:rsidRPr="004B4525">
        <w:rPr>
          <w:rFonts w:ascii="Arial" w:hAnsi="Arial" w:cs="Arial"/>
          <w:bCs/>
          <w:color w:val="000000"/>
          <w:sz w:val="22"/>
          <w:szCs w:val="22"/>
          <w:shd w:val="clear" w:color="auto" w:fill="FFFFFF"/>
          <w:lang w:val="es-ES" w:eastAsia="x-none"/>
        </w:rPr>
        <w:t xml:space="preserve"> el siguiente inciso final, nuevo, al artículo sexto transitorio: </w:t>
      </w:r>
    </w:p>
    <w:p w:rsidR="004B4525" w:rsidRDefault="004B4525"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“También tendrán derecho a deducir un 0,325 del débito del Impuesto al Valor Agregado que deban determinar los contratos generales de construcción que se suscriban con las entidades e instituciones que expresamente señala el inciso segundo; los contratos de ampliación, modificación, reparación, mantenimiento o de urbanización, respecto de las viviendas sociales señaladas en el inciso cuarto; y las adjudicaciones que recaigan sobre bienes corporales inmuebles para habitación, que hagan los socios, comuneros o cooperados indicados en el inciso quinto, todos del artículo 21 del Decreto Ley N° 910, de 1975, en la medida que los contratos o adjudicaciones sean celebrados a contar del 1 de enero del año 2023 y que hayan obtenido el respectivo permiso municipal de edificación y/o las obras se hayan iniciado, según corresponda, antes del 1 de enero del año </w:t>
      </w:r>
      <w:smartTag w:uri="urn:schemas-microsoft-com:office:smarttags" w:element="metricconverter">
        <w:smartTagPr>
          <w:attr w:name="ProductID" w:val="2025.”"/>
        </w:smartTagPr>
        <w:r w:rsidRPr="004B4525">
          <w:rPr>
            <w:rFonts w:ascii="Arial" w:hAnsi="Arial" w:cs="Arial"/>
            <w:bCs/>
            <w:color w:val="000000"/>
            <w:sz w:val="22"/>
            <w:szCs w:val="22"/>
            <w:shd w:val="clear" w:color="auto" w:fill="FFFFFF"/>
            <w:lang w:val="es-ES" w:eastAsia="x-none"/>
          </w:rPr>
          <w:t>2025.”</w:t>
        </w:r>
      </w:smartTag>
      <w:r w:rsidRPr="004B4525">
        <w:rPr>
          <w:rFonts w:ascii="Arial" w:hAnsi="Arial" w:cs="Arial"/>
          <w:bCs/>
          <w:color w:val="000000"/>
          <w:sz w:val="22"/>
          <w:szCs w:val="22"/>
          <w:shd w:val="clear" w:color="auto" w:fill="FFFFFF"/>
          <w:lang w:val="es-ES" w:eastAsia="x-none"/>
        </w:rPr>
        <w:t>.”.</w:t>
      </w:r>
    </w:p>
    <w:p w:rsidR="00324867" w:rsidRPr="003821CC" w:rsidRDefault="003821CC" w:rsidP="00EB65F7">
      <w:pPr>
        <w:widowControl w:val="0"/>
        <w:tabs>
          <w:tab w:val="left" w:pos="567"/>
        </w:tabs>
        <w:autoSpaceDE w:val="0"/>
        <w:autoSpaceDN w:val="0"/>
        <w:adjustRightInd w:val="0"/>
        <w:spacing w:before="360" w:after="240" w:line="276" w:lineRule="auto"/>
        <w:ind w:right="-142"/>
        <w:jc w:val="center"/>
        <w:rPr>
          <w:rFonts w:ascii="Arial" w:hAnsi="Arial" w:cs="Arial"/>
          <w:b/>
          <w:bCs/>
          <w:color w:val="000000"/>
          <w:sz w:val="22"/>
          <w:szCs w:val="22"/>
          <w:shd w:val="clear" w:color="auto" w:fill="FFFFFF"/>
          <w:lang w:val="es-ES" w:eastAsia="x-none"/>
        </w:rPr>
      </w:pPr>
      <w:r w:rsidRPr="003821CC">
        <w:rPr>
          <w:rFonts w:ascii="Arial" w:hAnsi="Arial" w:cs="Arial"/>
          <w:b/>
          <w:bCs/>
          <w:color w:val="000000"/>
          <w:sz w:val="22"/>
          <w:szCs w:val="22"/>
          <w:shd w:val="clear" w:color="auto" w:fill="FFFFFF"/>
          <w:lang w:val="es-ES" w:eastAsia="x-none"/>
        </w:rPr>
        <w:t>Disposición transitoria nueva</w:t>
      </w:r>
    </w:p>
    <w:p w:rsidR="00324867" w:rsidRDefault="00324867"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324867">
        <w:rPr>
          <w:rFonts w:ascii="Arial" w:hAnsi="Arial" w:cs="Arial"/>
          <w:bCs/>
          <w:color w:val="000000"/>
          <w:sz w:val="22"/>
          <w:szCs w:val="22"/>
          <w:shd w:val="clear" w:color="auto" w:fill="FFFFFF"/>
          <w:lang w:val="es-ES" w:eastAsia="x-none"/>
        </w:rPr>
        <w:t xml:space="preserve">“Artículo único transitorio.- Las operaciones realizadas entre el 01 de abril de 2022 y la fecha de publicación de esta ley, que al 31 de marzo de 2022 hubieran podido acogerse a lo dispuesto en el artículo 21 del </w:t>
      </w:r>
      <w:r w:rsidR="00B46917">
        <w:rPr>
          <w:rFonts w:ascii="Arial" w:hAnsi="Arial" w:cs="Arial"/>
          <w:bCs/>
          <w:color w:val="000000"/>
          <w:sz w:val="22"/>
          <w:szCs w:val="22"/>
          <w:shd w:val="clear" w:color="auto" w:fill="FFFFFF"/>
          <w:lang w:val="es-ES" w:eastAsia="x-none"/>
        </w:rPr>
        <w:t>d</w:t>
      </w:r>
      <w:r w:rsidRPr="00324867">
        <w:rPr>
          <w:rFonts w:ascii="Arial" w:hAnsi="Arial" w:cs="Arial"/>
          <w:bCs/>
          <w:color w:val="000000"/>
          <w:sz w:val="22"/>
          <w:szCs w:val="22"/>
          <w:shd w:val="clear" w:color="auto" w:fill="FFFFFF"/>
          <w:lang w:val="es-ES" w:eastAsia="x-none"/>
        </w:rPr>
        <w:t xml:space="preserve">ecreto </w:t>
      </w:r>
      <w:r w:rsidR="00B46917">
        <w:rPr>
          <w:rFonts w:ascii="Arial" w:hAnsi="Arial" w:cs="Arial"/>
          <w:bCs/>
          <w:color w:val="000000"/>
          <w:sz w:val="22"/>
          <w:szCs w:val="22"/>
          <w:shd w:val="clear" w:color="auto" w:fill="FFFFFF"/>
          <w:lang w:val="es-ES" w:eastAsia="x-none"/>
        </w:rPr>
        <w:t>l</w:t>
      </w:r>
      <w:r w:rsidRPr="00324867">
        <w:rPr>
          <w:rFonts w:ascii="Arial" w:hAnsi="Arial" w:cs="Arial"/>
          <w:bCs/>
          <w:color w:val="000000"/>
          <w:sz w:val="22"/>
          <w:szCs w:val="22"/>
          <w:shd w:val="clear" w:color="auto" w:fill="FFFFFF"/>
          <w:lang w:val="es-ES" w:eastAsia="x-none"/>
        </w:rPr>
        <w:t xml:space="preserve">ey Nº 910, de 1975, y en el número 6° del artículo 23 de la Ley sobre Impuesto a las Ventas y Servicios, contenida en el </w:t>
      </w:r>
      <w:r w:rsidR="00B46917">
        <w:rPr>
          <w:rFonts w:ascii="Arial" w:hAnsi="Arial" w:cs="Arial"/>
          <w:bCs/>
          <w:color w:val="000000"/>
          <w:sz w:val="22"/>
          <w:szCs w:val="22"/>
          <w:shd w:val="clear" w:color="auto" w:fill="FFFFFF"/>
          <w:lang w:val="es-ES" w:eastAsia="x-none"/>
        </w:rPr>
        <w:t>d</w:t>
      </w:r>
      <w:r w:rsidRPr="00324867">
        <w:rPr>
          <w:rFonts w:ascii="Arial" w:hAnsi="Arial" w:cs="Arial"/>
          <w:bCs/>
          <w:color w:val="000000"/>
          <w:sz w:val="22"/>
          <w:szCs w:val="22"/>
          <w:shd w:val="clear" w:color="auto" w:fill="FFFFFF"/>
          <w:lang w:val="es-ES" w:eastAsia="x-none"/>
        </w:rPr>
        <w:t xml:space="preserve">ecreto </w:t>
      </w:r>
      <w:r w:rsidR="00B46917">
        <w:rPr>
          <w:rFonts w:ascii="Arial" w:hAnsi="Arial" w:cs="Arial"/>
          <w:bCs/>
          <w:color w:val="000000"/>
          <w:sz w:val="22"/>
          <w:szCs w:val="22"/>
          <w:shd w:val="clear" w:color="auto" w:fill="FFFFFF"/>
          <w:lang w:val="es-ES" w:eastAsia="x-none"/>
        </w:rPr>
        <w:t>l</w:t>
      </w:r>
      <w:r w:rsidRPr="00324867">
        <w:rPr>
          <w:rFonts w:ascii="Arial" w:hAnsi="Arial" w:cs="Arial"/>
          <w:bCs/>
          <w:color w:val="000000"/>
          <w:sz w:val="22"/>
          <w:szCs w:val="22"/>
          <w:shd w:val="clear" w:color="auto" w:fill="FFFFFF"/>
          <w:lang w:val="es-ES" w:eastAsia="x-none"/>
        </w:rPr>
        <w:t>ey Nº 825, de 1974, se regirán por el texto vigente al 31 de marzo de 2022.”.</w:t>
      </w:r>
    </w:p>
    <w:p w:rsidR="00324867" w:rsidRPr="00324867" w:rsidRDefault="00324867" w:rsidP="00EB65F7">
      <w:pPr>
        <w:widowControl w:val="0"/>
        <w:tabs>
          <w:tab w:val="left" w:pos="567"/>
        </w:tabs>
        <w:autoSpaceDE w:val="0"/>
        <w:autoSpaceDN w:val="0"/>
        <w:adjustRightInd w:val="0"/>
        <w:spacing w:before="360" w:after="240" w:line="276" w:lineRule="auto"/>
        <w:ind w:right="-142" w:firstLine="1701"/>
        <w:jc w:val="both"/>
        <w:rPr>
          <w:rFonts w:ascii="Arial" w:hAnsi="Arial" w:cs="Arial"/>
          <w:b/>
          <w:bCs/>
          <w:color w:val="000000"/>
          <w:sz w:val="22"/>
          <w:szCs w:val="22"/>
          <w:shd w:val="clear" w:color="auto" w:fill="FFFFFF"/>
          <w:lang w:val="es-ES" w:eastAsia="x-none"/>
        </w:rPr>
      </w:pPr>
      <w:r w:rsidRPr="00324867">
        <w:rPr>
          <w:rFonts w:ascii="Arial" w:hAnsi="Arial" w:cs="Arial"/>
          <w:b/>
          <w:bCs/>
          <w:color w:val="000000"/>
          <w:sz w:val="22"/>
          <w:szCs w:val="22"/>
          <w:shd w:val="clear" w:color="auto" w:fill="FFFFFF"/>
          <w:lang w:val="es-ES" w:eastAsia="x-none"/>
        </w:rPr>
        <w:t>VOTACIÓN</w:t>
      </w:r>
    </w:p>
    <w:p w:rsidR="00D6168B" w:rsidRPr="004B4525" w:rsidRDefault="00324867"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324867">
        <w:rPr>
          <w:rFonts w:ascii="Arial" w:hAnsi="Arial"/>
          <w:sz w:val="22"/>
          <w:szCs w:val="22"/>
          <w:lang w:val="es-ES"/>
        </w:rPr>
        <w:t xml:space="preserve">Puesto en votación el proyecto, tanto en general como en particular, resultó aprobado por la unanimidad de los trece diputados presentes, señores(a) Barrera, Bianchi, Brito, Cifuentes, Mellado, </w:t>
      </w:r>
      <w:proofErr w:type="spellStart"/>
      <w:r w:rsidRPr="00324867">
        <w:rPr>
          <w:rFonts w:ascii="Arial" w:hAnsi="Arial"/>
          <w:sz w:val="22"/>
          <w:szCs w:val="22"/>
          <w:lang w:val="es-ES"/>
        </w:rPr>
        <w:t>Mix</w:t>
      </w:r>
      <w:proofErr w:type="spellEnd"/>
      <w:r w:rsidRPr="00324867">
        <w:rPr>
          <w:rFonts w:ascii="Arial" w:hAnsi="Arial"/>
          <w:sz w:val="22"/>
          <w:szCs w:val="22"/>
          <w:lang w:val="es-ES"/>
        </w:rPr>
        <w:t xml:space="preserve">, Naranjo, Ramírez, Romero, </w:t>
      </w:r>
      <w:proofErr w:type="spellStart"/>
      <w:r w:rsidRPr="00324867">
        <w:rPr>
          <w:rFonts w:ascii="Arial" w:hAnsi="Arial"/>
          <w:sz w:val="22"/>
          <w:szCs w:val="22"/>
          <w:lang w:val="es-ES"/>
        </w:rPr>
        <w:t>Sauerbaum</w:t>
      </w:r>
      <w:proofErr w:type="spellEnd"/>
      <w:r w:rsidRPr="00324867">
        <w:rPr>
          <w:rFonts w:ascii="Arial" w:hAnsi="Arial"/>
          <w:sz w:val="22"/>
          <w:szCs w:val="22"/>
          <w:lang w:val="es-ES"/>
        </w:rPr>
        <w:t xml:space="preserve">, Sepúlveda, Von </w:t>
      </w:r>
      <w:proofErr w:type="spellStart"/>
      <w:r w:rsidRPr="00324867">
        <w:rPr>
          <w:rFonts w:ascii="Arial" w:hAnsi="Arial"/>
          <w:sz w:val="22"/>
          <w:szCs w:val="22"/>
          <w:lang w:val="es-ES"/>
        </w:rPr>
        <w:t>Mühlenbrock</w:t>
      </w:r>
      <w:proofErr w:type="spellEnd"/>
      <w:r w:rsidRPr="00324867">
        <w:rPr>
          <w:rFonts w:ascii="Arial" w:hAnsi="Arial"/>
          <w:sz w:val="22"/>
          <w:szCs w:val="22"/>
          <w:lang w:val="es-ES"/>
        </w:rPr>
        <w:t xml:space="preserve"> y </w:t>
      </w:r>
      <w:proofErr w:type="spellStart"/>
      <w:r w:rsidRPr="00324867">
        <w:rPr>
          <w:rFonts w:ascii="Arial" w:hAnsi="Arial"/>
          <w:sz w:val="22"/>
          <w:szCs w:val="22"/>
          <w:lang w:val="es-ES"/>
        </w:rPr>
        <w:t>Yeomans</w:t>
      </w:r>
      <w:proofErr w:type="spellEnd"/>
      <w:r w:rsidRPr="00324867">
        <w:rPr>
          <w:rFonts w:ascii="Arial" w:hAnsi="Arial"/>
          <w:sz w:val="22"/>
          <w:szCs w:val="22"/>
          <w:lang w:val="es-ES"/>
        </w:rPr>
        <w:t xml:space="preserve">. </w:t>
      </w:r>
    </w:p>
    <w:p w:rsidR="00D6168B" w:rsidRPr="004B4525" w:rsidRDefault="00B46917" w:rsidP="00EB65F7">
      <w:pPr>
        <w:widowControl w:val="0"/>
        <w:tabs>
          <w:tab w:val="left" w:pos="567"/>
        </w:tabs>
        <w:autoSpaceDE w:val="0"/>
        <w:autoSpaceDN w:val="0"/>
        <w:adjustRightInd w:val="0"/>
        <w:spacing w:before="360" w:after="240" w:line="276" w:lineRule="auto"/>
        <w:ind w:right="-142"/>
        <w:jc w:val="center"/>
        <w:rPr>
          <w:rFonts w:ascii="Arial" w:hAnsi="Arial" w:cs="Arial"/>
          <w:bCs/>
          <w:color w:val="000000"/>
          <w:sz w:val="22"/>
          <w:szCs w:val="22"/>
          <w:shd w:val="clear" w:color="auto" w:fill="FFFFFF"/>
          <w:lang w:val="es-ES" w:eastAsia="x-none"/>
        </w:rPr>
      </w:pPr>
      <w:r>
        <w:rPr>
          <w:rFonts w:ascii="Arial" w:hAnsi="Arial" w:cs="Arial"/>
          <w:bCs/>
          <w:color w:val="000000"/>
          <w:sz w:val="22"/>
          <w:szCs w:val="22"/>
          <w:shd w:val="clear" w:color="auto" w:fill="FFFFFF"/>
          <w:lang w:val="es-ES" w:eastAsia="x-none"/>
        </w:rPr>
        <w:t>*******</w:t>
      </w:r>
    </w:p>
    <w:p w:rsidR="00346FC3" w:rsidRPr="004B4525" w:rsidRDefault="00346FC3"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Por las razones señaladas y consideraciones que expondrá </w:t>
      </w:r>
      <w:r w:rsidR="003D30B8" w:rsidRPr="004B4525">
        <w:rPr>
          <w:rFonts w:ascii="Arial" w:hAnsi="Arial" w:cs="Arial"/>
          <w:bCs/>
          <w:color w:val="000000"/>
          <w:sz w:val="22"/>
          <w:szCs w:val="22"/>
          <w:shd w:val="clear" w:color="auto" w:fill="FFFFFF"/>
          <w:lang w:val="es-ES" w:eastAsia="x-none"/>
        </w:rPr>
        <w:t>el señor</w:t>
      </w:r>
      <w:r w:rsidRPr="004B4525">
        <w:rPr>
          <w:rFonts w:ascii="Arial" w:hAnsi="Arial" w:cs="Arial"/>
          <w:bCs/>
          <w:color w:val="000000"/>
          <w:sz w:val="22"/>
          <w:szCs w:val="22"/>
          <w:shd w:val="clear" w:color="auto" w:fill="FFFFFF"/>
          <w:lang w:val="es-ES" w:eastAsia="x-none"/>
        </w:rPr>
        <w:t xml:space="preserve"> Diputad</w:t>
      </w:r>
      <w:r w:rsidR="003D30B8" w:rsidRPr="004B4525">
        <w:rPr>
          <w:rFonts w:ascii="Arial" w:hAnsi="Arial" w:cs="Arial"/>
          <w:bCs/>
          <w:color w:val="000000"/>
          <w:sz w:val="22"/>
          <w:szCs w:val="22"/>
          <w:shd w:val="clear" w:color="auto" w:fill="FFFFFF"/>
          <w:lang w:val="es-ES" w:eastAsia="x-none"/>
        </w:rPr>
        <w:t>o</w:t>
      </w:r>
      <w:r w:rsidRPr="004B4525">
        <w:rPr>
          <w:rFonts w:ascii="Arial" w:hAnsi="Arial" w:cs="Arial"/>
          <w:bCs/>
          <w:color w:val="000000"/>
          <w:sz w:val="22"/>
          <w:szCs w:val="22"/>
          <w:shd w:val="clear" w:color="auto" w:fill="FFFFFF"/>
          <w:lang w:val="es-ES" w:eastAsia="x-none"/>
        </w:rPr>
        <w:t xml:space="preserve"> Informante, la Comisión de Hacienda recomienda </w:t>
      </w:r>
      <w:r w:rsidR="008760F5" w:rsidRPr="004B4525">
        <w:rPr>
          <w:rFonts w:ascii="Arial" w:hAnsi="Arial" w:cs="Arial"/>
          <w:bCs/>
          <w:color w:val="000000"/>
          <w:sz w:val="22"/>
          <w:szCs w:val="22"/>
          <w:shd w:val="clear" w:color="auto" w:fill="FFFFFF"/>
          <w:lang w:val="es-ES" w:eastAsia="x-none"/>
        </w:rPr>
        <w:t xml:space="preserve">aprobar </w:t>
      </w:r>
      <w:r w:rsidRPr="004B4525">
        <w:rPr>
          <w:rFonts w:ascii="Arial" w:hAnsi="Arial" w:cs="Arial"/>
          <w:bCs/>
          <w:color w:val="000000"/>
          <w:sz w:val="22"/>
          <w:szCs w:val="22"/>
          <w:shd w:val="clear" w:color="auto" w:fill="FFFFFF"/>
          <w:lang w:val="es-ES" w:eastAsia="x-none"/>
        </w:rPr>
        <w:t>el siguiente</w:t>
      </w:r>
    </w:p>
    <w:p w:rsidR="00346FC3" w:rsidRPr="00201D52" w:rsidRDefault="00346FC3" w:rsidP="00EB65F7">
      <w:pPr>
        <w:widowControl w:val="0"/>
        <w:tabs>
          <w:tab w:val="left" w:pos="567"/>
        </w:tabs>
        <w:autoSpaceDE w:val="0"/>
        <w:autoSpaceDN w:val="0"/>
        <w:adjustRightInd w:val="0"/>
        <w:spacing w:before="360" w:after="240" w:line="276" w:lineRule="auto"/>
        <w:ind w:right="-142"/>
        <w:jc w:val="center"/>
        <w:rPr>
          <w:rFonts w:ascii="Arial" w:hAnsi="Arial" w:cs="Arial"/>
          <w:b/>
          <w:bCs/>
          <w:color w:val="000000"/>
          <w:sz w:val="22"/>
          <w:szCs w:val="22"/>
          <w:shd w:val="clear" w:color="auto" w:fill="FFFFFF"/>
          <w:lang w:val="es-ES" w:eastAsia="x-none"/>
        </w:rPr>
      </w:pPr>
      <w:r w:rsidRPr="00201D52">
        <w:rPr>
          <w:rFonts w:ascii="Arial" w:hAnsi="Arial" w:cs="Arial"/>
          <w:b/>
          <w:bCs/>
          <w:color w:val="000000"/>
          <w:sz w:val="22"/>
          <w:szCs w:val="22"/>
          <w:shd w:val="clear" w:color="auto" w:fill="FFFFFF"/>
          <w:lang w:val="es-ES" w:eastAsia="x-none"/>
        </w:rPr>
        <w:t>PROYECTO DE LEY</w:t>
      </w: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9D0308">
        <w:rPr>
          <w:rFonts w:ascii="Arial" w:hAnsi="Arial" w:cs="Arial"/>
          <w:bCs/>
          <w:color w:val="000000"/>
          <w:sz w:val="22"/>
          <w:szCs w:val="22"/>
          <w:shd w:val="clear" w:color="auto" w:fill="FFFFFF"/>
          <w:lang w:val="es-ES" w:eastAsia="x-none"/>
        </w:rPr>
        <w:t>Artículo único.-</w:t>
      </w:r>
      <w:r w:rsidRPr="004B4525">
        <w:rPr>
          <w:rFonts w:ascii="Arial" w:hAnsi="Arial" w:cs="Arial"/>
          <w:bCs/>
          <w:color w:val="000000"/>
          <w:sz w:val="22"/>
          <w:szCs w:val="22"/>
          <w:shd w:val="clear" w:color="auto" w:fill="FFFFFF"/>
          <w:lang w:val="es-ES" w:eastAsia="x-none"/>
        </w:rPr>
        <w:tab/>
      </w:r>
      <w:proofErr w:type="spellStart"/>
      <w:r w:rsidRPr="004B4525">
        <w:rPr>
          <w:rFonts w:ascii="Arial" w:hAnsi="Arial" w:cs="Arial"/>
          <w:bCs/>
          <w:color w:val="000000"/>
          <w:sz w:val="22"/>
          <w:szCs w:val="22"/>
          <w:shd w:val="clear" w:color="auto" w:fill="FFFFFF"/>
          <w:lang w:val="es-ES" w:eastAsia="x-none"/>
        </w:rPr>
        <w:t>Introdúcense</w:t>
      </w:r>
      <w:proofErr w:type="spellEnd"/>
      <w:r w:rsidRPr="004B4525">
        <w:rPr>
          <w:rFonts w:ascii="Arial" w:hAnsi="Arial" w:cs="Arial"/>
          <w:bCs/>
          <w:color w:val="000000"/>
          <w:sz w:val="22"/>
          <w:szCs w:val="22"/>
          <w:shd w:val="clear" w:color="auto" w:fill="FFFFFF"/>
          <w:lang w:val="es-ES" w:eastAsia="x-none"/>
        </w:rPr>
        <w:t xml:space="preserve"> las siguientes modificaciones</w:t>
      </w:r>
      <w:r w:rsidR="003821CC">
        <w:rPr>
          <w:rFonts w:ascii="Arial" w:hAnsi="Arial" w:cs="Arial"/>
          <w:bCs/>
          <w:color w:val="000000"/>
          <w:sz w:val="22"/>
          <w:szCs w:val="22"/>
          <w:shd w:val="clear" w:color="auto" w:fill="FFFFFF"/>
          <w:lang w:val="es-ES" w:eastAsia="x-none"/>
        </w:rPr>
        <w:t xml:space="preserve"> en</w:t>
      </w:r>
      <w:r w:rsidRPr="004B4525">
        <w:rPr>
          <w:rFonts w:ascii="Arial" w:hAnsi="Arial" w:cs="Arial"/>
          <w:bCs/>
          <w:color w:val="000000"/>
          <w:sz w:val="22"/>
          <w:szCs w:val="22"/>
          <w:shd w:val="clear" w:color="auto" w:fill="FFFFFF"/>
          <w:lang w:val="es-ES" w:eastAsia="x-none"/>
        </w:rPr>
        <w:t xml:space="preserve"> la ley N° 21.420, </w:t>
      </w:r>
      <w:r w:rsidR="003821CC">
        <w:rPr>
          <w:rFonts w:ascii="Arial" w:hAnsi="Arial" w:cs="Arial"/>
          <w:bCs/>
          <w:color w:val="000000"/>
          <w:sz w:val="22"/>
          <w:szCs w:val="22"/>
          <w:shd w:val="clear" w:color="auto" w:fill="FFFFFF"/>
          <w:lang w:val="es-ES" w:eastAsia="x-none"/>
        </w:rPr>
        <w:t xml:space="preserve">que </w:t>
      </w:r>
      <w:r w:rsidRPr="004B4525">
        <w:rPr>
          <w:rFonts w:ascii="Arial" w:hAnsi="Arial" w:cs="Arial"/>
          <w:bCs/>
          <w:color w:val="000000"/>
          <w:sz w:val="22"/>
          <w:szCs w:val="22"/>
          <w:shd w:val="clear" w:color="auto" w:fill="FFFFFF"/>
          <w:lang w:val="es-ES" w:eastAsia="x-none"/>
        </w:rPr>
        <w:t>reduce o elimina exenciones tributarias que indica:</w:t>
      </w: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1)</w:t>
      </w:r>
      <w:r w:rsidRPr="004B4525">
        <w:rPr>
          <w:rFonts w:ascii="Arial" w:hAnsi="Arial" w:cs="Arial"/>
          <w:bCs/>
          <w:color w:val="000000"/>
          <w:sz w:val="22"/>
          <w:szCs w:val="22"/>
          <w:shd w:val="clear" w:color="auto" w:fill="FFFFFF"/>
          <w:lang w:val="es-ES" w:eastAsia="x-none"/>
        </w:rPr>
        <w:tab/>
      </w:r>
      <w:proofErr w:type="spellStart"/>
      <w:r w:rsidRPr="004B4525">
        <w:rPr>
          <w:rFonts w:ascii="Arial" w:hAnsi="Arial" w:cs="Arial"/>
          <w:bCs/>
          <w:color w:val="000000"/>
          <w:sz w:val="22"/>
          <w:szCs w:val="22"/>
          <w:shd w:val="clear" w:color="auto" w:fill="FFFFFF"/>
          <w:lang w:val="es-ES" w:eastAsia="x-none"/>
        </w:rPr>
        <w:t>Modifícase</w:t>
      </w:r>
      <w:proofErr w:type="spellEnd"/>
      <w:r w:rsidRPr="004B4525">
        <w:rPr>
          <w:rFonts w:ascii="Arial" w:hAnsi="Arial" w:cs="Arial"/>
          <w:bCs/>
          <w:color w:val="000000"/>
          <w:sz w:val="22"/>
          <w:szCs w:val="22"/>
          <w:shd w:val="clear" w:color="auto" w:fill="FFFFFF"/>
          <w:lang w:val="es-ES" w:eastAsia="x-none"/>
        </w:rPr>
        <w:t xml:space="preserve"> el numeral 16 del artículo 10, en los siguientes términos: </w:t>
      </w: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a) </w:t>
      </w:r>
      <w:r w:rsidRPr="004B4525">
        <w:rPr>
          <w:rFonts w:ascii="Arial" w:hAnsi="Arial" w:cs="Arial"/>
          <w:bCs/>
          <w:color w:val="000000"/>
          <w:sz w:val="22"/>
          <w:szCs w:val="22"/>
          <w:shd w:val="clear" w:color="auto" w:fill="FFFFFF"/>
          <w:lang w:val="es-ES" w:eastAsia="x-none"/>
        </w:rPr>
        <w:tab/>
      </w:r>
      <w:proofErr w:type="spellStart"/>
      <w:r w:rsidRPr="004B4525">
        <w:rPr>
          <w:rFonts w:ascii="Arial" w:hAnsi="Arial" w:cs="Arial"/>
          <w:bCs/>
          <w:color w:val="000000"/>
          <w:sz w:val="22"/>
          <w:szCs w:val="22"/>
          <w:shd w:val="clear" w:color="auto" w:fill="FFFFFF"/>
          <w:lang w:val="es-ES" w:eastAsia="x-none"/>
        </w:rPr>
        <w:t>Reemplázase</w:t>
      </w:r>
      <w:proofErr w:type="spellEnd"/>
      <w:r w:rsidRPr="004B4525">
        <w:rPr>
          <w:rFonts w:ascii="Arial" w:hAnsi="Arial" w:cs="Arial"/>
          <w:bCs/>
          <w:color w:val="000000"/>
          <w:sz w:val="22"/>
          <w:szCs w:val="22"/>
          <w:shd w:val="clear" w:color="auto" w:fill="FFFFFF"/>
          <w:lang w:val="es-ES" w:eastAsia="x-none"/>
        </w:rPr>
        <w:t xml:space="preserve"> en el inciso cuarto del artículo 142 bis que se agrega, la frase “tres décimos de unidad tributaria mensual” por “un décimo de unidad tributaria mensual”, las dos veces que aparece.</w:t>
      </w: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b) </w:t>
      </w:r>
      <w:proofErr w:type="spellStart"/>
      <w:r w:rsidRPr="004B4525">
        <w:rPr>
          <w:rFonts w:ascii="Arial" w:hAnsi="Arial" w:cs="Arial"/>
          <w:bCs/>
          <w:color w:val="000000"/>
          <w:sz w:val="22"/>
          <w:szCs w:val="22"/>
          <w:shd w:val="clear" w:color="auto" w:fill="FFFFFF"/>
          <w:lang w:val="es-ES" w:eastAsia="x-none"/>
        </w:rPr>
        <w:t>Reemplázase</w:t>
      </w:r>
      <w:proofErr w:type="spellEnd"/>
      <w:r w:rsidRPr="004B4525">
        <w:rPr>
          <w:rFonts w:ascii="Arial" w:hAnsi="Arial" w:cs="Arial"/>
          <w:bCs/>
          <w:color w:val="000000"/>
          <w:sz w:val="22"/>
          <w:szCs w:val="22"/>
          <w:shd w:val="clear" w:color="auto" w:fill="FFFFFF"/>
          <w:lang w:val="es-ES" w:eastAsia="x-none"/>
        </w:rPr>
        <w:t xml:space="preserve"> en el inciso cuarto del artículo 142 bis que se agrega, la frase “inciso quinto y sexto” por la siguiente frase: “presente inciso o el inciso siguiente,”.</w:t>
      </w: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9D0308"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9D0308" w:rsidRPr="004B4525"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2)</w:t>
      </w:r>
      <w:r w:rsidRPr="004B4525">
        <w:rPr>
          <w:rFonts w:ascii="Arial" w:hAnsi="Arial" w:cs="Arial"/>
          <w:bCs/>
          <w:color w:val="000000"/>
          <w:sz w:val="22"/>
          <w:szCs w:val="22"/>
          <w:shd w:val="clear" w:color="auto" w:fill="FFFFFF"/>
          <w:lang w:val="es-ES" w:eastAsia="x-none"/>
        </w:rPr>
        <w:tab/>
      </w:r>
      <w:proofErr w:type="spellStart"/>
      <w:r w:rsidRPr="004B4525">
        <w:rPr>
          <w:rFonts w:ascii="Arial" w:hAnsi="Arial" w:cs="Arial"/>
          <w:bCs/>
          <w:color w:val="000000"/>
          <w:sz w:val="22"/>
          <w:szCs w:val="22"/>
          <w:shd w:val="clear" w:color="auto" w:fill="FFFFFF"/>
          <w:lang w:val="es-ES" w:eastAsia="x-none"/>
        </w:rPr>
        <w:t>Reemplázase</w:t>
      </w:r>
      <w:proofErr w:type="spellEnd"/>
      <w:r w:rsidRPr="004B4525">
        <w:rPr>
          <w:rFonts w:ascii="Arial" w:hAnsi="Arial" w:cs="Arial"/>
          <w:bCs/>
          <w:color w:val="000000"/>
          <w:sz w:val="22"/>
          <w:szCs w:val="22"/>
          <w:shd w:val="clear" w:color="auto" w:fill="FFFFFF"/>
          <w:lang w:val="es-ES" w:eastAsia="x-none"/>
        </w:rPr>
        <w:t xml:space="preserve"> el inciso primero del artículo quinto transitorio, por el siguiente: </w:t>
      </w:r>
    </w:p>
    <w:p w:rsidR="009D0308" w:rsidRPr="009D0308"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9D0308"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r w:rsidRPr="009D0308">
        <w:rPr>
          <w:rFonts w:ascii="Arial" w:hAnsi="Arial" w:cs="Arial"/>
          <w:bCs/>
          <w:color w:val="000000"/>
          <w:sz w:val="22"/>
          <w:szCs w:val="22"/>
          <w:shd w:val="clear" w:color="auto" w:fill="FFFFFF"/>
          <w:lang w:val="es-ES" w:eastAsia="x-none"/>
        </w:rPr>
        <w:t>“Artículo quinto transitorio</w:t>
      </w:r>
      <w:r w:rsidRPr="004B4525">
        <w:rPr>
          <w:rFonts w:ascii="Arial" w:hAnsi="Arial" w:cs="Arial"/>
          <w:bCs/>
          <w:color w:val="000000"/>
          <w:sz w:val="22"/>
          <w:szCs w:val="22"/>
          <w:shd w:val="clear" w:color="auto" w:fill="FFFFFF"/>
          <w:lang w:val="es-ES" w:eastAsia="x-none"/>
        </w:rPr>
        <w:t xml:space="preserve">.- Las disposiciones contenidas en el artículo 5, y en el numeral 3 del artículo 6 de </w:t>
      </w:r>
      <w:r w:rsidR="00B46917">
        <w:rPr>
          <w:rFonts w:ascii="Arial" w:hAnsi="Arial" w:cs="Arial"/>
          <w:bCs/>
          <w:color w:val="000000"/>
          <w:sz w:val="22"/>
          <w:szCs w:val="22"/>
          <w:shd w:val="clear" w:color="auto" w:fill="FFFFFF"/>
          <w:lang w:val="es-ES" w:eastAsia="x-none"/>
        </w:rPr>
        <w:t>esta ley</w:t>
      </w:r>
      <w:r w:rsidRPr="004B4525">
        <w:rPr>
          <w:rFonts w:ascii="Arial" w:hAnsi="Arial" w:cs="Arial"/>
          <w:bCs/>
          <w:color w:val="000000"/>
          <w:sz w:val="22"/>
          <w:szCs w:val="22"/>
          <w:shd w:val="clear" w:color="auto" w:fill="FFFFFF"/>
          <w:lang w:val="es-ES" w:eastAsia="x-none"/>
        </w:rPr>
        <w:t>, entrarán en vigencia a contar del 1 de enero del año 2025</w:t>
      </w:r>
      <w:r>
        <w:rPr>
          <w:rFonts w:ascii="Arial" w:hAnsi="Arial" w:cs="Arial"/>
          <w:bCs/>
          <w:color w:val="000000"/>
          <w:sz w:val="22"/>
          <w:szCs w:val="22"/>
          <w:shd w:val="clear" w:color="auto" w:fill="FFFFFF"/>
          <w:lang w:val="es-ES" w:eastAsia="x-none"/>
        </w:rPr>
        <w:t>, sin perjuicio de lo establecido en el artículo siguiente”.</w:t>
      </w:r>
    </w:p>
    <w:p w:rsidR="009D0308" w:rsidRDefault="009D0308" w:rsidP="00EB65F7">
      <w:pPr>
        <w:widowControl w:val="0"/>
        <w:tabs>
          <w:tab w:val="left" w:pos="567"/>
        </w:tabs>
        <w:autoSpaceDE w:val="0"/>
        <w:autoSpaceDN w:val="0"/>
        <w:adjustRightInd w:val="0"/>
        <w:spacing w:line="276" w:lineRule="auto"/>
        <w:ind w:right="-142" w:firstLine="1701"/>
        <w:jc w:val="both"/>
        <w:rPr>
          <w:rFonts w:ascii="Arial" w:hAnsi="Arial" w:cs="Arial"/>
          <w:bCs/>
          <w:color w:val="000000"/>
          <w:sz w:val="22"/>
          <w:szCs w:val="22"/>
          <w:shd w:val="clear" w:color="auto" w:fill="FFFFFF"/>
          <w:lang w:val="es-ES" w:eastAsia="x-none"/>
        </w:rPr>
      </w:pPr>
    </w:p>
    <w:p w:rsidR="009D0308" w:rsidRPr="004B4525" w:rsidRDefault="009D0308"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Pr>
          <w:rFonts w:ascii="Arial" w:hAnsi="Arial" w:cs="Arial"/>
          <w:bCs/>
          <w:color w:val="000000"/>
          <w:sz w:val="22"/>
          <w:szCs w:val="22"/>
          <w:shd w:val="clear" w:color="auto" w:fill="FFFFFF"/>
          <w:lang w:val="es-ES" w:eastAsia="x-none"/>
        </w:rPr>
        <w:t xml:space="preserve">3) </w:t>
      </w:r>
      <w:r w:rsidR="003821CC">
        <w:rPr>
          <w:rFonts w:ascii="Arial" w:hAnsi="Arial" w:cs="Arial"/>
          <w:bCs/>
          <w:color w:val="000000"/>
          <w:sz w:val="22"/>
          <w:szCs w:val="22"/>
          <w:shd w:val="clear" w:color="auto" w:fill="FFFFFF"/>
          <w:lang w:val="es-ES" w:eastAsia="x-none"/>
        </w:rPr>
        <w:t xml:space="preserve"> </w:t>
      </w:r>
      <w:proofErr w:type="spellStart"/>
      <w:r w:rsidRPr="004B4525">
        <w:rPr>
          <w:rFonts w:ascii="Arial" w:hAnsi="Arial" w:cs="Arial"/>
          <w:bCs/>
          <w:color w:val="000000"/>
          <w:sz w:val="22"/>
          <w:szCs w:val="22"/>
          <w:shd w:val="clear" w:color="auto" w:fill="FFFFFF"/>
          <w:lang w:val="es-ES" w:eastAsia="x-none"/>
        </w:rPr>
        <w:t>Agrégase</w:t>
      </w:r>
      <w:proofErr w:type="spellEnd"/>
      <w:r w:rsidR="003821CC">
        <w:rPr>
          <w:rFonts w:ascii="Arial" w:hAnsi="Arial" w:cs="Arial"/>
          <w:bCs/>
          <w:color w:val="000000"/>
          <w:sz w:val="22"/>
          <w:szCs w:val="22"/>
          <w:shd w:val="clear" w:color="auto" w:fill="FFFFFF"/>
          <w:lang w:val="es-ES" w:eastAsia="x-none"/>
        </w:rPr>
        <w:t>, en el artículo sexto transitorio,</w:t>
      </w:r>
      <w:r w:rsidRPr="004B4525">
        <w:rPr>
          <w:rFonts w:ascii="Arial" w:hAnsi="Arial" w:cs="Arial"/>
          <w:bCs/>
          <w:color w:val="000000"/>
          <w:sz w:val="22"/>
          <w:szCs w:val="22"/>
          <w:shd w:val="clear" w:color="auto" w:fill="FFFFFF"/>
          <w:lang w:val="es-ES" w:eastAsia="x-none"/>
        </w:rPr>
        <w:t xml:space="preserve"> el siguiente inciso final, nuevo</w:t>
      </w:r>
      <w:r w:rsidR="003821CC">
        <w:rPr>
          <w:rFonts w:ascii="Arial" w:hAnsi="Arial" w:cs="Arial"/>
          <w:bCs/>
          <w:color w:val="000000"/>
          <w:sz w:val="22"/>
          <w:szCs w:val="22"/>
          <w:shd w:val="clear" w:color="auto" w:fill="FFFFFF"/>
          <w:lang w:val="es-ES" w:eastAsia="x-none"/>
        </w:rPr>
        <w:t>:</w:t>
      </w:r>
      <w:r w:rsidRPr="004B4525">
        <w:rPr>
          <w:rFonts w:ascii="Arial" w:hAnsi="Arial" w:cs="Arial"/>
          <w:bCs/>
          <w:color w:val="000000"/>
          <w:sz w:val="22"/>
          <w:szCs w:val="22"/>
          <w:shd w:val="clear" w:color="auto" w:fill="FFFFFF"/>
          <w:lang w:val="es-ES" w:eastAsia="x-none"/>
        </w:rPr>
        <w:t xml:space="preserve"> </w:t>
      </w:r>
    </w:p>
    <w:p w:rsidR="009D0308" w:rsidRDefault="009D0308"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“También tendrán derecho a deducir un 0,325 del débito del Impuesto al Valor Agregado que deban determinar los contratos generales de construcción que se suscriban con las entidades e instituciones que expresamente señala el inciso segundo; los contratos de ampliación, modificación, reparación, mantenimiento o de urbanización, respecto de las viviendas sociales señaladas en el inciso cuarto; y las adjudicaciones que recaigan sobre bienes corporales inmuebles para habitación, que hagan los socios, comuneros o cooperados indicados en el inciso quinto, todos del artículo 21 del </w:t>
      </w:r>
      <w:r w:rsidR="00B46917">
        <w:rPr>
          <w:rFonts w:ascii="Arial" w:hAnsi="Arial" w:cs="Arial"/>
          <w:bCs/>
          <w:color w:val="000000"/>
          <w:sz w:val="22"/>
          <w:szCs w:val="22"/>
          <w:shd w:val="clear" w:color="auto" w:fill="FFFFFF"/>
          <w:lang w:val="es-ES" w:eastAsia="x-none"/>
        </w:rPr>
        <w:t>d</w:t>
      </w:r>
      <w:r w:rsidRPr="004B4525">
        <w:rPr>
          <w:rFonts w:ascii="Arial" w:hAnsi="Arial" w:cs="Arial"/>
          <w:bCs/>
          <w:color w:val="000000"/>
          <w:sz w:val="22"/>
          <w:szCs w:val="22"/>
          <w:shd w:val="clear" w:color="auto" w:fill="FFFFFF"/>
          <w:lang w:val="es-ES" w:eastAsia="x-none"/>
        </w:rPr>
        <w:t xml:space="preserve">ecreto </w:t>
      </w:r>
      <w:r w:rsidR="00B46917">
        <w:rPr>
          <w:rFonts w:ascii="Arial" w:hAnsi="Arial" w:cs="Arial"/>
          <w:bCs/>
          <w:color w:val="000000"/>
          <w:sz w:val="22"/>
          <w:szCs w:val="22"/>
          <w:shd w:val="clear" w:color="auto" w:fill="FFFFFF"/>
          <w:lang w:val="es-ES" w:eastAsia="x-none"/>
        </w:rPr>
        <w:t>l</w:t>
      </w:r>
      <w:r w:rsidRPr="004B4525">
        <w:rPr>
          <w:rFonts w:ascii="Arial" w:hAnsi="Arial" w:cs="Arial"/>
          <w:bCs/>
          <w:color w:val="000000"/>
          <w:sz w:val="22"/>
          <w:szCs w:val="22"/>
          <w:shd w:val="clear" w:color="auto" w:fill="FFFFFF"/>
          <w:lang w:val="es-ES" w:eastAsia="x-none"/>
        </w:rPr>
        <w:t>ey N° 910, de 1975, en la medida que los contratos o adjudicaciones sean celebrados a contar del 1 de enero del año 2023 y que hayan obtenido el respectivo permiso municipal de edificación y/o las obras se hayan iniciado, según corresponda, antes del 1 de enero del año 2025</w:t>
      </w:r>
      <w:r w:rsidR="003821CC">
        <w:rPr>
          <w:rFonts w:ascii="Arial" w:hAnsi="Arial" w:cs="Arial"/>
          <w:bCs/>
          <w:color w:val="000000"/>
          <w:sz w:val="22"/>
          <w:szCs w:val="22"/>
          <w:shd w:val="clear" w:color="auto" w:fill="FFFFFF"/>
          <w:lang w:val="es-ES" w:eastAsia="x-none"/>
        </w:rPr>
        <w:t>.</w:t>
      </w:r>
      <w:r w:rsidRPr="004B4525">
        <w:rPr>
          <w:rFonts w:ascii="Arial" w:hAnsi="Arial" w:cs="Arial"/>
          <w:bCs/>
          <w:color w:val="000000"/>
          <w:sz w:val="22"/>
          <w:szCs w:val="22"/>
          <w:shd w:val="clear" w:color="auto" w:fill="FFFFFF"/>
          <w:lang w:val="es-ES" w:eastAsia="x-none"/>
        </w:rPr>
        <w:t>”.</w:t>
      </w:r>
    </w:p>
    <w:p w:rsidR="003821CC" w:rsidRDefault="003821CC" w:rsidP="00EB65F7">
      <w:pPr>
        <w:widowControl w:val="0"/>
        <w:tabs>
          <w:tab w:val="left" w:pos="567"/>
        </w:tabs>
        <w:autoSpaceDE w:val="0"/>
        <w:autoSpaceDN w:val="0"/>
        <w:adjustRightInd w:val="0"/>
        <w:spacing w:before="360" w:after="240" w:line="276" w:lineRule="auto"/>
        <w:ind w:right="-142"/>
        <w:jc w:val="center"/>
        <w:rPr>
          <w:rFonts w:ascii="Arial" w:hAnsi="Arial" w:cs="Arial"/>
          <w:bCs/>
          <w:color w:val="000000"/>
          <w:sz w:val="22"/>
          <w:szCs w:val="22"/>
          <w:shd w:val="clear" w:color="auto" w:fill="FFFFFF"/>
          <w:lang w:val="es-ES" w:eastAsia="x-none"/>
        </w:rPr>
      </w:pPr>
      <w:r>
        <w:rPr>
          <w:rFonts w:ascii="Arial" w:hAnsi="Arial" w:cs="Arial"/>
          <w:bCs/>
          <w:color w:val="000000"/>
          <w:sz w:val="22"/>
          <w:szCs w:val="22"/>
          <w:shd w:val="clear" w:color="auto" w:fill="FFFFFF"/>
          <w:lang w:val="es-ES" w:eastAsia="x-none"/>
        </w:rPr>
        <w:t>Disposición transitoria</w:t>
      </w:r>
    </w:p>
    <w:p w:rsidR="003821CC" w:rsidRDefault="003821CC"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Pr>
          <w:rFonts w:ascii="Arial" w:hAnsi="Arial" w:cs="Arial"/>
          <w:bCs/>
          <w:color w:val="000000"/>
          <w:sz w:val="22"/>
          <w:szCs w:val="22"/>
          <w:shd w:val="clear" w:color="auto" w:fill="FFFFFF"/>
          <w:lang w:val="es-ES" w:eastAsia="x-none"/>
        </w:rPr>
        <w:t>Artículo único.-</w:t>
      </w:r>
      <w:r w:rsidRPr="003821CC">
        <w:rPr>
          <w:rFonts w:ascii="Arial" w:hAnsi="Arial" w:cs="Arial"/>
          <w:bCs/>
          <w:color w:val="000000"/>
          <w:sz w:val="22"/>
          <w:szCs w:val="22"/>
          <w:shd w:val="clear" w:color="auto" w:fill="FFFFFF"/>
          <w:lang w:val="es-ES" w:eastAsia="x-none"/>
        </w:rPr>
        <w:t xml:space="preserve"> </w:t>
      </w:r>
      <w:r w:rsidRPr="00324867">
        <w:rPr>
          <w:rFonts w:ascii="Arial" w:hAnsi="Arial" w:cs="Arial"/>
          <w:bCs/>
          <w:color w:val="000000"/>
          <w:sz w:val="22"/>
          <w:szCs w:val="22"/>
          <w:shd w:val="clear" w:color="auto" w:fill="FFFFFF"/>
          <w:lang w:val="es-ES" w:eastAsia="x-none"/>
        </w:rPr>
        <w:t xml:space="preserve">Las operaciones realizadas entre el 01 de abril de 2022 y la fecha de publicación de esta ley, que al 31 de marzo de 2022 hubieran podido acogerse a lo dispuesto en el artículo 21 del </w:t>
      </w:r>
      <w:r w:rsidR="00B46917">
        <w:rPr>
          <w:rFonts w:ascii="Arial" w:hAnsi="Arial" w:cs="Arial"/>
          <w:bCs/>
          <w:color w:val="000000"/>
          <w:sz w:val="22"/>
          <w:szCs w:val="22"/>
          <w:shd w:val="clear" w:color="auto" w:fill="FFFFFF"/>
          <w:lang w:val="es-ES" w:eastAsia="x-none"/>
        </w:rPr>
        <w:t>d</w:t>
      </w:r>
      <w:r w:rsidRPr="00324867">
        <w:rPr>
          <w:rFonts w:ascii="Arial" w:hAnsi="Arial" w:cs="Arial"/>
          <w:bCs/>
          <w:color w:val="000000"/>
          <w:sz w:val="22"/>
          <w:szCs w:val="22"/>
          <w:shd w:val="clear" w:color="auto" w:fill="FFFFFF"/>
          <w:lang w:val="es-ES" w:eastAsia="x-none"/>
        </w:rPr>
        <w:t xml:space="preserve">ecreto </w:t>
      </w:r>
      <w:r w:rsidR="00B46917">
        <w:rPr>
          <w:rFonts w:ascii="Arial" w:hAnsi="Arial" w:cs="Arial"/>
          <w:bCs/>
          <w:color w:val="000000"/>
          <w:sz w:val="22"/>
          <w:szCs w:val="22"/>
          <w:shd w:val="clear" w:color="auto" w:fill="FFFFFF"/>
          <w:lang w:val="es-ES" w:eastAsia="x-none"/>
        </w:rPr>
        <w:t>l</w:t>
      </w:r>
      <w:r w:rsidRPr="00324867">
        <w:rPr>
          <w:rFonts w:ascii="Arial" w:hAnsi="Arial" w:cs="Arial"/>
          <w:bCs/>
          <w:color w:val="000000"/>
          <w:sz w:val="22"/>
          <w:szCs w:val="22"/>
          <w:shd w:val="clear" w:color="auto" w:fill="FFFFFF"/>
          <w:lang w:val="es-ES" w:eastAsia="x-none"/>
        </w:rPr>
        <w:t xml:space="preserve">ey Nº 910, de 1975, y en el número 6° del artículo 23 de la Ley sobre Impuesto a las Ventas y Servicios, contenida en el </w:t>
      </w:r>
      <w:r w:rsidR="00B46917">
        <w:rPr>
          <w:rFonts w:ascii="Arial" w:hAnsi="Arial" w:cs="Arial"/>
          <w:bCs/>
          <w:color w:val="000000"/>
          <w:sz w:val="22"/>
          <w:szCs w:val="22"/>
          <w:shd w:val="clear" w:color="auto" w:fill="FFFFFF"/>
          <w:lang w:val="es-ES" w:eastAsia="x-none"/>
        </w:rPr>
        <w:t>d</w:t>
      </w:r>
      <w:r w:rsidRPr="00324867">
        <w:rPr>
          <w:rFonts w:ascii="Arial" w:hAnsi="Arial" w:cs="Arial"/>
          <w:bCs/>
          <w:color w:val="000000"/>
          <w:sz w:val="22"/>
          <w:szCs w:val="22"/>
          <w:shd w:val="clear" w:color="auto" w:fill="FFFFFF"/>
          <w:lang w:val="es-ES" w:eastAsia="x-none"/>
        </w:rPr>
        <w:t xml:space="preserve">ecreto </w:t>
      </w:r>
      <w:r w:rsidR="00B46917">
        <w:rPr>
          <w:rFonts w:ascii="Arial" w:hAnsi="Arial" w:cs="Arial"/>
          <w:bCs/>
          <w:color w:val="000000"/>
          <w:sz w:val="22"/>
          <w:szCs w:val="22"/>
          <w:shd w:val="clear" w:color="auto" w:fill="FFFFFF"/>
          <w:lang w:val="es-ES" w:eastAsia="x-none"/>
        </w:rPr>
        <w:t>l</w:t>
      </w:r>
      <w:r w:rsidRPr="00324867">
        <w:rPr>
          <w:rFonts w:ascii="Arial" w:hAnsi="Arial" w:cs="Arial"/>
          <w:bCs/>
          <w:color w:val="000000"/>
          <w:sz w:val="22"/>
          <w:szCs w:val="22"/>
          <w:shd w:val="clear" w:color="auto" w:fill="FFFFFF"/>
          <w:lang w:val="es-ES" w:eastAsia="x-none"/>
        </w:rPr>
        <w:t>ey Nº 825, de 1974, se regirán por el texto vigente al 31 de marzo de 2022.</w:t>
      </w:r>
    </w:p>
    <w:p w:rsidR="00C41963" w:rsidRPr="004B4525" w:rsidRDefault="007A328C" w:rsidP="00EB65F7">
      <w:pPr>
        <w:widowControl w:val="0"/>
        <w:tabs>
          <w:tab w:val="left" w:pos="567"/>
        </w:tabs>
        <w:autoSpaceDE w:val="0"/>
        <w:autoSpaceDN w:val="0"/>
        <w:adjustRightInd w:val="0"/>
        <w:spacing w:before="360" w:after="240" w:line="276" w:lineRule="auto"/>
        <w:ind w:right="-142"/>
        <w:jc w:val="center"/>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w:t>
      </w:r>
    </w:p>
    <w:p w:rsidR="0012300B" w:rsidRPr="004B4525" w:rsidRDefault="007370EF"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r w:rsidRPr="004B4525">
        <w:rPr>
          <w:rFonts w:ascii="Arial" w:hAnsi="Arial" w:cs="Arial"/>
          <w:bCs/>
          <w:color w:val="000000"/>
          <w:sz w:val="22"/>
          <w:szCs w:val="22"/>
          <w:shd w:val="clear" w:color="auto" w:fill="FFFFFF"/>
          <w:lang w:val="es-ES" w:eastAsia="x-none"/>
        </w:rPr>
        <w:t xml:space="preserve">Tratado y acordado en </w:t>
      </w:r>
      <w:r w:rsidR="0012300B" w:rsidRPr="004B4525">
        <w:rPr>
          <w:rFonts w:ascii="Arial" w:hAnsi="Arial" w:cs="Arial"/>
          <w:bCs/>
          <w:color w:val="000000"/>
          <w:sz w:val="22"/>
          <w:szCs w:val="22"/>
          <w:shd w:val="clear" w:color="auto" w:fill="FFFFFF"/>
          <w:lang w:val="es-ES" w:eastAsia="x-none"/>
        </w:rPr>
        <w:t>la sesión especial celebrada en el día de hoy 2</w:t>
      </w:r>
      <w:r w:rsidR="00C1271C" w:rsidRPr="004B4525">
        <w:rPr>
          <w:rFonts w:ascii="Arial" w:hAnsi="Arial" w:cs="Arial"/>
          <w:bCs/>
          <w:color w:val="000000"/>
          <w:sz w:val="22"/>
          <w:szCs w:val="22"/>
          <w:shd w:val="clear" w:color="auto" w:fill="FFFFFF"/>
          <w:lang w:val="es-ES" w:eastAsia="x-none"/>
        </w:rPr>
        <w:t>0</w:t>
      </w:r>
      <w:r w:rsidR="0012300B" w:rsidRPr="004B4525">
        <w:rPr>
          <w:rFonts w:ascii="Arial" w:hAnsi="Arial" w:cs="Arial"/>
          <w:bCs/>
          <w:color w:val="000000"/>
          <w:sz w:val="22"/>
          <w:szCs w:val="22"/>
          <w:shd w:val="clear" w:color="auto" w:fill="FFFFFF"/>
          <w:lang w:val="es-ES" w:eastAsia="x-none"/>
        </w:rPr>
        <w:t xml:space="preserve"> de </w:t>
      </w:r>
      <w:r w:rsidR="00C1271C" w:rsidRPr="004B4525">
        <w:rPr>
          <w:rFonts w:ascii="Arial" w:hAnsi="Arial" w:cs="Arial"/>
          <w:bCs/>
          <w:color w:val="000000"/>
          <w:sz w:val="22"/>
          <w:szCs w:val="22"/>
          <w:shd w:val="clear" w:color="auto" w:fill="FFFFFF"/>
          <w:lang w:val="es-ES" w:eastAsia="x-none"/>
        </w:rPr>
        <w:t>abril</w:t>
      </w:r>
      <w:r w:rsidR="0012300B" w:rsidRPr="004B4525">
        <w:rPr>
          <w:rFonts w:ascii="Arial" w:hAnsi="Arial" w:cs="Arial"/>
          <w:bCs/>
          <w:color w:val="000000"/>
          <w:sz w:val="22"/>
          <w:szCs w:val="22"/>
          <w:shd w:val="clear" w:color="auto" w:fill="FFFFFF"/>
          <w:lang w:val="es-ES" w:eastAsia="x-none"/>
        </w:rPr>
        <w:t xml:space="preserve"> del año en curso, con la asistencia presencial o remota, de los diputados(a) señores</w:t>
      </w:r>
      <w:r w:rsidR="00C1271C" w:rsidRPr="004B4525">
        <w:rPr>
          <w:rFonts w:ascii="Arial" w:hAnsi="Arial" w:cs="Arial"/>
          <w:bCs/>
          <w:color w:val="000000"/>
          <w:sz w:val="22"/>
          <w:szCs w:val="22"/>
          <w:shd w:val="clear" w:color="auto" w:fill="FFFFFF"/>
          <w:lang w:val="es-ES" w:eastAsia="x-none"/>
        </w:rPr>
        <w:t>(as)</w:t>
      </w:r>
      <w:r w:rsidR="0012300B" w:rsidRPr="004B4525">
        <w:rPr>
          <w:rFonts w:ascii="Arial" w:hAnsi="Arial" w:cs="Arial"/>
          <w:bCs/>
          <w:color w:val="000000"/>
          <w:sz w:val="22"/>
          <w:szCs w:val="22"/>
          <w:shd w:val="clear" w:color="auto" w:fill="FFFFFF"/>
          <w:lang w:val="es-ES" w:eastAsia="x-none"/>
        </w:rPr>
        <w:t xml:space="preserve"> Boris Barrera Moreno, Carlos Bianchi </w:t>
      </w:r>
      <w:proofErr w:type="spellStart"/>
      <w:r w:rsidR="0012300B" w:rsidRPr="004B4525">
        <w:rPr>
          <w:rFonts w:ascii="Arial" w:hAnsi="Arial" w:cs="Arial"/>
          <w:bCs/>
          <w:color w:val="000000"/>
          <w:sz w:val="22"/>
          <w:szCs w:val="22"/>
          <w:shd w:val="clear" w:color="auto" w:fill="FFFFFF"/>
          <w:lang w:val="es-ES" w:eastAsia="x-none"/>
        </w:rPr>
        <w:t>Chelech</w:t>
      </w:r>
      <w:proofErr w:type="spellEnd"/>
      <w:r w:rsidR="0012300B" w:rsidRPr="004B4525">
        <w:rPr>
          <w:rFonts w:ascii="Arial" w:hAnsi="Arial" w:cs="Arial"/>
          <w:bCs/>
          <w:color w:val="000000"/>
          <w:sz w:val="22"/>
          <w:szCs w:val="22"/>
          <w:shd w:val="clear" w:color="auto" w:fill="FFFFFF"/>
          <w:lang w:val="es-ES" w:eastAsia="x-none"/>
        </w:rPr>
        <w:t xml:space="preserve">, Ricardo Cifuentes Lillo, Jorge Brito </w:t>
      </w:r>
      <w:proofErr w:type="spellStart"/>
      <w:r w:rsidR="0012300B" w:rsidRPr="004B4525">
        <w:rPr>
          <w:rFonts w:ascii="Arial" w:hAnsi="Arial" w:cs="Arial"/>
          <w:bCs/>
          <w:color w:val="000000"/>
          <w:sz w:val="22"/>
          <w:szCs w:val="22"/>
          <w:shd w:val="clear" w:color="auto" w:fill="FFFFFF"/>
          <w:lang w:val="es-ES" w:eastAsia="x-none"/>
        </w:rPr>
        <w:t>Hasbún</w:t>
      </w:r>
      <w:proofErr w:type="spellEnd"/>
      <w:r w:rsidR="0012300B" w:rsidRPr="004B4525">
        <w:rPr>
          <w:rFonts w:ascii="Arial" w:hAnsi="Arial" w:cs="Arial"/>
          <w:bCs/>
          <w:color w:val="000000"/>
          <w:sz w:val="22"/>
          <w:szCs w:val="22"/>
          <w:shd w:val="clear" w:color="auto" w:fill="FFFFFF"/>
          <w:lang w:val="es-ES" w:eastAsia="x-none"/>
        </w:rPr>
        <w:t xml:space="preserve">, Miguel Mellado Suazo, </w:t>
      </w:r>
      <w:r w:rsidR="00C1271C" w:rsidRPr="004B4525">
        <w:rPr>
          <w:rFonts w:ascii="Arial" w:hAnsi="Arial" w:cs="Arial"/>
          <w:bCs/>
          <w:color w:val="000000"/>
          <w:sz w:val="22"/>
          <w:szCs w:val="22"/>
          <w:shd w:val="clear" w:color="auto" w:fill="FFFFFF"/>
          <w:lang w:val="es-ES" w:eastAsia="x-none"/>
        </w:rPr>
        <w:t xml:space="preserve">Claudia </w:t>
      </w:r>
      <w:proofErr w:type="spellStart"/>
      <w:r w:rsidR="00C1271C" w:rsidRPr="004B4525">
        <w:rPr>
          <w:rFonts w:ascii="Arial" w:hAnsi="Arial" w:cs="Arial"/>
          <w:bCs/>
          <w:color w:val="000000"/>
          <w:sz w:val="22"/>
          <w:szCs w:val="22"/>
          <w:shd w:val="clear" w:color="auto" w:fill="FFFFFF"/>
          <w:lang w:val="es-ES" w:eastAsia="x-none"/>
        </w:rPr>
        <w:t>Mix</w:t>
      </w:r>
      <w:proofErr w:type="spellEnd"/>
      <w:r w:rsidR="00C1271C" w:rsidRPr="004B4525">
        <w:rPr>
          <w:rFonts w:ascii="Arial" w:hAnsi="Arial" w:cs="Arial"/>
          <w:bCs/>
          <w:color w:val="000000"/>
          <w:sz w:val="22"/>
          <w:szCs w:val="22"/>
          <w:shd w:val="clear" w:color="auto" w:fill="FFFFFF"/>
          <w:lang w:val="es-ES" w:eastAsia="x-none"/>
        </w:rPr>
        <w:t xml:space="preserve"> Jiménez, </w:t>
      </w:r>
      <w:r w:rsidR="0012300B" w:rsidRPr="004B4525">
        <w:rPr>
          <w:rFonts w:ascii="Arial" w:hAnsi="Arial" w:cs="Arial"/>
          <w:bCs/>
          <w:color w:val="000000"/>
          <w:sz w:val="22"/>
          <w:szCs w:val="22"/>
          <w:shd w:val="clear" w:color="auto" w:fill="FFFFFF"/>
          <w:lang w:val="es-ES" w:eastAsia="x-none"/>
        </w:rPr>
        <w:t xml:space="preserve">Jaime Naranjo Ortiz (Presidente), Guillermo Ramírez Diez, Agustín Romero Leiva, Frank </w:t>
      </w:r>
      <w:proofErr w:type="spellStart"/>
      <w:r w:rsidR="0012300B" w:rsidRPr="004B4525">
        <w:rPr>
          <w:rFonts w:ascii="Arial" w:hAnsi="Arial" w:cs="Arial"/>
          <w:bCs/>
          <w:color w:val="000000"/>
          <w:sz w:val="22"/>
          <w:szCs w:val="22"/>
          <w:shd w:val="clear" w:color="auto" w:fill="FFFFFF"/>
          <w:lang w:val="es-ES" w:eastAsia="x-none"/>
        </w:rPr>
        <w:t>Sauerbaum</w:t>
      </w:r>
      <w:proofErr w:type="spellEnd"/>
      <w:r w:rsidR="0012300B" w:rsidRPr="004B4525">
        <w:rPr>
          <w:rFonts w:ascii="Arial" w:hAnsi="Arial" w:cs="Arial"/>
          <w:bCs/>
          <w:color w:val="000000"/>
          <w:sz w:val="22"/>
          <w:szCs w:val="22"/>
          <w:shd w:val="clear" w:color="auto" w:fill="FFFFFF"/>
          <w:lang w:val="es-ES" w:eastAsia="x-none"/>
        </w:rPr>
        <w:t xml:space="preserve"> Muñoz, Alexis Sepúlveda Soto, Gastón Von </w:t>
      </w:r>
      <w:proofErr w:type="spellStart"/>
      <w:r w:rsidR="0012300B" w:rsidRPr="004B4525">
        <w:rPr>
          <w:rFonts w:ascii="Arial" w:hAnsi="Arial" w:cs="Arial"/>
          <w:bCs/>
          <w:color w:val="000000"/>
          <w:sz w:val="22"/>
          <w:szCs w:val="22"/>
          <w:shd w:val="clear" w:color="auto" w:fill="FFFFFF"/>
          <w:lang w:val="es-ES" w:eastAsia="x-none"/>
        </w:rPr>
        <w:t>Mühlenbrock</w:t>
      </w:r>
      <w:proofErr w:type="spellEnd"/>
      <w:r w:rsidR="0012300B" w:rsidRPr="004B4525">
        <w:rPr>
          <w:rFonts w:ascii="Arial" w:hAnsi="Arial" w:cs="Arial"/>
          <w:bCs/>
          <w:color w:val="000000"/>
          <w:sz w:val="22"/>
          <w:szCs w:val="22"/>
          <w:shd w:val="clear" w:color="auto" w:fill="FFFFFF"/>
          <w:lang w:val="es-ES" w:eastAsia="x-none"/>
        </w:rPr>
        <w:t xml:space="preserve"> Zamora y señora Gael </w:t>
      </w:r>
      <w:proofErr w:type="spellStart"/>
      <w:r w:rsidR="0012300B" w:rsidRPr="004B4525">
        <w:rPr>
          <w:rFonts w:ascii="Arial" w:hAnsi="Arial" w:cs="Arial"/>
          <w:bCs/>
          <w:color w:val="000000"/>
          <w:sz w:val="22"/>
          <w:szCs w:val="22"/>
          <w:shd w:val="clear" w:color="auto" w:fill="FFFFFF"/>
          <w:lang w:val="es-ES" w:eastAsia="x-none"/>
        </w:rPr>
        <w:t>Yeomans</w:t>
      </w:r>
      <w:proofErr w:type="spellEnd"/>
      <w:r w:rsidR="0012300B" w:rsidRPr="004B4525">
        <w:rPr>
          <w:rFonts w:ascii="Arial" w:hAnsi="Arial" w:cs="Arial"/>
          <w:bCs/>
          <w:color w:val="000000"/>
          <w:sz w:val="22"/>
          <w:szCs w:val="22"/>
          <w:shd w:val="clear" w:color="auto" w:fill="FFFFFF"/>
          <w:lang w:val="es-ES" w:eastAsia="x-none"/>
        </w:rPr>
        <w:t xml:space="preserve"> Araya. </w:t>
      </w:r>
    </w:p>
    <w:p w:rsidR="0012300B" w:rsidRPr="004B4525" w:rsidRDefault="0012300B" w:rsidP="00EB65F7">
      <w:pPr>
        <w:widowControl w:val="0"/>
        <w:tabs>
          <w:tab w:val="left" w:pos="567"/>
        </w:tabs>
        <w:autoSpaceDE w:val="0"/>
        <w:autoSpaceDN w:val="0"/>
        <w:adjustRightInd w:val="0"/>
        <w:spacing w:before="360" w:after="240" w:line="276" w:lineRule="auto"/>
        <w:ind w:right="-142" w:firstLine="1701"/>
        <w:jc w:val="both"/>
        <w:rPr>
          <w:rFonts w:ascii="Arial" w:hAnsi="Arial" w:cs="Arial"/>
          <w:bCs/>
          <w:color w:val="000000"/>
          <w:sz w:val="22"/>
          <w:szCs w:val="22"/>
          <w:shd w:val="clear" w:color="auto" w:fill="FFFFFF"/>
          <w:lang w:val="es-ES" w:eastAsia="x-none"/>
        </w:rPr>
      </w:pPr>
    </w:p>
    <w:p w:rsidR="0012300B" w:rsidRDefault="0012300B" w:rsidP="0012300B">
      <w:pPr>
        <w:spacing w:line="276" w:lineRule="auto"/>
        <w:jc w:val="both"/>
        <w:rPr>
          <w:rFonts w:ascii="Arial" w:hAnsi="Arial" w:cs="Arial"/>
          <w:sz w:val="22"/>
          <w:szCs w:val="22"/>
        </w:rPr>
      </w:pPr>
    </w:p>
    <w:p w:rsidR="0055265D" w:rsidRDefault="0055265D" w:rsidP="002E7F31">
      <w:pPr>
        <w:tabs>
          <w:tab w:val="left" w:pos="4751"/>
        </w:tabs>
        <w:spacing w:line="276" w:lineRule="auto"/>
        <w:jc w:val="right"/>
        <w:rPr>
          <w:rFonts w:ascii="Arial" w:hAnsi="Arial" w:cs="Arial"/>
          <w:sz w:val="22"/>
          <w:szCs w:val="22"/>
        </w:rPr>
      </w:pPr>
    </w:p>
    <w:p w:rsidR="001C44DC" w:rsidRPr="00850205" w:rsidRDefault="0006386A" w:rsidP="00860F7A">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860F7A">
        <w:rPr>
          <w:rFonts w:ascii="Arial" w:hAnsi="Arial" w:cs="Arial"/>
          <w:sz w:val="22"/>
          <w:szCs w:val="22"/>
        </w:rPr>
        <w:t>20 de abril</w:t>
      </w:r>
      <w:r w:rsidR="007D5F02">
        <w:rPr>
          <w:rFonts w:ascii="Arial" w:hAnsi="Arial" w:cs="Arial"/>
          <w:sz w:val="22"/>
          <w:szCs w:val="22"/>
        </w:rPr>
        <w:t xml:space="preserve"> de</w:t>
      </w:r>
      <w:r>
        <w:rPr>
          <w:rFonts w:ascii="Arial" w:hAnsi="Arial" w:cs="Arial"/>
          <w:sz w:val="22"/>
          <w:szCs w:val="22"/>
        </w:rPr>
        <w:t xml:space="preserve"> 202</w:t>
      </w:r>
      <w:r w:rsidR="00B27EAC">
        <w:rPr>
          <w:rFonts w:ascii="Arial" w:hAnsi="Arial" w:cs="Arial"/>
          <w:sz w:val="22"/>
          <w:szCs w:val="22"/>
        </w:rPr>
        <w:t>2</w:t>
      </w:r>
      <w:r w:rsidR="00860F7A">
        <w:rPr>
          <w:rFonts w:ascii="Arial" w:hAnsi="Arial" w:cs="Arial"/>
          <w:sz w:val="22"/>
          <w:szCs w:val="22"/>
        </w:rPr>
        <w:t>.</w:t>
      </w:r>
    </w:p>
    <w:p w:rsidR="001C44DC" w:rsidRDefault="001C44DC"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6D295D" w:rsidRDefault="006D295D" w:rsidP="002E7F31">
      <w:pPr>
        <w:tabs>
          <w:tab w:val="left" w:pos="4751"/>
        </w:tabs>
        <w:spacing w:line="276" w:lineRule="auto"/>
        <w:jc w:val="right"/>
        <w:rPr>
          <w:rFonts w:ascii="Arial" w:hAnsi="Arial" w:cs="Arial"/>
          <w:sz w:val="22"/>
          <w:szCs w:val="22"/>
        </w:rPr>
      </w:pPr>
    </w:p>
    <w:p w:rsidR="007B2010" w:rsidRDefault="007B2010" w:rsidP="002E7F31">
      <w:pPr>
        <w:tabs>
          <w:tab w:val="left" w:pos="4751"/>
        </w:tabs>
        <w:spacing w:line="276" w:lineRule="auto"/>
        <w:jc w:val="right"/>
        <w:rPr>
          <w:rFonts w:ascii="Arial" w:hAnsi="Arial" w:cs="Arial"/>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2E7F31">
      <w:pPr>
        <w:tabs>
          <w:tab w:val="left" w:pos="3686"/>
        </w:tabs>
        <w:spacing w:line="276" w:lineRule="auto"/>
        <w:ind w:left="3686"/>
        <w:jc w:val="both"/>
        <w:rPr>
          <w:rFonts w:ascii="Arial" w:hAnsi="Arial" w:cs="Arial"/>
          <w:sz w:val="22"/>
          <w:szCs w:val="22"/>
        </w:rPr>
      </w:pPr>
    </w:p>
    <w:sectPr w:rsidR="0003528C" w:rsidRPr="00850205" w:rsidSect="00F63BE4">
      <w:headerReference w:type="even" r:id="rId12"/>
      <w:headerReference w:type="default" r:id="rId13"/>
      <w:headerReference w:type="first" r:id="rId14"/>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C98" w:rsidRDefault="002F1C98">
      <w:r>
        <w:separator/>
      </w:r>
    </w:p>
  </w:endnote>
  <w:endnote w:type="continuationSeparator" w:id="0">
    <w:p w:rsidR="002F1C98" w:rsidRDefault="002F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C98" w:rsidRDefault="002F1C98">
      <w:r>
        <w:separator/>
      </w:r>
    </w:p>
  </w:footnote>
  <w:footnote w:type="continuationSeparator" w:id="0">
    <w:p w:rsidR="002F1C98" w:rsidRDefault="002F1C98">
      <w:r>
        <w:continuationSeparator/>
      </w:r>
    </w:p>
  </w:footnote>
  <w:footnote w:id="1">
    <w:p w:rsidR="00E93EBB" w:rsidRPr="000C5361" w:rsidRDefault="00E93EBB" w:rsidP="00E93EBB">
      <w:pPr>
        <w:pStyle w:val="Textonotapie"/>
        <w:jc w:val="both"/>
        <w:rPr>
          <w:rFonts w:ascii="Arial" w:hAnsi="Arial" w:cs="Arial"/>
          <w:sz w:val="18"/>
          <w:szCs w:val="18"/>
          <w:lang w:val="es-ES"/>
        </w:rPr>
      </w:pPr>
      <w:r w:rsidRPr="000C5361">
        <w:rPr>
          <w:rStyle w:val="Refdenotaalpie"/>
          <w:rFonts w:ascii="Arial" w:hAnsi="Arial" w:cs="Arial"/>
          <w:sz w:val="18"/>
          <w:szCs w:val="18"/>
        </w:rPr>
        <w:footnoteRef/>
      </w:r>
      <w:r w:rsidRPr="000C5361">
        <w:rPr>
          <w:rFonts w:ascii="Arial" w:hAnsi="Arial" w:cs="Arial"/>
          <w:sz w:val="18"/>
          <w:szCs w:val="18"/>
        </w:rPr>
        <w:t xml:space="preserve"> </w:t>
      </w:r>
      <w:r w:rsidR="009D0308" w:rsidRPr="000C5361">
        <w:rPr>
          <w:rFonts w:ascii="Arial" w:hAnsi="Arial" w:cs="Arial"/>
          <w:sz w:val="18"/>
          <w:szCs w:val="18"/>
          <w:lang w:val="es-ES"/>
        </w:rPr>
        <w:t xml:space="preserve">Trabajo elaborado por </w:t>
      </w:r>
      <w:r w:rsidR="0022713D" w:rsidRPr="000C5361">
        <w:rPr>
          <w:rFonts w:ascii="Arial" w:hAnsi="Arial" w:cs="Arial"/>
          <w:sz w:val="18"/>
          <w:szCs w:val="18"/>
          <w:lang w:val="es-ES"/>
        </w:rPr>
        <w:t>Hernán Cerda Toro, Hcerda@bcn.cl,</w:t>
      </w:r>
      <w:r w:rsidR="009D0308" w:rsidRPr="000C5361">
        <w:rPr>
          <w:rFonts w:ascii="Arial" w:hAnsi="Arial" w:cs="Arial"/>
          <w:sz w:val="18"/>
          <w:szCs w:val="18"/>
          <w:lang w:val="es-ES"/>
        </w:rPr>
        <w:t xml:space="preserve"> Unidad de Asesoría Parlamentaria, a solicitud de la Secretaría de la Comisión</w:t>
      </w:r>
      <w:r w:rsidR="0022713D" w:rsidRPr="000C5361">
        <w:rPr>
          <w:rFonts w:ascii="Arial" w:hAnsi="Arial" w:cs="Arial"/>
          <w:sz w:val="18"/>
          <w:szCs w:val="18"/>
          <w:lang w:val="es-ES"/>
        </w:rPr>
        <w:t>.</w:t>
      </w:r>
    </w:p>
  </w:footnote>
  <w:footnote w:id="2">
    <w:p w:rsidR="000C5361" w:rsidRPr="000C5361" w:rsidRDefault="000C5361" w:rsidP="000C5361">
      <w:pPr>
        <w:pStyle w:val="Textonotapie"/>
        <w:jc w:val="both"/>
        <w:rPr>
          <w:rFonts w:ascii="Arial" w:hAnsi="Arial" w:cs="Arial"/>
          <w:sz w:val="18"/>
          <w:szCs w:val="18"/>
        </w:rPr>
      </w:pPr>
      <w:r w:rsidRPr="000C5361">
        <w:rPr>
          <w:rStyle w:val="Refdenotaalpie"/>
          <w:rFonts w:ascii="Arial" w:hAnsi="Arial" w:cs="Arial"/>
          <w:sz w:val="18"/>
          <w:szCs w:val="18"/>
        </w:rPr>
        <w:footnoteRef/>
      </w:r>
      <w:r w:rsidRPr="000C5361">
        <w:rPr>
          <w:rFonts w:ascii="Arial" w:hAnsi="Arial" w:cs="Arial"/>
          <w:sz w:val="18"/>
          <w:szCs w:val="18"/>
        </w:rPr>
        <w:t xml:space="preserve"> El Artículo duodécimo transitorio de la Ley 20.780, publicada el 29.09.2014, dispuso modificaciones al crédito especial IVA para las empresas constructoras, introduciendo modificaciones de manera gradual de la siguiente forma:</w:t>
      </w:r>
    </w:p>
    <w:p w:rsidR="000C5361" w:rsidRPr="000C5361" w:rsidRDefault="000C5361" w:rsidP="000C5361">
      <w:pPr>
        <w:pStyle w:val="Textonotapie"/>
        <w:jc w:val="both"/>
        <w:rPr>
          <w:rFonts w:ascii="Arial" w:hAnsi="Arial" w:cs="Arial"/>
          <w:sz w:val="18"/>
          <w:szCs w:val="18"/>
        </w:rPr>
      </w:pPr>
      <w:r w:rsidRPr="000C5361">
        <w:rPr>
          <w:rFonts w:ascii="Arial" w:hAnsi="Arial" w:cs="Arial"/>
          <w:sz w:val="18"/>
          <w:szCs w:val="18"/>
        </w:rPr>
        <w:t xml:space="preserve"> </w:t>
      </w:r>
    </w:p>
    <w:p w:rsidR="000C5361" w:rsidRPr="000C5361" w:rsidRDefault="000C5361" w:rsidP="000C5361">
      <w:pPr>
        <w:pStyle w:val="Textonotapie"/>
        <w:ind w:left="567"/>
        <w:jc w:val="both"/>
        <w:rPr>
          <w:rFonts w:ascii="Arial" w:hAnsi="Arial" w:cs="Arial"/>
          <w:sz w:val="18"/>
          <w:szCs w:val="18"/>
        </w:rPr>
      </w:pPr>
      <w:r w:rsidRPr="000C5361">
        <w:rPr>
          <w:rFonts w:ascii="Arial" w:hAnsi="Arial" w:cs="Arial"/>
          <w:sz w:val="18"/>
          <w:szCs w:val="18"/>
        </w:rPr>
        <w:t>a.- A partir del 1 de enero del año 2015, el crédito establecido se aplicará a las ventas efectuadas de bienes corporales inmuebles para habitación, y a contratos generales de construcción que se suscriban desde esa fecha, cuyo valor no exceda de 4.000 unidades de fomento.</w:t>
      </w:r>
    </w:p>
    <w:p w:rsidR="000C5361" w:rsidRPr="000C5361" w:rsidRDefault="000C5361" w:rsidP="000C5361">
      <w:pPr>
        <w:pStyle w:val="Textonotapie"/>
        <w:ind w:left="567"/>
        <w:jc w:val="both"/>
        <w:rPr>
          <w:rFonts w:ascii="Arial" w:hAnsi="Arial" w:cs="Arial"/>
          <w:sz w:val="18"/>
          <w:szCs w:val="18"/>
        </w:rPr>
      </w:pPr>
      <w:r w:rsidRPr="000C5361">
        <w:rPr>
          <w:rFonts w:ascii="Arial" w:hAnsi="Arial" w:cs="Arial"/>
          <w:sz w:val="18"/>
          <w:szCs w:val="18"/>
        </w:rPr>
        <w:t>b.- A partir del 1 de enero del año 2016, el crédito establecido se aplicará a las ventas efectuadas de bienes corporales inmuebles para habitación, y a contratos generales de construcción que se suscriban desde esa fecha, cuyo valor no exceda de 3.000 unidades de fomento.</w:t>
      </w:r>
    </w:p>
    <w:p w:rsidR="000C5361" w:rsidRPr="000C5361" w:rsidRDefault="000C5361" w:rsidP="000C5361">
      <w:pPr>
        <w:pStyle w:val="Textonotapie"/>
        <w:ind w:left="567"/>
        <w:jc w:val="both"/>
        <w:rPr>
          <w:rFonts w:ascii="Arial" w:hAnsi="Arial" w:cs="Arial"/>
          <w:lang w:val="es-CL"/>
        </w:rPr>
      </w:pPr>
      <w:r w:rsidRPr="000C5361">
        <w:rPr>
          <w:rFonts w:ascii="Arial" w:hAnsi="Arial" w:cs="Arial"/>
          <w:sz w:val="18"/>
          <w:szCs w:val="18"/>
        </w:rPr>
        <w:t>c.- A partir del 1 de enero del año 2017, el crédito establecido se aplicará a las ventas efectuadas de bienes corporales inmuebles para habitación, y a contratos generales de construcción que se suscriban desde esa fecha, cuyo valor no exceda de 2.000 unidades de fomento.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Default="007633B1"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633B1" w:rsidRDefault="007633B1"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6A322E" w:rsidRDefault="007633B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F63C0C">
      <w:rPr>
        <w:rStyle w:val="Nmerodepgina"/>
        <w:rFonts w:ascii="Arial" w:hAnsi="Arial" w:cs="Arial"/>
        <w:noProof/>
        <w:sz w:val="22"/>
        <w:szCs w:val="22"/>
      </w:rPr>
      <w:t>10</w:t>
    </w:r>
    <w:r w:rsidRPr="006A322E">
      <w:rPr>
        <w:rStyle w:val="Nmerodepgina"/>
        <w:rFonts w:ascii="Arial" w:hAnsi="Arial" w:cs="Arial"/>
        <w:sz w:val="22"/>
        <w:szCs w:val="22"/>
      </w:rPr>
      <w:fldChar w:fldCharType="end"/>
    </w:r>
  </w:p>
  <w:p w:rsidR="007633B1" w:rsidRPr="0050418F" w:rsidRDefault="007633B1"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7633B1" w:rsidRDefault="007633B1">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3B1" w:rsidRPr="0050418F" w:rsidRDefault="007633B1">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E8E"/>
    <w:multiLevelType w:val="hybridMultilevel"/>
    <w:tmpl w:val="1B363690"/>
    <w:lvl w:ilvl="0" w:tplc="8FD0987A">
      <w:numFmt w:val="bullet"/>
      <w:lvlText w:val="-"/>
      <w:lvlJc w:val="left"/>
      <w:pPr>
        <w:ind w:left="932" w:hanging="360"/>
      </w:pPr>
      <w:rPr>
        <w:rFonts w:ascii="Verdana" w:eastAsia="Verdana" w:hAnsi="Verdana" w:cs="Verdana" w:hint="default"/>
        <w:b w:val="0"/>
        <w:bCs w:val="0"/>
        <w:i w:val="0"/>
        <w:iCs w:val="0"/>
        <w:w w:val="99"/>
        <w:sz w:val="20"/>
        <w:szCs w:val="20"/>
      </w:rPr>
    </w:lvl>
    <w:lvl w:ilvl="1" w:tplc="17B253A6">
      <w:numFmt w:val="bullet"/>
      <w:lvlText w:val="•"/>
      <w:lvlJc w:val="left"/>
      <w:pPr>
        <w:ind w:left="1964" w:hanging="360"/>
      </w:pPr>
      <w:rPr>
        <w:rFonts w:hint="default"/>
      </w:rPr>
    </w:lvl>
    <w:lvl w:ilvl="2" w:tplc="80C0BBE8">
      <w:numFmt w:val="bullet"/>
      <w:lvlText w:val="•"/>
      <w:lvlJc w:val="left"/>
      <w:pPr>
        <w:ind w:left="2988" w:hanging="360"/>
      </w:pPr>
      <w:rPr>
        <w:rFonts w:hint="default"/>
      </w:rPr>
    </w:lvl>
    <w:lvl w:ilvl="3" w:tplc="33965E90">
      <w:numFmt w:val="bullet"/>
      <w:lvlText w:val="•"/>
      <w:lvlJc w:val="left"/>
      <w:pPr>
        <w:ind w:left="4012" w:hanging="360"/>
      </w:pPr>
      <w:rPr>
        <w:rFonts w:hint="default"/>
      </w:rPr>
    </w:lvl>
    <w:lvl w:ilvl="4" w:tplc="3236A720">
      <w:numFmt w:val="bullet"/>
      <w:lvlText w:val="•"/>
      <w:lvlJc w:val="left"/>
      <w:pPr>
        <w:ind w:left="5036" w:hanging="360"/>
      </w:pPr>
      <w:rPr>
        <w:rFonts w:hint="default"/>
      </w:rPr>
    </w:lvl>
    <w:lvl w:ilvl="5" w:tplc="269CB3E6">
      <w:numFmt w:val="bullet"/>
      <w:lvlText w:val="•"/>
      <w:lvlJc w:val="left"/>
      <w:pPr>
        <w:ind w:left="6060" w:hanging="360"/>
      </w:pPr>
      <w:rPr>
        <w:rFonts w:hint="default"/>
      </w:rPr>
    </w:lvl>
    <w:lvl w:ilvl="6" w:tplc="EABA9F24">
      <w:numFmt w:val="bullet"/>
      <w:lvlText w:val="•"/>
      <w:lvlJc w:val="left"/>
      <w:pPr>
        <w:ind w:left="7084" w:hanging="360"/>
      </w:pPr>
      <w:rPr>
        <w:rFonts w:hint="default"/>
      </w:rPr>
    </w:lvl>
    <w:lvl w:ilvl="7" w:tplc="9D9AC090">
      <w:numFmt w:val="bullet"/>
      <w:lvlText w:val="•"/>
      <w:lvlJc w:val="left"/>
      <w:pPr>
        <w:ind w:left="8108" w:hanging="360"/>
      </w:pPr>
      <w:rPr>
        <w:rFonts w:hint="default"/>
      </w:rPr>
    </w:lvl>
    <w:lvl w:ilvl="8" w:tplc="D89A0CF8">
      <w:numFmt w:val="bullet"/>
      <w:lvlText w:val="•"/>
      <w:lvlJc w:val="left"/>
      <w:pPr>
        <w:ind w:left="9132" w:hanging="360"/>
      </w:pPr>
      <w:rPr>
        <w:rFonts w:hint="default"/>
      </w:rPr>
    </w:lvl>
  </w:abstractNum>
  <w:abstractNum w:abstractNumId="1"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2"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2253FAB"/>
    <w:multiLevelType w:val="hybridMultilevel"/>
    <w:tmpl w:val="76D2D9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7"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E102F6B"/>
    <w:multiLevelType w:val="hybridMultilevel"/>
    <w:tmpl w:val="B4D62CD0"/>
    <w:lvl w:ilvl="0" w:tplc="B172EE9E">
      <w:start w:val="1"/>
      <w:numFmt w:val="upperRoman"/>
      <w:lvlText w:val="%1."/>
      <w:lvlJc w:val="left"/>
      <w:pPr>
        <w:ind w:left="779" w:hanging="567"/>
      </w:pPr>
      <w:rPr>
        <w:rFonts w:ascii="Verdana" w:eastAsia="Verdana" w:hAnsi="Verdana" w:cs="Verdana" w:hint="default"/>
        <w:b/>
        <w:bCs/>
        <w:i w:val="0"/>
        <w:iCs w:val="0"/>
        <w:spacing w:val="-2"/>
        <w:w w:val="99"/>
        <w:sz w:val="20"/>
        <w:szCs w:val="20"/>
      </w:rPr>
    </w:lvl>
    <w:lvl w:ilvl="1" w:tplc="C13A4DD2">
      <w:numFmt w:val="bullet"/>
      <w:lvlText w:val="•"/>
      <w:lvlJc w:val="left"/>
      <w:pPr>
        <w:ind w:left="1820" w:hanging="567"/>
      </w:pPr>
      <w:rPr>
        <w:rFonts w:hint="default"/>
      </w:rPr>
    </w:lvl>
    <w:lvl w:ilvl="2" w:tplc="EDB27478">
      <w:numFmt w:val="bullet"/>
      <w:lvlText w:val="•"/>
      <w:lvlJc w:val="left"/>
      <w:pPr>
        <w:ind w:left="2860" w:hanging="567"/>
      </w:pPr>
      <w:rPr>
        <w:rFonts w:hint="default"/>
      </w:rPr>
    </w:lvl>
    <w:lvl w:ilvl="3" w:tplc="925AFF9C">
      <w:numFmt w:val="bullet"/>
      <w:lvlText w:val="•"/>
      <w:lvlJc w:val="left"/>
      <w:pPr>
        <w:ind w:left="3900" w:hanging="567"/>
      </w:pPr>
      <w:rPr>
        <w:rFonts w:hint="default"/>
      </w:rPr>
    </w:lvl>
    <w:lvl w:ilvl="4" w:tplc="984C29E6">
      <w:numFmt w:val="bullet"/>
      <w:lvlText w:val="•"/>
      <w:lvlJc w:val="left"/>
      <w:pPr>
        <w:ind w:left="4940" w:hanging="567"/>
      </w:pPr>
      <w:rPr>
        <w:rFonts w:hint="default"/>
      </w:rPr>
    </w:lvl>
    <w:lvl w:ilvl="5" w:tplc="AA96C252">
      <w:numFmt w:val="bullet"/>
      <w:lvlText w:val="•"/>
      <w:lvlJc w:val="left"/>
      <w:pPr>
        <w:ind w:left="5980" w:hanging="567"/>
      </w:pPr>
      <w:rPr>
        <w:rFonts w:hint="default"/>
      </w:rPr>
    </w:lvl>
    <w:lvl w:ilvl="6" w:tplc="7DE4F8D0">
      <w:numFmt w:val="bullet"/>
      <w:lvlText w:val="•"/>
      <w:lvlJc w:val="left"/>
      <w:pPr>
        <w:ind w:left="7020" w:hanging="567"/>
      </w:pPr>
      <w:rPr>
        <w:rFonts w:hint="default"/>
      </w:rPr>
    </w:lvl>
    <w:lvl w:ilvl="7" w:tplc="EDFA4FE2">
      <w:numFmt w:val="bullet"/>
      <w:lvlText w:val="•"/>
      <w:lvlJc w:val="left"/>
      <w:pPr>
        <w:ind w:left="8060" w:hanging="567"/>
      </w:pPr>
      <w:rPr>
        <w:rFonts w:hint="default"/>
      </w:rPr>
    </w:lvl>
    <w:lvl w:ilvl="8" w:tplc="15327C30">
      <w:numFmt w:val="bullet"/>
      <w:lvlText w:val="•"/>
      <w:lvlJc w:val="left"/>
      <w:pPr>
        <w:ind w:left="9100" w:hanging="567"/>
      </w:pPr>
      <w:rPr>
        <w:rFonts w:hint="default"/>
      </w:rPr>
    </w:lvl>
  </w:abstractNum>
  <w:abstractNum w:abstractNumId="22"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2"/>
  </w:num>
  <w:num w:numId="3">
    <w:abstractNumId w:val="7"/>
  </w:num>
  <w:num w:numId="4">
    <w:abstractNumId w:val="15"/>
  </w:num>
  <w:num w:numId="5">
    <w:abstractNumId w:val="16"/>
  </w:num>
  <w:num w:numId="6">
    <w:abstractNumId w:val="10"/>
  </w:num>
  <w:num w:numId="7">
    <w:abstractNumId w:val="2"/>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0"/>
  </w:num>
  <w:num w:numId="14">
    <w:abstractNumId w:val="22"/>
  </w:num>
  <w:num w:numId="15">
    <w:abstractNumId w:val="17"/>
  </w:num>
  <w:num w:numId="16">
    <w:abstractNumId w:val="4"/>
  </w:num>
  <w:num w:numId="17">
    <w:abstractNumId w:val="18"/>
  </w:num>
  <w:num w:numId="18">
    <w:abstractNumId w:val="1"/>
  </w:num>
  <w:num w:numId="19">
    <w:abstractNumId w:val="14"/>
  </w:num>
  <w:num w:numId="20">
    <w:abstractNumId w:val="19"/>
  </w:num>
  <w:num w:numId="21">
    <w:abstractNumId w:val="0"/>
  </w:num>
  <w:num w:numId="22">
    <w:abstractNumId w:val="21"/>
  </w:num>
  <w:num w:numId="2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37CF"/>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449A"/>
    <w:rsid w:val="000655EB"/>
    <w:rsid w:val="00067889"/>
    <w:rsid w:val="00082AC0"/>
    <w:rsid w:val="00092F03"/>
    <w:rsid w:val="000A36DB"/>
    <w:rsid w:val="000A793A"/>
    <w:rsid w:val="000B075A"/>
    <w:rsid w:val="000B27BE"/>
    <w:rsid w:val="000B3614"/>
    <w:rsid w:val="000C14DE"/>
    <w:rsid w:val="000C1655"/>
    <w:rsid w:val="000C5361"/>
    <w:rsid w:val="000C773C"/>
    <w:rsid w:val="000D255C"/>
    <w:rsid w:val="000D732A"/>
    <w:rsid w:val="000E2850"/>
    <w:rsid w:val="000E46A2"/>
    <w:rsid w:val="000F228C"/>
    <w:rsid w:val="0010562D"/>
    <w:rsid w:val="001056E1"/>
    <w:rsid w:val="00105C4F"/>
    <w:rsid w:val="00111DA4"/>
    <w:rsid w:val="001166F3"/>
    <w:rsid w:val="0012233A"/>
    <w:rsid w:val="00122A92"/>
    <w:rsid w:val="0012300B"/>
    <w:rsid w:val="00137915"/>
    <w:rsid w:val="001410D8"/>
    <w:rsid w:val="00142645"/>
    <w:rsid w:val="00150739"/>
    <w:rsid w:val="001515DB"/>
    <w:rsid w:val="00153C80"/>
    <w:rsid w:val="00155C4F"/>
    <w:rsid w:val="00157D61"/>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F3130"/>
    <w:rsid w:val="001F370B"/>
    <w:rsid w:val="00201D52"/>
    <w:rsid w:val="0020283C"/>
    <w:rsid w:val="00203587"/>
    <w:rsid w:val="00203EA8"/>
    <w:rsid w:val="00206275"/>
    <w:rsid w:val="00207FBD"/>
    <w:rsid w:val="00215450"/>
    <w:rsid w:val="002159BD"/>
    <w:rsid w:val="00216C94"/>
    <w:rsid w:val="0022009C"/>
    <w:rsid w:val="002211D2"/>
    <w:rsid w:val="0022154B"/>
    <w:rsid w:val="00222C16"/>
    <w:rsid w:val="00222CE3"/>
    <w:rsid w:val="00224EE3"/>
    <w:rsid w:val="00225145"/>
    <w:rsid w:val="002254AF"/>
    <w:rsid w:val="00225745"/>
    <w:rsid w:val="002266BF"/>
    <w:rsid w:val="0022713D"/>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E7F31"/>
    <w:rsid w:val="002F1C98"/>
    <w:rsid w:val="002F52D7"/>
    <w:rsid w:val="002F7D6E"/>
    <w:rsid w:val="002F7F83"/>
    <w:rsid w:val="002F7FFB"/>
    <w:rsid w:val="00300921"/>
    <w:rsid w:val="003026D7"/>
    <w:rsid w:val="003034DF"/>
    <w:rsid w:val="00306B90"/>
    <w:rsid w:val="003100D5"/>
    <w:rsid w:val="00320E49"/>
    <w:rsid w:val="00323E29"/>
    <w:rsid w:val="00324867"/>
    <w:rsid w:val="003420A2"/>
    <w:rsid w:val="00345001"/>
    <w:rsid w:val="00346FC3"/>
    <w:rsid w:val="00353168"/>
    <w:rsid w:val="00354B53"/>
    <w:rsid w:val="00355EE2"/>
    <w:rsid w:val="003567AB"/>
    <w:rsid w:val="0036023E"/>
    <w:rsid w:val="00363286"/>
    <w:rsid w:val="00365DBF"/>
    <w:rsid w:val="0037118C"/>
    <w:rsid w:val="003751E6"/>
    <w:rsid w:val="00376D8A"/>
    <w:rsid w:val="00381096"/>
    <w:rsid w:val="003821CC"/>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30B8"/>
    <w:rsid w:val="003D5F83"/>
    <w:rsid w:val="003E25ED"/>
    <w:rsid w:val="003E332A"/>
    <w:rsid w:val="003E4B14"/>
    <w:rsid w:val="003F16B1"/>
    <w:rsid w:val="003F3E3E"/>
    <w:rsid w:val="003F4387"/>
    <w:rsid w:val="003F58E3"/>
    <w:rsid w:val="00404FCD"/>
    <w:rsid w:val="00412680"/>
    <w:rsid w:val="00415FBA"/>
    <w:rsid w:val="004178C8"/>
    <w:rsid w:val="00424C75"/>
    <w:rsid w:val="00424DED"/>
    <w:rsid w:val="004254B0"/>
    <w:rsid w:val="004340CF"/>
    <w:rsid w:val="00440B2D"/>
    <w:rsid w:val="0044387B"/>
    <w:rsid w:val="004442BD"/>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4525"/>
    <w:rsid w:val="004B69F4"/>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226D"/>
    <w:rsid w:val="00536BF8"/>
    <w:rsid w:val="005404DD"/>
    <w:rsid w:val="005421BE"/>
    <w:rsid w:val="005456BE"/>
    <w:rsid w:val="00546538"/>
    <w:rsid w:val="0054787B"/>
    <w:rsid w:val="005505DB"/>
    <w:rsid w:val="00551F91"/>
    <w:rsid w:val="0055265D"/>
    <w:rsid w:val="005541F1"/>
    <w:rsid w:val="0056106F"/>
    <w:rsid w:val="0056394B"/>
    <w:rsid w:val="00566A93"/>
    <w:rsid w:val="00566FF1"/>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B143E"/>
    <w:rsid w:val="005B29BB"/>
    <w:rsid w:val="005B6C86"/>
    <w:rsid w:val="005B712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0EA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49C4"/>
    <w:rsid w:val="006728FD"/>
    <w:rsid w:val="006734DD"/>
    <w:rsid w:val="00677FB4"/>
    <w:rsid w:val="00681DF8"/>
    <w:rsid w:val="0068340E"/>
    <w:rsid w:val="0068740A"/>
    <w:rsid w:val="00687A36"/>
    <w:rsid w:val="0069122A"/>
    <w:rsid w:val="006930C5"/>
    <w:rsid w:val="006A322E"/>
    <w:rsid w:val="006A353D"/>
    <w:rsid w:val="006A6461"/>
    <w:rsid w:val="006A723A"/>
    <w:rsid w:val="006B3499"/>
    <w:rsid w:val="006B3574"/>
    <w:rsid w:val="006C1639"/>
    <w:rsid w:val="006C60E7"/>
    <w:rsid w:val="006C797D"/>
    <w:rsid w:val="006D16DE"/>
    <w:rsid w:val="006D295D"/>
    <w:rsid w:val="006D4D78"/>
    <w:rsid w:val="006E042F"/>
    <w:rsid w:val="006E2586"/>
    <w:rsid w:val="006E4C86"/>
    <w:rsid w:val="006F1858"/>
    <w:rsid w:val="006F3D90"/>
    <w:rsid w:val="0070266D"/>
    <w:rsid w:val="0070544F"/>
    <w:rsid w:val="00706980"/>
    <w:rsid w:val="00712A22"/>
    <w:rsid w:val="00714332"/>
    <w:rsid w:val="0071604D"/>
    <w:rsid w:val="007238C0"/>
    <w:rsid w:val="007260AF"/>
    <w:rsid w:val="007264FB"/>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29A0"/>
    <w:rsid w:val="007A2A06"/>
    <w:rsid w:val="007A328C"/>
    <w:rsid w:val="007A49DD"/>
    <w:rsid w:val="007B1B96"/>
    <w:rsid w:val="007B2010"/>
    <w:rsid w:val="007B2E54"/>
    <w:rsid w:val="007C3393"/>
    <w:rsid w:val="007C5874"/>
    <w:rsid w:val="007C67A6"/>
    <w:rsid w:val="007D014E"/>
    <w:rsid w:val="007D2A9C"/>
    <w:rsid w:val="007D5F02"/>
    <w:rsid w:val="007D718A"/>
    <w:rsid w:val="007D7DC6"/>
    <w:rsid w:val="007E6A61"/>
    <w:rsid w:val="007F51D5"/>
    <w:rsid w:val="007F52DD"/>
    <w:rsid w:val="008026DC"/>
    <w:rsid w:val="008027EB"/>
    <w:rsid w:val="00802B2E"/>
    <w:rsid w:val="0080419B"/>
    <w:rsid w:val="0080445F"/>
    <w:rsid w:val="00805ECE"/>
    <w:rsid w:val="0080799E"/>
    <w:rsid w:val="008226FC"/>
    <w:rsid w:val="00823B9F"/>
    <w:rsid w:val="008257D6"/>
    <w:rsid w:val="00826279"/>
    <w:rsid w:val="00826335"/>
    <w:rsid w:val="00834A4E"/>
    <w:rsid w:val="008434EE"/>
    <w:rsid w:val="00843E7D"/>
    <w:rsid w:val="008457CA"/>
    <w:rsid w:val="00850205"/>
    <w:rsid w:val="00851DD8"/>
    <w:rsid w:val="00851E5D"/>
    <w:rsid w:val="00852DF2"/>
    <w:rsid w:val="00853E4F"/>
    <w:rsid w:val="00860164"/>
    <w:rsid w:val="00860F7A"/>
    <w:rsid w:val="00861C0A"/>
    <w:rsid w:val="00863C6E"/>
    <w:rsid w:val="008669B1"/>
    <w:rsid w:val="0087004E"/>
    <w:rsid w:val="00870DB0"/>
    <w:rsid w:val="00871072"/>
    <w:rsid w:val="00875C22"/>
    <w:rsid w:val="008760F5"/>
    <w:rsid w:val="00882FAD"/>
    <w:rsid w:val="0088370E"/>
    <w:rsid w:val="008853E0"/>
    <w:rsid w:val="00891899"/>
    <w:rsid w:val="00893EB3"/>
    <w:rsid w:val="008A07C0"/>
    <w:rsid w:val="008A2250"/>
    <w:rsid w:val="008A4662"/>
    <w:rsid w:val="008B6BE7"/>
    <w:rsid w:val="008C1AB7"/>
    <w:rsid w:val="008C2FF2"/>
    <w:rsid w:val="008D7143"/>
    <w:rsid w:val="008E4B87"/>
    <w:rsid w:val="008F1AD4"/>
    <w:rsid w:val="00901E28"/>
    <w:rsid w:val="0090409F"/>
    <w:rsid w:val="00905E9F"/>
    <w:rsid w:val="009106CA"/>
    <w:rsid w:val="00912636"/>
    <w:rsid w:val="009137CA"/>
    <w:rsid w:val="00917D1D"/>
    <w:rsid w:val="0092491E"/>
    <w:rsid w:val="00924CE4"/>
    <w:rsid w:val="00926C49"/>
    <w:rsid w:val="00935A5D"/>
    <w:rsid w:val="00936F60"/>
    <w:rsid w:val="0094073F"/>
    <w:rsid w:val="009412DB"/>
    <w:rsid w:val="00941B8D"/>
    <w:rsid w:val="00942BF4"/>
    <w:rsid w:val="00950D70"/>
    <w:rsid w:val="009523A2"/>
    <w:rsid w:val="0095318A"/>
    <w:rsid w:val="0095662C"/>
    <w:rsid w:val="009566C4"/>
    <w:rsid w:val="00960BA0"/>
    <w:rsid w:val="00961548"/>
    <w:rsid w:val="009616CA"/>
    <w:rsid w:val="0096172D"/>
    <w:rsid w:val="00964A73"/>
    <w:rsid w:val="0096600D"/>
    <w:rsid w:val="00966E5D"/>
    <w:rsid w:val="00973E34"/>
    <w:rsid w:val="00974EA1"/>
    <w:rsid w:val="00981C39"/>
    <w:rsid w:val="009828BE"/>
    <w:rsid w:val="009846C0"/>
    <w:rsid w:val="009858A8"/>
    <w:rsid w:val="00990D45"/>
    <w:rsid w:val="0099400D"/>
    <w:rsid w:val="00994D0B"/>
    <w:rsid w:val="009A45CB"/>
    <w:rsid w:val="009A4CCB"/>
    <w:rsid w:val="009A69A7"/>
    <w:rsid w:val="009B1C11"/>
    <w:rsid w:val="009C2EC8"/>
    <w:rsid w:val="009C3E74"/>
    <w:rsid w:val="009D0308"/>
    <w:rsid w:val="009D4B23"/>
    <w:rsid w:val="009D6060"/>
    <w:rsid w:val="009D7545"/>
    <w:rsid w:val="009D7CFB"/>
    <w:rsid w:val="009D7DFC"/>
    <w:rsid w:val="009E1E5B"/>
    <w:rsid w:val="009E214B"/>
    <w:rsid w:val="009E56F5"/>
    <w:rsid w:val="009F1416"/>
    <w:rsid w:val="009F1F14"/>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72C"/>
    <w:rsid w:val="00AA44C7"/>
    <w:rsid w:val="00AA7B9A"/>
    <w:rsid w:val="00AB0A7F"/>
    <w:rsid w:val="00AB1FF8"/>
    <w:rsid w:val="00AB28F0"/>
    <w:rsid w:val="00AB4D96"/>
    <w:rsid w:val="00AC0C2A"/>
    <w:rsid w:val="00AC50C3"/>
    <w:rsid w:val="00AC50D2"/>
    <w:rsid w:val="00AC7895"/>
    <w:rsid w:val="00AD0E19"/>
    <w:rsid w:val="00AD6EA2"/>
    <w:rsid w:val="00AD7289"/>
    <w:rsid w:val="00AD74C1"/>
    <w:rsid w:val="00AE194A"/>
    <w:rsid w:val="00AE3094"/>
    <w:rsid w:val="00AE30A1"/>
    <w:rsid w:val="00AF07DC"/>
    <w:rsid w:val="00AF54C8"/>
    <w:rsid w:val="00AF6B28"/>
    <w:rsid w:val="00AF72A3"/>
    <w:rsid w:val="00B0079E"/>
    <w:rsid w:val="00B00F3D"/>
    <w:rsid w:val="00B018A0"/>
    <w:rsid w:val="00B02C70"/>
    <w:rsid w:val="00B03209"/>
    <w:rsid w:val="00B04605"/>
    <w:rsid w:val="00B06573"/>
    <w:rsid w:val="00B1252B"/>
    <w:rsid w:val="00B27604"/>
    <w:rsid w:val="00B27EAC"/>
    <w:rsid w:val="00B3203F"/>
    <w:rsid w:val="00B322A4"/>
    <w:rsid w:val="00B33B8D"/>
    <w:rsid w:val="00B3562D"/>
    <w:rsid w:val="00B43C9A"/>
    <w:rsid w:val="00B45F3E"/>
    <w:rsid w:val="00B46917"/>
    <w:rsid w:val="00B52EE8"/>
    <w:rsid w:val="00B5358C"/>
    <w:rsid w:val="00B55855"/>
    <w:rsid w:val="00B604EC"/>
    <w:rsid w:val="00B73A07"/>
    <w:rsid w:val="00B74448"/>
    <w:rsid w:val="00B751EB"/>
    <w:rsid w:val="00B75F2E"/>
    <w:rsid w:val="00B77C86"/>
    <w:rsid w:val="00B80834"/>
    <w:rsid w:val="00B83F72"/>
    <w:rsid w:val="00B859E3"/>
    <w:rsid w:val="00B8684A"/>
    <w:rsid w:val="00B86A64"/>
    <w:rsid w:val="00B87ACA"/>
    <w:rsid w:val="00B9098A"/>
    <w:rsid w:val="00BA0BB1"/>
    <w:rsid w:val="00BA4F7B"/>
    <w:rsid w:val="00BB3047"/>
    <w:rsid w:val="00BB34A8"/>
    <w:rsid w:val="00BC72AA"/>
    <w:rsid w:val="00BD23C7"/>
    <w:rsid w:val="00BD2C2C"/>
    <w:rsid w:val="00BD4865"/>
    <w:rsid w:val="00BD56E0"/>
    <w:rsid w:val="00BE0AD6"/>
    <w:rsid w:val="00BE74B8"/>
    <w:rsid w:val="00BE7DF4"/>
    <w:rsid w:val="00C06EBB"/>
    <w:rsid w:val="00C111F3"/>
    <w:rsid w:val="00C1271C"/>
    <w:rsid w:val="00C13F57"/>
    <w:rsid w:val="00C15212"/>
    <w:rsid w:val="00C20721"/>
    <w:rsid w:val="00C20AB5"/>
    <w:rsid w:val="00C25238"/>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152D"/>
    <w:rsid w:val="00CE7314"/>
    <w:rsid w:val="00CF1DCB"/>
    <w:rsid w:val="00CF38D8"/>
    <w:rsid w:val="00CF3B06"/>
    <w:rsid w:val="00CF3B68"/>
    <w:rsid w:val="00CF7D68"/>
    <w:rsid w:val="00D01CCC"/>
    <w:rsid w:val="00D0483A"/>
    <w:rsid w:val="00D10405"/>
    <w:rsid w:val="00D107D4"/>
    <w:rsid w:val="00D130F2"/>
    <w:rsid w:val="00D13C1F"/>
    <w:rsid w:val="00D14384"/>
    <w:rsid w:val="00D16CAE"/>
    <w:rsid w:val="00D175B9"/>
    <w:rsid w:val="00D201C1"/>
    <w:rsid w:val="00D269BB"/>
    <w:rsid w:val="00D26D6A"/>
    <w:rsid w:val="00D30732"/>
    <w:rsid w:val="00D34E09"/>
    <w:rsid w:val="00D42084"/>
    <w:rsid w:val="00D45395"/>
    <w:rsid w:val="00D47861"/>
    <w:rsid w:val="00D50153"/>
    <w:rsid w:val="00D532F8"/>
    <w:rsid w:val="00D55BDB"/>
    <w:rsid w:val="00D57B25"/>
    <w:rsid w:val="00D6168B"/>
    <w:rsid w:val="00D7316B"/>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C4E26"/>
    <w:rsid w:val="00DD0E91"/>
    <w:rsid w:val="00DD6C6A"/>
    <w:rsid w:val="00DD7787"/>
    <w:rsid w:val="00DE3FC8"/>
    <w:rsid w:val="00DF170C"/>
    <w:rsid w:val="00DF31C3"/>
    <w:rsid w:val="00DF61F0"/>
    <w:rsid w:val="00E01111"/>
    <w:rsid w:val="00E03A40"/>
    <w:rsid w:val="00E10F75"/>
    <w:rsid w:val="00E11D98"/>
    <w:rsid w:val="00E1511F"/>
    <w:rsid w:val="00E158B0"/>
    <w:rsid w:val="00E200B3"/>
    <w:rsid w:val="00E207AC"/>
    <w:rsid w:val="00E23BE3"/>
    <w:rsid w:val="00E26FB8"/>
    <w:rsid w:val="00E277B5"/>
    <w:rsid w:val="00E310C7"/>
    <w:rsid w:val="00E3507A"/>
    <w:rsid w:val="00E35D93"/>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93EBB"/>
    <w:rsid w:val="00EA45CC"/>
    <w:rsid w:val="00EA60DD"/>
    <w:rsid w:val="00EA70DA"/>
    <w:rsid w:val="00EB3805"/>
    <w:rsid w:val="00EB3864"/>
    <w:rsid w:val="00EB47C2"/>
    <w:rsid w:val="00EB65F7"/>
    <w:rsid w:val="00EC089D"/>
    <w:rsid w:val="00EC51D4"/>
    <w:rsid w:val="00ED2F7A"/>
    <w:rsid w:val="00ED5375"/>
    <w:rsid w:val="00ED70EC"/>
    <w:rsid w:val="00ED7D30"/>
    <w:rsid w:val="00EE1896"/>
    <w:rsid w:val="00EE2F8E"/>
    <w:rsid w:val="00EE6300"/>
    <w:rsid w:val="00EF67A0"/>
    <w:rsid w:val="00F0134F"/>
    <w:rsid w:val="00F030DA"/>
    <w:rsid w:val="00F03E74"/>
    <w:rsid w:val="00F042CC"/>
    <w:rsid w:val="00F05125"/>
    <w:rsid w:val="00F058A2"/>
    <w:rsid w:val="00F1637A"/>
    <w:rsid w:val="00F310F9"/>
    <w:rsid w:val="00F43857"/>
    <w:rsid w:val="00F46F0A"/>
    <w:rsid w:val="00F47064"/>
    <w:rsid w:val="00F53D88"/>
    <w:rsid w:val="00F5603F"/>
    <w:rsid w:val="00F5679D"/>
    <w:rsid w:val="00F61ABD"/>
    <w:rsid w:val="00F6292B"/>
    <w:rsid w:val="00F63BE4"/>
    <w:rsid w:val="00F63C0C"/>
    <w:rsid w:val="00F6416F"/>
    <w:rsid w:val="00F6422F"/>
    <w:rsid w:val="00F64996"/>
    <w:rsid w:val="00F66826"/>
    <w:rsid w:val="00F7156C"/>
    <w:rsid w:val="00F75C2F"/>
    <w:rsid w:val="00F776D0"/>
    <w:rsid w:val="00F77B6B"/>
    <w:rsid w:val="00F8080C"/>
    <w:rsid w:val="00F80B5B"/>
    <w:rsid w:val="00F8475E"/>
    <w:rsid w:val="00F8533F"/>
    <w:rsid w:val="00F85F89"/>
    <w:rsid w:val="00F86C37"/>
    <w:rsid w:val="00F94C24"/>
    <w:rsid w:val="00F9676A"/>
    <w:rsid w:val="00FA5D48"/>
    <w:rsid w:val="00FB13AB"/>
    <w:rsid w:val="00FB1943"/>
    <w:rsid w:val="00FB358F"/>
    <w:rsid w:val="00FB54A3"/>
    <w:rsid w:val="00FB72E0"/>
    <w:rsid w:val="00FC1B73"/>
    <w:rsid w:val="00FD6E88"/>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99"/>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semiHidden/>
    <w:unhideWhenUsed/>
    <w:rsid w:val="00E435A2"/>
  </w:style>
  <w:style w:type="character" w:customStyle="1" w:styleId="TextonotapieCar">
    <w:name w:val="Texto nota pie Car"/>
    <w:basedOn w:val="Fuentedeprrafopredeter"/>
    <w:link w:val="Textonotapie"/>
    <w:uiPriority w:val="99"/>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CC0B45C-FD19-4DE6-8C40-23B6290F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3236</Words>
  <Characters>17804</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17</cp:revision>
  <cp:lastPrinted>2014-03-13T13:01:00Z</cp:lastPrinted>
  <dcterms:created xsi:type="dcterms:W3CDTF">2022-04-20T20:13:00Z</dcterms:created>
  <dcterms:modified xsi:type="dcterms:W3CDTF">2022-04-21T15:44:00Z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