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A1" w:rsidRPr="006421EB" w:rsidRDefault="00D55CAB" w:rsidP="009260A1">
      <w:pPr>
        <w:pStyle w:val="Sinespaciado"/>
        <w:tabs>
          <w:tab w:val="left" w:pos="1701"/>
        </w:tabs>
        <w:spacing w:line="276" w:lineRule="auto"/>
        <w:ind w:right="-1"/>
        <w:rPr>
          <w:rFonts w:ascii="Arial" w:hAnsi="Arial" w:cs="Arial"/>
          <w:b/>
          <w:caps/>
          <w:sz w:val="22"/>
          <w:szCs w:val="22"/>
        </w:rPr>
      </w:pPr>
      <w:r w:rsidRPr="002E1ACA">
        <w:rPr>
          <w:rFonts w:ascii="Arial" w:hAnsi="Arial" w:cs="Arial"/>
          <w:b/>
          <w:sz w:val="22"/>
          <w:szCs w:val="22"/>
        </w:rPr>
        <w:t xml:space="preserve">INFORME DE LA COMISIÓN DE HACIENDA </w:t>
      </w:r>
      <w:r w:rsidRPr="002E1ACA">
        <w:rPr>
          <w:rFonts w:ascii="Arial" w:hAnsi="Arial" w:cs="Arial"/>
          <w:b/>
          <w:bCs/>
          <w:color w:val="000000"/>
          <w:spacing w:val="-2"/>
          <w:sz w:val="22"/>
          <w:szCs w:val="22"/>
        </w:rPr>
        <w:t xml:space="preserve">SOBRE EL PROYECTO DE ACUERDO QUE </w:t>
      </w:r>
      <w:r w:rsidR="009260A1" w:rsidRPr="006421EB">
        <w:rPr>
          <w:rFonts w:ascii="Arial" w:hAnsi="Arial" w:cs="Arial"/>
          <w:b/>
          <w:sz w:val="22"/>
          <w:szCs w:val="22"/>
          <w:lang w:val="es-ES"/>
        </w:rPr>
        <w:t xml:space="preserve">APRUEBA EL </w:t>
      </w:r>
      <w:r w:rsidR="009260A1">
        <w:rPr>
          <w:rFonts w:ascii="Arial" w:hAnsi="Arial" w:cs="Arial"/>
          <w:b/>
          <w:sz w:val="22"/>
          <w:szCs w:val="22"/>
          <w:lang w:val="es-ES"/>
        </w:rPr>
        <w:t>T</w:t>
      </w:r>
      <w:r w:rsidR="009260A1" w:rsidRPr="006421EB">
        <w:rPr>
          <w:rFonts w:ascii="Arial" w:hAnsi="Arial" w:cs="Arial"/>
          <w:b/>
          <w:caps/>
          <w:sz w:val="22"/>
          <w:szCs w:val="22"/>
        </w:rPr>
        <w:t>RATADO SOBRE LA PROHIBICIÓN DE LAS ARMAS NUCLEARES, adoptado en Nueva York, el 7 de julio de 2017.</w:t>
      </w:r>
    </w:p>
    <w:p w:rsidR="00D55CAB" w:rsidRPr="009C02C3" w:rsidRDefault="00D55CAB" w:rsidP="009260A1">
      <w:pPr>
        <w:shd w:val="clear" w:color="auto" w:fill="FFFFFF"/>
        <w:tabs>
          <w:tab w:val="left" w:pos="-284"/>
          <w:tab w:val="left" w:pos="0"/>
          <w:tab w:val="left" w:pos="1701"/>
        </w:tabs>
        <w:jc w:val="both"/>
        <w:rPr>
          <w:rFonts w:ascii="Arial" w:hAnsi="Arial" w:cs="Arial"/>
          <w:sz w:val="22"/>
          <w:szCs w:val="22"/>
          <w:lang w:val="es-CL" w:eastAsia="es-CL"/>
        </w:rPr>
      </w:pPr>
      <w:r>
        <w:rPr>
          <w:rFonts w:ascii="Arial" w:hAnsi="Arial" w:cs="Arial"/>
          <w:b/>
          <w:bCs/>
          <w:color w:val="000000"/>
          <w:spacing w:val="4"/>
          <w:sz w:val="22"/>
          <w:szCs w:val="22"/>
          <w:lang w:eastAsia="es-CL"/>
        </w:rPr>
        <w:t>__________________________________________________________________</w:t>
      </w:r>
    </w:p>
    <w:p w:rsidR="00D55CAB" w:rsidRDefault="00D55CAB" w:rsidP="009C02C3">
      <w:pPr>
        <w:shd w:val="clear" w:color="auto" w:fill="FFFFFF"/>
        <w:spacing w:line="276" w:lineRule="auto"/>
        <w:jc w:val="right"/>
        <w:rPr>
          <w:rFonts w:ascii="Arial" w:hAnsi="Arial" w:cs="Arial"/>
          <w:b/>
          <w:bCs/>
          <w:color w:val="000000"/>
          <w:spacing w:val="-2"/>
          <w:sz w:val="22"/>
          <w:szCs w:val="22"/>
        </w:rPr>
      </w:pPr>
    </w:p>
    <w:p w:rsidR="00705A09" w:rsidRPr="00E07E79" w:rsidRDefault="00705A09" w:rsidP="009C02C3">
      <w:pPr>
        <w:shd w:val="clear" w:color="auto" w:fill="FFFFFF"/>
        <w:spacing w:line="276" w:lineRule="auto"/>
        <w:jc w:val="right"/>
        <w:rPr>
          <w:rFonts w:ascii="Arial" w:hAnsi="Arial" w:cs="Arial"/>
          <w:b/>
          <w:bCs/>
          <w:color w:val="000000"/>
          <w:spacing w:val="-2"/>
          <w:sz w:val="22"/>
          <w:szCs w:val="22"/>
        </w:rPr>
      </w:pPr>
      <w:r w:rsidRPr="00E07E79">
        <w:rPr>
          <w:rFonts w:ascii="Arial" w:hAnsi="Arial" w:cs="Arial"/>
          <w:b/>
          <w:bCs/>
          <w:color w:val="000000"/>
          <w:spacing w:val="-2"/>
          <w:sz w:val="22"/>
          <w:szCs w:val="22"/>
        </w:rPr>
        <w:t xml:space="preserve">Boletín N° </w:t>
      </w:r>
      <w:r w:rsidR="008C5E38" w:rsidRPr="00E07E79">
        <w:rPr>
          <w:rFonts w:ascii="Arial" w:hAnsi="Arial" w:cs="Arial"/>
          <w:b/>
          <w:bCs/>
          <w:color w:val="000000"/>
          <w:spacing w:val="-2"/>
          <w:sz w:val="22"/>
          <w:szCs w:val="22"/>
        </w:rPr>
        <w:t>1</w:t>
      </w:r>
      <w:r w:rsidR="009260A1">
        <w:rPr>
          <w:rFonts w:ascii="Arial" w:hAnsi="Arial" w:cs="Arial"/>
          <w:b/>
          <w:bCs/>
          <w:color w:val="000000"/>
          <w:spacing w:val="-2"/>
          <w:sz w:val="22"/>
          <w:szCs w:val="22"/>
        </w:rPr>
        <w:t>4.007</w:t>
      </w:r>
      <w:r w:rsidR="00F54CF3">
        <w:rPr>
          <w:rFonts w:ascii="Arial" w:hAnsi="Arial" w:cs="Arial"/>
          <w:b/>
          <w:bCs/>
          <w:color w:val="000000"/>
          <w:spacing w:val="-2"/>
          <w:sz w:val="22"/>
          <w:szCs w:val="22"/>
        </w:rPr>
        <w:t>-</w:t>
      </w:r>
      <w:r w:rsidRPr="00E07E79">
        <w:rPr>
          <w:rFonts w:ascii="Arial" w:hAnsi="Arial" w:cs="Arial"/>
          <w:b/>
          <w:bCs/>
          <w:color w:val="000000"/>
          <w:spacing w:val="-2"/>
          <w:sz w:val="22"/>
          <w:szCs w:val="22"/>
        </w:rPr>
        <w:t>10</w:t>
      </w:r>
    </w:p>
    <w:p w:rsidR="00E86292" w:rsidRPr="00E07E79" w:rsidRDefault="00E86292" w:rsidP="00AC6EDE">
      <w:pPr>
        <w:shd w:val="clear" w:color="auto" w:fill="FFFFFF"/>
        <w:tabs>
          <w:tab w:val="left" w:pos="-284"/>
          <w:tab w:val="left" w:pos="0"/>
          <w:tab w:val="left" w:pos="1701"/>
        </w:tabs>
        <w:spacing w:line="276" w:lineRule="auto"/>
        <w:jc w:val="both"/>
        <w:rPr>
          <w:rFonts w:ascii="Arial" w:hAnsi="Arial" w:cs="Arial"/>
          <w:b/>
          <w:bCs/>
          <w:color w:val="000000"/>
          <w:spacing w:val="-2"/>
          <w:sz w:val="22"/>
          <w:szCs w:val="22"/>
        </w:rPr>
      </w:pPr>
    </w:p>
    <w:p w:rsidR="00D55CAB" w:rsidRPr="002E1ACA" w:rsidRDefault="00D55CAB" w:rsidP="00D55CAB">
      <w:pPr>
        <w:shd w:val="clear" w:color="auto" w:fill="FFFFFF"/>
        <w:tabs>
          <w:tab w:val="left" w:pos="-284"/>
          <w:tab w:val="left" w:pos="0"/>
        </w:tabs>
        <w:spacing w:before="120" w:line="276" w:lineRule="auto"/>
        <w:rPr>
          <w:rFonts w:ascii="Arial" w:hAnsi="Arial" w:cs="Arial"/>
          <w:sz w:val="22"/>
          <w:szCs w:val="22"/>
        </w:rPr>
      </w:pPr>
      <w:r w:rsidRPr="002E1ACA">
        <w:rPr>
          <w:rFonts w:ascii="Arial" w:hAnsi="Arial" w:cs="Arial"/>
          <w:sz w:val="22"/>
          <w:szCs w:val="22"/>
        </w:rPr>
        <w:t>HONORABLE CÁMARA:</w:t>
      </w:r>
    </w:p>
    <w:p w:rsidR="008F70F6" w:rsidRDefault="008F70F6" w:rsidP="00D55CAB">
      <w:pPr>
        <w:tabs>
          <w:tab w:val="left" w:pos="-284"/>
          <w:tab w:val="left" w:pos="0"/>
          <w:tab w:val="left" w:pos="1701"/>
        </w:tabs>
        <w:spacing w:line="276" w:lineRule="auto"/>
        <w:ind w:right="51" w:firstLine="1701"/>
        <w:jc w:val="both"/>
        <w:rPr>
          <w:rFonts w:ascii="Arial" w:hAnsi="Arial" w:cs="Arial"/>
          <w:sz w:val="22"/>
          <w:szCs w:val="22"/>
        </w:rPr>
      </w:pPr>
    </w:p>
    <w:p w:rsidR="00D55CAB" w:rsidRPr="002E1ACA" w:rsidRDefault="00D55CAB" w:rsidP="00D55CAB">
      <w:pPr>
        <w:tabs>
          <w:tab w:val="left" w:pos="-284"/>
          <w:tab w:val="left" w:pos="0"/>
          <w:tab w:val="left" w:pos="1701"/>
        </w:tabs>
        <w:spacing w:line="276" w:lineRule="auto"/>
        <w:ind w:right="51" w:firstLine="1701"/>
        <w:jc w:val="both"/>
        <w:rPr>
          <w:rFonts w:ascii="Arial" w:hAnsi="Arial" w:cs="Arial"/>
          <w:sz w:val="22"/>
          <w:szCs w:val="22"/>
        </w:rPr>
      </w:pPr>
      <w:r w:rsidRPr="002E1ACA">
        <w:rPr>
          <w:rFonts w:ascii="Arial" w:hAnsi="Arial" w:cs="Arial"/>
          <w:sz w:val="22"/>
          <w:szCs w:val="22"/>
        </w:rPr>
        <w:t xml:space="preserve">La Comisión de Hacienda pasa a informar, en cumplimiento del inciso segundo del artículo 17 de la ley N° 18.918, Orgánica Constitucional del Congreso Nacional, y conforme con lo dispuesto en el inciso segundo del artículo 226 del Reglamento de la Corporación, el proyecto de acuerdo mencionado en el epígrafe, originado en Mensaje de S.E. el Presidente de la República señor Sebastián Piñera Echenique, ingresado a tramitación el </w:t>
      </w:r>
      <w:r w:rsidR="009260A1">
        <w:rPr>
          <w:rFonts w:ascii="Arial" w:hAnsi="Arial" w:cs="Arial"/>
          <w:sz w:val="22"/>
          <w:szCs w:val="22"/>
        </w:rPr>
        <w:t>14 de enero de 2021</w:t>
      </w:r>
      <w:r w:rsidRPr="002E1ACA">
        <w:rPr>
          <w:rFonts w:ascii="Arial" w:hAnsi="Arial" w:cs="Arial"/>
          <w:sz w:val="22"/>
          <w:szCs w:val="22"/>
        </w:rPr>
        <w:t>, e informado en cumplimiento de su primer trámite constitucional y reglamentario, por la Comisión de Relaciones Exteriores, Asuntos Interparlamentarios e Integración Latinoamericana.</w:t>
      </w:r>
      <w:r>
        <w:rPr>
          <w:rFonts w:ascii="Arial" w:hAnsi="Arial" w:cs="Arial"/>
          <w:sz w:val="22"/>
          <w:szCs w:val="22"/>
        </w:rPr>
        <w:t xml:space="preserve"> </w:t>
      </w:r>
    </w:p>
    <w:p w:rsidR="00D55CAB" w:rsidRDefault="00D55CAB" w:rsidP="00D55CAB">
      <w:pPr>
        <w:spacing w:line="276" w:lineRule="auto"/>
        <w:ind w:firstLine="1701"/>
        <w:jc w:val="both"/>
        <w:rPr>
          <w:rFonts w:ascii="Arial" w:hAnsi="Arial" w:cs="Arial"/>
          <w:sz w:val="22"/>
          <w:szCs w:val="22"/>
        </w:rPr>
      </w:pPr>
    </w:p>
    <w:p w:rsidR="00F54CF3" w:rsidRPr="009260A1" w:rsidRDefault="00D55CAB" w:rsidP="00F54CF3">
      <w:pPr>
        <w:spacing w:line="276" w:lineRule="auto"/>
        <w:ind w:firstLine="1701"/>
        <w:jc w:val="both"/>
        <w:rPr>
          <w:rFonts w:ascii="Arial" w:hAnsi="Arial" w:cs="Arial"/>
          <w:sz w:val="22"/>
          <w:szCs w:val="22"/>
        </w:rPr>
      </w:pPr>
      <w:r w:rsidRPr="009260A1">
        <w:rPr>
          <w:rFonts w:ascii="Arial" w:hAnsi="Arial" w:cs="Arial"/>
          <w:sz w:val="22"/>
          <w:szCs w:val="22"/>
        </w:rPr>
        <w:t>Asistió a presentar la iniciativa</w:t>
      </w:r>
      <w:r w:rsidR="00467115" w:rsidRPr="009260A1">
        <w:rPr>
          <w:rFonts w:ascii="Arial" w:hAnsi="Arial" w:cs="Arial"/>
          <w:sz w:val="22"/>
          <w:szCs w:val="22"/>
        </w:rPr>
        <w:t xml:space="preserve"> en representación del Ejecutivo</w:t>
      </w:r>
      <w:r w:rsidR="00F54CF3" w:rsidRPr="009260A1">
        <w:rPr>
          <w:rFonts w:ascii="Arial" w:hAnsi="Arial" w:cs="Arial"/>
          <w:sz w:val="22"/>
          <w:szCs w:val="22"/>
        </w:rPr>
        <w:t xml:space="preserve">, </w:t>
      </w:r>
      <w:r w:rsidR="009260A1" w:rsidRPr="009260A1">
        <w:rPr>
          <w:rFonts w:ascii="Arial" w:hAnsi="Arial" w:cs="Arial"/>
          <w:sz w:val="22"/>
          <w:szCs w:val="22"/>
        </w:rPr>
        <w:t xml:space="preserve">el </w:t>
      </w:r>
      <w:r w:rsidR="009260A1" w:rsidRPr="009260A1">
        <w:rPr>
          <w:rFonts w:ascii="Arial" w:hAnsi="Arial" w:cs="Arial"/>
          <w:color w:val="000000"/>
          <w:sz w:val="22"/>
          <w:szCs w:val="22"/>
          <w:lang w:val="es-ES"/>
        </w:rPr>
        <w:t xml:space="preserve">señor Franco </w:t>
      </w:r>
      <w:proofErr w:type="spellStart"/>
      <w:r w:rsidR="009260A1" w:rsidRPr="009260A1">
        <w:rPr>
          <w:rFonts w:ascii="Arial" w:hAnsi="Arial" w:cs="Arial"/>
          <w:color w:val="000000"/>
          <w:sz w:val="22"/>
          <w:szCs w:val="22"/>
          <w:lang w:val="es-ES"/>
        </w:rPr>
        <w:t>Devillaine</w:t>
      </w:r>
      <w:proofErr w:type="spellEnd"/>
      <w:r w:rsidR="009260A1" w:rsidRPr="009260A1">
        <w:rPr>
          <w:rFonts w:ascii="Arial" w:hAnsi="Arial" w:cs="Arial"/>
          <w:color w:val="000000"/>
          <w:sz w:val="22"/>
          <w:szCs w:val="22"/>
          <w:lang w:val="es-ES"/>
        </w:rPr>
        <w:t xml:space="preserve"> Gómez, Director Jurídico de la Cancillería</w:t>
      </w:r>
      <w:r w:rsidR="009260A1" w:rsidRPr="009260A1">
        <w:rPr>
          <w:rFonts w:ascii="Arial" w:hAnsi="Arial" w:cs="Arial"/>
          <w:color w:val="000000"/>
          <w:sz w:val="22"/>
          <w:szCs w:val="22"/>
          <w:lang w:val="es-ES"/>
        </w:rPr>
        <w:t>.</w:t>
      </w:r>
    </w:p>
    <w:p w:rsidR="006E0993" w:rsidRDefault="00467115" w:rsidP="009260A1">
      <w:pPr>
        <w:spacing w:line="276" w:lineRule="auto"/>
        <w:ind w:firstLine="1701"/>
        <w:jc w:val="both"/>
        <w:rPr>
          <w:rFonts w:ascii="Arial" w:hAnsi="Arial" w:cs="Arial"/>
          <w:b/>
          <w:sz w:val="22"/>
          <w:szCs w:val="22"/>
        </w:rPr>
      </w:pPr>
      <w:r w:rsidRPr="00467115">
        <w:rPr>
          <w:rFonts w:ascii="Arial" w:hAnsi="Arial" w:cs="Arial"/>
          <w:sz w:val="22"/>
          <w:szCs w:val="22"/>
        </w:rPr>
        <w:t xml:space="preserve"> </w:t>
      </w:r>
    </w:p>
    <w:p w:rsidR="008144B7" w:rsidRPr="008144B7" w:rsidRDefault="008144B7" w:rsidP="008144B7">
      <w:pPr>
        <w:keepNext/>
        <w:tabs>
          <w:tab w:val="left" w:pos="-284"/>
          <w:tab w:val="left" w:pos="0"/>
          <w:tab w:val="left" w:pos="3402"/>
          <w:tab w:val="left" w:pos="4751"/>
        </w:tabs>
        <w:spacing w:line="276" w:lineRule="auto"/>
        <w:ind w:right="51"/>
        <w:jc w:val="both"/>
        <w:outlineLvl w:val="0"/>
        <w:rPr>
          <w:rFonts w:ascii="Arial" w:hAnsi="Arial" w:cs="Arial"/>
          <w:b/>
          <w:sz w:val="22"/>
          <w:szCs w:val="22"/>
        </w:rPr>
      </w:pPr>
      <w:r w:rsidRPr="008144B7">
        <w:rPr>
          <w:rFonts w:ascii="Arial" w:hAnsi="Arial" w:cs="Arial"/>
          <w:b/>
          <w:sz w:val="22"/>
          <w:szCs w:val="22"/>
        </w:rPr>
        <w:t>I.-CONSTANCIAS REGLAMENTARIAS PREVIAS</w:t>
      </w:r>
    </w:p>
    <w:p w:rsidR="008144B7" w:rsidRDefault="008144B7" w:rsidP="001608E2">
      <w:pPr>
        <w:shd w:val="clear" w:color="auto" w:fill="FFFFFF"/>
        <w:tabs>
          <w:tab w:val="left" w:pos="-284"/>
          <w:tab w:val="left" w:pos="0"/>
          <w:tab w:val="left" w:pos="1701"/>
        </w:tabs>
        <w:spacing w:line="276" w:lineRule="auto"/>
        <w:jc w:val="both"/>
        <w:rPr>
          <w:rFonts w:ascii="Arial" w:hAnsi="Arial" w:cs="Arial"/>
          <w:b/>
          <w:sz w:val="22"/>
          <w:szCs w:val="22"/>
        </w:rPr>
      </w:pPr>
    </w:p>
    <w:p w:rsidR="008144B7" w:rsidRDefault="008144B7" w:rsidP="008144B7">
      <w:pPr>
        <w:tabs>
          <w:tab w:val="left" w:pos="-284"/>
          <w:tab w:val="left" w:pos="0"/>
          <w:tab w:val="left" w:pos="1701"/>
        </w:tabs>
        <w:spacing w:line="276" w:lineRule="auto"/>
        <w:ind w:firstLine="1701"/>
        <w:rPr>
          <w:rFonts w:ascii="Arial" w:hAnsi="Arial" w:cs="Arial"/>
          <w:sz w:val="22"/>
          <w:szCs w:val="22"/>
          <w:u w:val="single"/>
        </w:rPr>
      </w:pPr>
      <w:r w:rsidRPr="002E1ACA">
        <w:rPr>
          <w:rFonts w:ascii="Arial" w:hAnsi="Arial" w:cs="Arial"/>
          <w:sz w:val="22"/>
          <w:szCs w:val="22"/>
        </w:rPr>
        <w:t>1.-</w:t>
      </w:r>
      <w:r w:rsidRPr="002E1ACA">
        <w:rPr>
          <w:rFonts w:ascii="Arial" w:hAnsi="Arial" w:cs="Arial"/>
          <w:sz w:val="22"/>
          <w:szCs w:val="22"/>
          <w:u w:val="single"/>
        </w:rPr>
        <w:t>Idea matriz o fundamental del Proyecto de Acuerdo:</w:t>
      </w:r>
    </w:p>
    <w:p w:rsidR="009260A1" w:rsidRPr="007F67C3" w:rsidRDefault="009260A1" w:rsidP="009260A1">
      <w:pPr>
        <w:tabs>
          <w:tab w:val="left" w:pos="1701"/>
        </w:tabs>
        <w:spacing w:line="276" w:lineRule="auto"/>
        <w:ind w:right="-1" w:firstLine="1980"/>
        <w:jc w:val="both"/>
        <w:rPr>
          <w:rFonts w:ascii="Arial" w:hAnsi="Arial" w:cs="Arial"/>
          <w:sz w:val="22"/>
          <w:szCs w:val="22"/>
        </w:rPr>
      </w:pPr>
      <w:r>
        <w:rPr>
          <w:rFonts w:ascii="Arial" w:hAnsi="Arial" w:cs="Arial"/>
          <w:sz w:val="22"/>
          <w:szCs w:val="22"/>
        </w:rPr>
        <w:t>Asumir el país el firme compromiso de</w:t>
      </w:r>
      <w:r w:rsidRPr="007F67C3">
        <w:rPr>
          <w:rFonts w:ascii="Arial" w:hAnsi="Arial" w:cs="Arial"/>
          <w:sz w:val="22"/>
          <w:szCs w:val="22"/>
        </w:rPr>
        <w:t xml:space="preserve"> </w:t>
      </w:r>
      <w:r>
        <w:rPr>
          <w:rFonts w:ascii="Arial" w:hAnsi="Arial" w:cs="Arial"/>
          <w:sz w:val="22"/>
          <w:szCs w:val="22"/>
        </w:rPr>
        <w:t xml:space="preserve">prohibir las armas nucleares y promover su </w:t>
      </w:r>
      <w:r w:rsidRPr="007F67C3">
        <w:rPr>
          <w:rFonts w:ascii="Arial" w:hAnsi="Arial" w:cs="Arial"/>
          <w:sz w:val="22"/>
          <w:szCs w:val="22"/>
        </w:rPr>
        <w:t xml:space="preserve">desarme total y completo </w:t>
      </w:r>
      <w:r>
        <w:rPr>
          <w:rFonts w:ascii="Arial" w:hAnsi="Arial" w:cs="Arial"/>
          <w:sz w:val="22"/>
          <w:szCs w:val="22"/>
        </w:rPr>
        <w:t>en el marco</w:t>
      </w:r>
      <w:r w:rsidRPr="007F67C3">
        <w:rPr>
          <w:rFonts w:ascii="Arial" w:hAnsi="Arial" w:cs="Arial"/>
          <w:sz w:val="22"/>
          <w:szCs w:val="22"/>
        </w:rPr>
        <w:t xml:space="preserve"> de la seguridad internacional y el derecho internacional humanitario</w:t>
      </w:r>
      <w:r>
        <w:rPr>
          <w:rFonts w:ascii="Arial" w:hAnsi="Arial" w:cs="Arial"/>
          <w:sz w:val="22"/>
          <w:szCs w:val="22"/>
        </w:rPr>
        <w:t>, mediante la ratificación del Acuerdo  contenido en el instrumento jurídico y vinculante aprobado por 122 de 124 Estados participantes en el año 2017 en la Conferencia de las Naciones Unidas convocada al efecto, cuya idea fundamental es</w:t>
      </w:r>
      <w:r w:rsidRPr="007F67C3">
        <w:rPr>
          <w:rFonts w:ascii="Arial" w:hAnsi="Arial" w:cs="Arial"/>
          <w:sz w:val="22"/>
          <w:szCs w:val="22"/>
        </w:rPr>
        <w:t xml:space="preserve"> crear un nuevo “estándar moral” internacional</w:t>
      </w:r>
      <w:r>
        <w:rPr>
          <w:rFonts w:ascii="Arial" w:hAnsi="Arial" w:cs="Arial"/>
          <w:sz w:val="22"/>
          <w:szCs w:val="22"/>
        </w:rPr>
        <w:t xml:space="preserve"> que </w:t>
      </w:r>
      <w:r w:rsidRPr="007F67C3">
        <w:rPr>
          <w:rFonts w:ascii="Arial" w:hAnsi="Arial" w:cs="Arial"/>
          <w:sz w:val="22"/>
          <w:szCs w:val="22"/>
        </w:rPr>
        <w:t>reflej</w:t>
      </w:r>
      <w:r>
        <w:rPr>
          <w:rFonts w:ascii="Arial" w:hAnsi="Arial" w:cs="Arial"/>
          <w:sz w:val="22"/>
          <w:szCs w:val="22"/>
        </w:rPr>
        <w:t>e</w:t>
      </w:r>
      <w:r w:rsidRPr="007F67C3">
        <w:rPr>
          <w:rFonts w:ascii="Arial" w:hAnsi="Arial" w:cs="Arial"/>
          <w:sz w:val="22"/>
          <w:szCs w:val="22"/>
        </w:rPr>
        <w:t xml:space="preserve"> la creciente necesidad de la comunidad internacional hacia la concreción del desarme nuclear para todos los Estados signatarios, y la prohibición a nivel mundial y en toda circunstancia, de desarrollar, probar, producir, adquirir, poseer, almacenar y transferir armas nucleares, así como también el desarrollo, ensayo, producción, fabricación, adquisición de cualquier otro modo, posesión o almacenamiento de armas nucleares u otros dispositivos explosivos nucleares. </w:t>
      </w:r>
    </w:p>
    <w:p w:rsidR="008144B7" w:rsidRPr="002E1ACA" w:rsidRDefault="008144B7" w:rsidP="008144B7">
      <w:pPr>
        <w:pStyle w:val="Estilo"/>
        <w:numPr>
          <w:ilvl w:val="0"/>
          <w:numId w:val="0"/>
        </w:numPr>
        <w:tabs>
          <w:tab w:val="left" w:pos="-284"/>
          <w:tab w:val="left" w:pos="0"/>
        </w:tabs>
        <w:spacing w:after="0" w:line="276" w:lineRule="auto"/>
        <w:ind w:firstLine="1701"/>
        <w:rPr>
          <w:rFonts w:ascii="Arial" w:hAnsi="Arial" w:cs="Arial"/>
          <w:sz w:val="22"/>
          <w:szCs w:val="22"/>
        </w:rPr>
      </w:pPr>
      <w:r w:rsidRPr="002E1ACA">
        <w:rPr>
          <w:rFonts w:ascii="Arial" w:hAnsi="Arial" w:cs="Arial"/>
          <w:sz w:val="22"/>
          <w:szCs w:val="22"/>
        </w:rPr>
        <w:t>2.-</w:t>
      </w:r>
      <w:r w:rsidRPr="002E1ACA">
        <w:rPr>
          <w:rFonts w:ascii="Arial" w:hAnsi="Arial" w:cs="Arial"/>
          <w:sz w:val="22"/>
          <w:szCs w:val="22"/>
          <w:u w:val="single"/>
        </w:rPr>
        <w:t>Comisión técnica</w:t>
      </w:r>
      <w:r w:rsidRPr="002E1ACA">
        <w:rPr>
          <w:rFonts w:ascii="Arial" w:hAnsi="Arial" w:cs="Arial"/>
          <w:sz w:val="22"/>
          <w:szCs w:val="22"/>
        </w:rPr>
        <w:t>:</w:t>
      </w:r>
    </w:p>
    <w:p w:rsidR="008144B7" w:rsidRPr="002E1ACA" w:rsidRDefault="008144B7" w:rsidP="008144B7">
      <w:pPr>
        <w:tabs>
          <w:tab w:val="left" w:pos="-284"/>
          <w:tab w:val="left" w:pos="0"/>
          <w:tab w:val="left" w:pos="1701"/>
        </w:tabs>
        <w:spacing w:line="276" w:lineRule="auto"/>
        <w:ind w:firstLine="1701"/>
        <w:jc w:val="both"/>
        <w:rPr>
          <w:rFonts w:ascii="Arial" w:hAnsi="Arial" w:cs="Arial"/>
          <w:sz w:val="22"/>
          <w:szCs w:val="22"/>
        </w:rPr>
      </w:pPr>
      <w:r w:rsidRPr="002E1ACA">
        <w:rPr>
          <w:rFonts w:ascii="Arial" w:hAnsi="Arial" w:cs="Arial"/>
          <w:sz w:val="22"/>
          <w:szCs w:val="22"/>
        </w:rPr>
        <w:t xml:space="preserve">Comisión de Relaciones Exteriores, Asuntos Interparlamentarios e Integración Latinoamericana. </w:t>
      </w:r>
    </w:p>
    <w:p w:rsidR="008144B7" w:rsidRPr="002E1ACA" w:rsidRDefault="008144B7" w:rsidP="008144B7">
      <w:pPr>
        <w:tabs>
          <w:tab w:val="left" w:pos="-284"/>
          <w:tab w:val="left" w:pos="0"/>
          <w:tab w:val="left" w:pos="3402"/>
          <w:tab w:val="left" w:pos="4751"/>
        </w:tabs>
        <w:spacing w:line="276" w:lineRule="auto"/>
        <w:ind w:right="51" w:firstLine="1701"/>
        <w:jc w:val="both"/>
        <w:rPr>
          <w:rFonts w:ascii="Arial" w:hAnsi="Arial" w:cs="Arial"/>
          <w:sz w:val="22"/>
          <w:szCs w:val="22"/>
        </w:rPr>
      </w:pPr>
    </w:p>
    <w:p w:rsidR="008144B7" w:rsidRPr="002E1ACA" w:rsidRDefault="008144B7" w:rsidP="008144B7">
      <w:pPr>
        <w:tabs>
          <w:tab w:val="left" w:pos="-284"/>
          <w:tab w:val="left" w:pos="0"/>
          <w:tab w:val="left" w:pos="851"/>
          <w:tab w:val="left" w:pos="4751"/>
        </w:tabs>
        <w:spacing w:line="276" w:lineRule="auto"/>
        <w:ind w:right="51" w:firstLine="1701"/>
        <w:jc w:val="both"/>
        <w:rPr>
          <w:rFonts w:ascii="Arial" w:hAnsi="Arial" w:cs="Arial"/>
          <w:sz w:val="22"/>
          <w:szCs w:val="22"/>
          <w:u w:val="single"/>
        </w:rPr>
      </w:pPr>
      <w:r w:rsidRPr="002E1ACA">
        <w:rPr>
          <w:rFonts w:ascii="Arial" w:hAnsi="Arial" w:cs="Arial"/>
          <w:sz w:val="22"/>
          <w:szCs w:val="22"/>
        </w:rPr>
        <w:t>3.-</w:t>
      </w:r>
      <w:r w:rsidRPr="002E1ACA">
        <w:rPr>
          <w:rFonts w:ascii="Arial" w:hAnsi="Arial" w:cs="Arial"/>
          <w:sz w:val="22"/>
          <w:szCs w:val="22"/>
          <w:u w:val="single"/>
        </w:rPr>
        <w:t>Artículos que la Comisión técnica dispuso que fueran conocidas por esta Comisión de Hacienda.</w:t>
      </w:r>
    </w:p>
    <w:p w:rsidR="008144B7" w:rsidRPr="002E1ACA" w:rsidRDefault="008144B7" w:rsidP="008144B7">
      <w:pPr>
        <w:pStyle w:val="Prrafodelista"/>
        <w:spacing w:line="276" w:lineRule="auto"/>
        <w:ind w:left="0" w:firstLine="1701"/>
        <w:jc w:val="both"/>
        <w:rPr>
          <w:rFonts w:ascii="Arial" w:hAnsi="Arial" w:cs="Arial"/>
        </w:rPr>
      </w:pPr>
      <w:r w:rsidRPr="002E1ACA">
        <w:rPr>
          <w:rFonts w:ascii="Arial" w:hAnsi="Arial" w:cs="Arial"/>
        </w:rPr>
        <w:t xml:space="preserve">La Comisión de Relaciones Exteriores, Asuntos Interparlamentarios e Integración Latinoamericana determinó que </w:t>
      </w:r>
      <w:r w:rsidR="009260A1">
        <w:rPr>
          <w:rFonts w:ascii="Arial" w:hAnsi="Arial" w:cs="Arial"/>
        </w:rPr>
        <w:t>el artículo único</w:t>
      </w:r>
      <w:r w:rsidRPr="002E1ACA">
        <w:rPr>
          <w:rFonts w:ascii="Arial" w:hAnsi="Arial" w:cs="Arial"/>
        </w:rPr>
        <w:t xml:space="preserve"> debe ser conocido por la Comisión de Hacienda por tener incidencia en materia presupuestaria o financiera del Estado</w:t>
      </w:r>
      <w:r w:rsidR="00C95074">
        <w:rPr>
          <w:rFonts w:ascii="Arial" w:hAnsi="Arial" w:cs="Arial"/>
        </w:rPr>
        <w:t>.</w:t>
      </w:r>
    </w:p>
    <w:p w:rsidR="008144B7" w:rsidRPr="002E1ACA" w:rsidRDefault="008C62C7" w:rsidP="008144B7">
      <w:pPr>
        <w:tabs>
          <w:tab w:val="left" w:pos="-284"/>
          <w:tab w:val="left" w:pos="0"/>
          <w:tab w:val="left" w:pos="851"/>
          <w:tab w:val="left" w:pos="4751"/>
        </w:tabs>
        <w:spacing w:line="276" w:lineRule="auto"/>
        <w:ind w:right="51" w:firstLine="1701"/>
        <w:jc w:val="both"/>
        <w:rPr>
          <w:rFonts w:ascii="Arial" w:hAnsi="Arial" w:cs="Arial"/>
          <w:sz w:val="22"/>
          <w:szCs w:val="22"/>
          <w:u w:val="single"/>
        </w:rPr>
      </w:pPr>
      <w:r>
        <w:rPr>
          <w:rFonts w:ascii="Arial" w:hAnsi="Arial" w:cs="Arial"/>
          <w:sz w:val="22"/>
          <w:szCs w:val="22"/>
        </w:rPr>
        <w:t>4</w:t>
      </w:r>
      <w:r w:rsidR="008144B7" w:rsidRPr="002E1ACA">
        <w:rPr>
          <w:rFonts w:ascii="Arial" w:hAnsi="Arial" w:cs="Arial"/>
          <w:sz w:val="22"/>
          <w:szCs w:val="22"/>
        </w:rPr>
        <w:t xml:space="preserve">- </w:t>
      </w:r>
      <w:r w:rsidR="008144B7" w:rsidRPr="002E1ACA">
        <w:rPr>
          <w:rFonts w:ascii="Arial" w:hAnsi="Arial" w:cs="Arial"/>
          <w:sz w:val="22"/>
          <w:szCs w:val="22"/>
          <w:u w:val="single"/>
        </w:rPr>
        <w:t xml:space="preserve">Modificaciones introducidas al texto aprobado por la Comisión técnica </w:t>
      </w:r>
    </w:p>
    <w:p w:rsidR="008144B7" w:rsidRPr="002E1ACA" w:rsidRDefault="008144B7" w:rsidP="008144B7">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No corresponden, en virtud del inciso primero N°1, del artículo 54 de la Constitución Política de la República.</w:t>
      </w:r>
    </w:p>
    <w:p w:rsidR="008144B7" w:rsidRPr="002E1ACA" w:rsidRDefault="008144B7" w:rsidP="008144B7">
      <w:pPr>
        <w:tabs>
          <w:tab w:val="left" w:pos="-284"/>
          <w:tab w:val="left" w:pos="0"/>
          <w:tab w:val="left" w:pos="851"/>
          <w:tab w:val="left" w:pos="4751"/>
        </w:tabs>
        <w:spacing w:line="276" w:lineRule="auto"/>
        <w:ind w:right="51" w:firstLine="1701"/>
        <w:jc w:val="both"/>
        <w:rPr>
          <w:rFonts w:ascii="Arial" w:hAnsi="Arial" w:cs="Arial"/>
          <w:color w:val="FF0000"/>
          <w:sz w:val="22"/>
          <w:szCs w:val="22"/>
        </w:rPr>
      </w:pPr>
    </w:p>
    <w:p w:rsidR="008144B7" w:rsidRPr="002E1ACA" w:rsidRDefault="008C62C7" w:rsidP="008144B7">
      <w:pPr>
        <w:tabs>
          <w:tab w:val="left" w:pos="-284"/>
          <w:tab w:val="left" w:pos="0"/>
          <w:tab w:val="left" w:pos="851"/>
          <w:tab w:val="left" w:pos="4751"/>
        </w:tabs>
        <w:spacing w:line="276" w:lineRule="auto"/>
        <w:ind w:right="51" w:firstLine="1701"/>
        <w:jc w:val="both"/>
        <w:rPr>
          <w:rFonts w:ascii="Arial" w:hAnsi="Arial" w:cs="Arial"/>
          <w:sz w:val="22"/>
          <w:szCs w:val="22"/>
        </w:rPr>
      </w:pPr>
      <w:r>
        <w:rPr>
          <w:rFonts w:ascii="Arial" w:hAnsi="Arial" w:cs="Arial"/>
          <w:sz w:val="22"/>
          <w:szCs w:val="22"/>
        </w:rPr>
        <w:t>5</w:t>
      </w:r>
      <w:r w:rsidR="008144B7" w:rsidRPr="002E1ACA">
        <w:rPr>
          <w:rFonts w:ascii="Arial" w:hAnsi="Arial" w:cs="Arial"/>
          <w:sz w:val="22"/>
          <w:szCs w:val="22"/>
        </w:rPr>
        <w:t>.-</w:t>
      </w:r>
      <w:r w:rsidR="008144B7" w:rsidRPr="002E1ACA">
        <w:rPr>
          <w:rFonts w:ascii="Arial" w:hAnsi="Arial" w:cs="Arial"/>
          <w:sz w:val="22"/>
          <w:szCs w:val="22"/>
          <w:u w:val="single"/>
        </w:rPr>
        <w:t>Normas de quórum especial</w:t>
      </w:r>
    </w:p>
    <w:p w:rsidR="008144B7" w:rsidRPr="002E1ACA" w:rsidRDefault="008144B7" w:rsidP="008144B7">
      <w:pPr>
        <w:tabs>
          <w:tab w:val="left" w:pos="-284"/>
          <w:tab w:val="left" w:pos="0"/>
          <w:tab w:val="left" w:pos="851"/>
          <w:tab w:val="left" w:pos="4751"/>
        </w:tabs>
        <w:spacing w:line="276" w:lineRule="auto"/>
        <w:ind w:right="51" w:firstLine="1701"/>
        <w:jc w:val="both"/>
        <w:rPr>
          <w:rFonts w:ascii="Arial" w:hAnsi="Arial" w:cs="Arial"/>
          <w:sz w:val="22"/>
          <w:szCs w:val="22"/>
        </w:rPr>
      </w:pPr>
      <w:r w:rsidRPr="002E1ACA">
        <w:rPr>
          <w:rFonts w:ascii="Arial" w:hAnsi="Arial" w:cs="Arial"/>
          <w:sz w:val="22"/>
          <w:szCs w:val="22"/>
        </w:rPr>
        <w:t>El artículo único no contiene normas que deban aprobarse con quórum especial.</w:t>
      </w:r>
    </w:p>
    <w:p w:rsidR="008144B7" w:rsidRPr="002E1ACA" w:rsidRDefault="008144B7" w:rsidP="008144B7">
      <w:pPr>
        <w:tabs>
          <w:tab w:val="left" w:pos="-284"/>
          <w:tab w:val="left" w:pos="0"/>
          <w:tab w:val="left" w:pos="851"/>
          <w:tab w:val="left" w:pos="4751"/>
        </w:tabs>
        <w:spacing w:line="276" w:lineRule="auto"/>
        <w:ind w:right="51" w:firstLine="1701"/>
        <w:jc w:val="both"/>
        <w:rPr>
          <w:rFonts w:ascii="Arial" w:hAnsi="Arial" w:cs="Arial"/>
          <w:sz w:val="22"/>
          <w:szCs w:val="22"/>
        </w:rPr>
      </w:pPr>
    </w:p>
    <w:p w:rsidR="008144B7" w:rsidRPr="002E1ACA" w:rsidRDefault="008C62C7" w:rsidP="008144B7">
      <w:pPr>
        <w:spacing w:line="276" w:lineRule="auto"/>
        <w:ind w:firstLine="1701"/>
        <w:jc w:val="both"/>
        <w:rPr>
          <w:rFonts w:ascii="Arial" w:hAnsi="Arial" w:cs="Arial"/>
          <w:sz w:val="22"/>
          <w:szCs w:val="22"/>
        </w:rPr>
      </w:pPr>
      <w:r>
        <w:rPr>
          <w:rFonts w:ascii="Arial" w:hAnsi="Arial" w:cs="Arial"/>
          <w:sz w:val="22"/>
          <w:szCs w:val="22"/>
        </w:rPr>
        <w:t>6</w:t>
      </w:r>
      <w:r w:rsidR="008144B7" w:rsidRPr="002E1ACA">
        <w:rPr>
          <w:rFonts w:ascii="Arial" w:hAnsi="Arial" w:cs="Arial"/>
          <w:sz w:val="22"/>
          <w:szCs w:val="22"/>
        </w:rPr>
        <w:t xml:space="preserve">- </w:t>
      </w:r>
      <w:r w:rsidR="008144B7" w:rsidRPr="002E1ACA">
        <w:rPr>
          <w:rFonts w:ascii="Arial" w:hAnsi="Arial" w:cs="Arial"/>
          <w:sz w:val="22"/>
          <w:szCs w:val="22"/>
          <w:u w:val="single"/>
        </w:rPr>
        <w:t>Votación</w:t>
      </w:r>
    </w:p>
    <w:p w:rsidR="008144B7" w:rsidRPr="002E1ACA" w:rsidRDefault="008144B7" w:rsidP="008144B7">
      <w:pPr>
        <w:spacing w:line="276" w:lineRule="auto"/>
        <w:ind w:firstLine="1701"/>
        <w:jc w:val="both"/>
        <w:rPr>
          <w:rFonts w:ascii="Arial" w:hAnsi="Arial" w:cs="Arial"/>
          <w:sz w:val="22"/>
          <w:szCs w:val="22"/>
        </w:rPr>
      </w:pPr>
    </w:p>
    <w:p w:rsidR="00F57898" w:rsidRPr="00F57898" w:rsidRDefault="008144B7" w:rsidP="00F57898">
      <w:pPr>
        <w:spacing w:line="276" w:lineRule="auto"/>
        <w:ind w:firstLine="1701"/>
        <w:jc w:val="both"/>
        <w:rPr>
          <w:sz w:val="22"/>
          <w:szCs w:val="22"/>
        </w:rPr>
      </w:pPr>
      <w:r w:rsidRPr="00F57898">
        <w:rPr>
          <w:rFonts w:ascii="Arial" w:hAnsi="Arial" w:cs="Arial"/>
          <w:sz w:val="22"/>
          <w:szCs w:val="22"/>
        </w:rPr>
        <w:t xml:space="preserve">El artículo único fue aprobado, por la unanimidad de </w:t>
      </w:r>
      <w:r w:rsidR="009260A1">
        <w:rPr>
          <w:rFonts w:ascii="Arial" w:hAnsi="Arial" w:cs="Arial"/>
          <w:sz w:val="22"/>
          <w:szCs w:val="22"/>
        </w:rPr>
        <w:t xml:space="preserve">diez </w:t>
      </w:r>
      <w:r w:rsidRPr="00F57898">
        <w:rPr>
          <w:rFonts w:ascii="Arial" w:hAnsi="Arial" w:cs="Arial"/>
          <w:sz w:val="22"/>
          <w:szCs w:val="22"/>
        </w:rPr>
        <w:t xml:space="preserve">integrantes presentes </w:t>
      </w:r>
      <w:r w:rsidR="00F57898" w:rsidRPr="00F57898">
        <w:rPr>
          <w:rFonts w:ascii="Arial" w:hAnsi="Arial" w:cs="Arial"/>
          <w:sz w:val="22"/>
          <w:szCs w:val="22"/>
        </w:rPr>
        <w:t xml:space="preserve">diputados (a) señores (a), </w:t>
      </w:r>
      <w:r w:rsidR="009260A1" w:rsidRPr="00A97E1E">
        <w:rPr>
          <w:rFonts w:ascii="Arial" w:hAnsi="Arial" w:cs="Arial"/>
          <w:sz w:val="22"/>
          <w:szCs w:val="22"/>
        </w:rPr>
        <w:t>Álvaro Carter</w:t>
      </w:r>
      <w:r w:rsidR="00A97E1E">
        <w:rPr>
          <w:rFonts w:ascii="Arial" w:hAnsi="Arial" w:cs="Arial"/>
          <w:sz w:val="22"/>
          <w:szCs w:val="22"/>
        </w:rPr>
        <w:t xml:space="preserve"> Fernández</w:t>
      </w:r>
      <w:r w:rsidR="009260A1">
        <w:rPr>
          <w:rFonts w:ascii="Arial" w:hAnsi="Arial" w:cs="Arial"/>
          <w:sz w:val="22"/>
          <w:szCs w:val="22"/>
        </w:rPr>
        <w:t xml:space="preserve">, </w:t>
      </w:r>
      <w:r w:rsidR="00F57898" w:rsidRPr="00F57898">
        <w:rPr>
          <w:rFonts w:ascii="Arial" w:hAnsi="Arial" w:cs="Arial"/>
          <w:sz w:val="22"/>
          <w:szCs w:val="22"/>
        </w:rPr>
        <w:t xml:space="preserve">Sofía Cid </w:t>
      </w:r>
      <w:proofErr w:type="spellStart"/>
      <w:r w:rsidR="00F57898" w:rsidRPr="00F57898">
        <w:rPr>
          <w:rFonts w:ascii="Arial" w:hAnsi="Arial" w:cs="Arial"/>
          <w:sz w:val="22"/>
          <w:szCs w:val="22"/>
        </w:rPr>
        <w:t>Versálovic</w:t>
      </w:r>
      <w:proofErr w:type="spellEnd"/>
      <w:r w:rsidR="00F57898" w:rsidRPr="00F57898">
        <w:rPr>
          <w:rFonts w:ascii="Arial" w:hAnsi="Arial" w:cs="Arial"/>
          <w:sz w:val="22"/>
          <w:szCs w:val="22"/>
        </w:rPr>
        <w:t>, Giorgio Jackson Drago, Pablo Lorenzini Basso</w:t>
      </w:r>
      <w:r w:rsidR="009260A1">
        <w:rPr>
          <w:rFonts w:ascii="Arial" w:hAnsi="Arial" w:cs="Arial"/>
          <w:sz w:val="22"/>
          <w:szCs w:val="22"/>
        </w:rPr>
        <w:t xml:space="preserve"> (Presidente),</w:t>
      </w:r>
      <w:r w:rsidR="002B257F">
        <w:rPr>
          <w:rFonts w:ascii="Arial" w:hAnsi="Arial" w:cs="Arial"/>
          <w:sz w:val="22"/>
          <w:szCs w:val="22"/>
        </w:rPr>
        <w:t xml:space="preserve"> </w:t>
      </w:r>
      <w:r w:rsidR="00F57898" w:rsidRPr="00F57898">
        <w:rPr>
          <w:rFonts w:ascii="Arial" w:hAnsi="Arial" w:cs="Arial"/>
          <w:sz w:val="22"/>
          <w:szCs w:val="22"/>
        </w:rPr>
        <w:t xml:space="preserve">José Miguel Ortiz Novoa, Leopoldo Pérez Lahsen, </w:t>
      </w:r>
      <w:r w:rsidR="009260A1">
        <w:rPr>
          <w:rFonts w:ascii="Arial" w:hAnsi="Arial" w:cs="Arial"/>
          <w:sz w:val="22"/>
          <w:szCs w:val="22"/>
        </w:rPr>
        <w:t xml:space="preserve">Guillermo Ramirez Diez, </w:t>
      </w:r>
      <w:r w:rsidR="00F57898" w:rsidRPr="00F57898">
        <w:rPr>
          <w:rFonts w:ascii="Arial" w:hAnsi="Arial" w:cs="Arial"/>
          <w:sz w:val="22"/>
          <w:szCs w:val="22"/>
        </w:rPr>
        <w:t xml:space="preserve">Alejandro Santana Tirachini, </w:t>
      </w:r>
      <w:r w:rsidR="002B257F">
        <w:rPr>
          <w:rFonts w:ascii="Arial" w:hAnsi="Arial" w:cs="Arial"/>
          <w:sz w:val="22"/>
          <w:szCs w:val="22"/>
        </w:rPr>
        <w:t xml:space="preserve">Marcelo Schilling Rodríguez, </w:t>
      </w:r>
      <w:r w:rsidR="00F57898" w:rsidRPr="00F57898">
        <w:rPr>
          <w:rFonts w:ascii="Arial" w:hAnsi="Arial" w:cs="Arial"/>
          <w:sz w:val="22"/>
          <w:szCs w:val="22"/>
        </w:rPr>
        <w:t>y Gastón Von Mühlenbrock Zamora.</w:t>
      </w:r>
    </w:p>
    <w:p w:rsidR="008144B7" w:rsidRPr="00F57898" w:rsidRDefault="008144B7" w:rsidP="00F57898">
      <w:pPr>
        <w:tabs>
          <w:tab w:val="left" w:pos="2175"/>
        </w:tabs>
        <w:spacing w:line="276" w:lineRule="auto"/>
        <w:ind w:firstLine="1701"/>
        <w:jc w:val="both"/>
        <w:rPr>
          <w:rFonts w:ascii="Arial" w:hAnsi="Arial" w:cs="Arial"/>
          <w:sz w:val="22"/>
          <w:szCs w:val="22"/>
        </w:rPr>
      </w:pPr>
    </w:p>
    <w:p w:rsidR="008144B7" w:rsidRPr="008144B7" w:rsidRDefault="002B257F" w:rsidP="008144B7">
      <w:pPr>
        <w:shd w:val="clear" w:color="auto" w:fill="FFFFFF"/>
        <w:tabs>
          <w:tab w:val="left" w:pos="-284"/>
          <w:tab w:val="left" w:pos="0"/>
          <w:tab w:val="left" w:pos="1701"/>
        </w:tabs>
        <w:spacing w:line="276" w:lineRule="auto"/>
        <w:ind w:firstLine="1701"/>
        <w:jc w:val="both"/>
        <w:rPr>
          <w:rFonts w:ascii="Arial" w:hAnsi="Arial" w:cs="Arial"/>
          <w:sz w:val="22"/>
          <w:szCs w:val="22"/>
        </w:rPr>
      </w:pPr>
      <w:r>
        <w:rPr>
          <w:rFonts w:ascii="Arial" w:hAnsi="Arial" w:cs="Arial"/>
          <w:sz w:val="22"/>
          <w:szCs w:val="22"/>
        </w:rPr>
        <w:t>7</w:t>
      </w:r>
      <w:r w:rsidR="008144B7" w:rsidRPr="002E1ACA">
        <w:rPr>
          <w:rFonts w:ascii="Arial" w:hAnsi="Arial" w:cs="Arial"/>
          <w:sz w:val="22"/>
          <w:szCs w:val="22"/>
        </w:rPr>
        <w:t xml:space="preserve">- </w:t>
      </w:r>
      <w:r w:rsidR="008144B7" w:rsidRPr="002E1ACA">
        <w:rPr>
          <w:rFonts w:ascii="Arial" w:hAnsi="Arial" w:cs="Arial"/>
          <w:sz w:val="22"/>
          <w:szCs w:val="22"/>
          <w:u w:val="single"/>
        </w:rPr>
        <w:t>Diputado Informante</w:t>
      </w:r>
      <w:r w:rsidR="008144B7" w:rsidRPr="002E1ACA">
        <w:rPr>
          <w:rFonts w:ascii="Arial" w:hAnsi="Arial" w:cs="Arial"/>
          <w:sz w:val="22"/>
          <w:szCs w:val="22"/>
        </w:rPr>
        <w:t xml:space="preserve">: Se designó al </w:t>
      </w:r>
      <w:r w:rsidR="009260A1">
        <w:rPr>
          <w:rFonts w:ascii="Arial" w:hAnsi="Arial" w:cs="Arial"/>
          <w:sz w:val="22"/>
          <w:szCs w:val="22"/>
        </w:rPr>
        <w:t xml:space="preserve">señor </w:t>
      </w:r>
      <w:r w:rsidR="009260A1">
        <w:rPr>
          <w:rFonts w:ascii="Arial" w:hAnsi="Arial" w:cs="Arial"/>
          <w:sz w:val="22"/>
          <w:szCs w:val="22"/>
        </w:rPr>
        <w:t>Marcelo Schilling Rodríguez</w:t>
      </w:r>
    </w:p>
    <w:p w:rsidR="008144B7" w:rsidRDefault="008144B7" w:rsidP="001608E2">
      <w:pPr>
        <w:shd w:val="clear" w:color="auto" w:fill="FFFFFF"/>
        <w:tabs>
          <w:tab w:val="left" w:pos="-284"/>
          <w:tab w:val="left" w:pos="0"/>
          <w:tab w:val="left" w:pos="1701"/>
        </w:tabs>
        <w:spacing w:line="276" w:lineRule="auto"/>
        <w:jc w:val="both"/>
        <w:rPr>
          <w:rFonts w:ascii="Arial" w:hAnsi="Arial" w:cs="Arial"/>
          <w:b/>
          <w:sz w:val="22"/>
          <w:szCs w:val="22"/>
        </w:rPr>
      </w:pPr>
    </w:p>
    <w:p w:rsidR="004E1275" w:rsidRPr="004E1275" w:rsidRDefault="00FE7437" w:rsidP="009610EB">
      <w:pPr>
        <w:spacing w:line="276" w:lineRule="auto"/>
        <w:ind w:right="-206"/>
        <w:jc w:val="both"/>
        <w:rPr>
          <w:rFonts w:ascii="Arial" w:hAnsi="Arial" w:cs="Arial"/>
          <w:b/>
          <w:sz w:val="22"/>
          <w:szCs w:val="22"/>
        </w:rPr>
      </w:pPr>
      <w:r>
        <w:rPr>
          <w:rFonts w:ascii="Arial" w:hAnsi="Arial" w:cs="Arial"/>
          <w:b/>
          <w:sz w:val="22"/>
          <w:szCs w:val="22"/>
        </w:rPr>
        <w:t>II.-</w:t>
      </w:r>
      <w:r w:rsidR="004E1275" w:rsidRPr="004E1275">
        <w:rPr>
          <w:rFonts w:ascii="Arial" w:hAnsi="Arial" w:cs="Arial"/>
          <w:b/>
          <w:sz w:val="22"/>
          <w:szCs w:val="22"/>
        </w:rPr>
        <w:t>ALCANCE DEL ACUERDO PARA CHILE</w:t>
      </w:r>
      <w:r w:rsidR="005D1665">
        <w:rPr>
          <w:rFonts w:ascii="Arial" w:hAnsi="Arial" w:cs="Arial"/>
          <w:b/>
          <w:sz w:val="22"/>
          <w:szCs w:val="22"/>
        </w:rPr>
        <w:t xml:space="preserve"> CONTENIDOS EN EL MENSAJE</w:t>
      </w:r>
    </w:p>
    <w:p w:rsidR="00A97E1E" w:rsidRDefault="00A97E1E" w:rsidP="00A97E1E">
      <w:pPr>
        <w:tabs>
          <w:tab w:val="left" w:pos="1701"/>
        </w:tabs>
        <w:spacing w:line="276" w:lineRule="auto"/>
        <w:ind w:right="-1" w:firstLine="1701"/>
        <w:jc w:val="both"/>
        <w:rPr>
          <w:rFonts w:ascii="Arial" w:hAnsi="Arial" w:cs="Arial"/>
          <w:sz w:val="22"/>
          <w:szCs w:val="22"/>
          <w:u w:val="single"/>
        </w:rPr>
      </w:pPr>
    </w:p>
    <w:p w:rsidR="00A97E1E" w:rsidRPr="003D2793" w:rsidRDefault="00A97E1E" w:rsidP="00A97E1E">
      <w:pPr>
        <w:tabs>
          <w:tab w:val="left" w:pos="1701"/>
        </w:tabs>
        <w:spacing w:line="276" w:lineRule="auto"/>
        <w:ind w:right="-1" w:firstLine="1701"/>
        <w:jc w:val="both"/>
        <w:rPr>
          <w:rFonts w:ascii="Arial" w:hAnsi="Arial" w:cs="Arial"/>
          <w:sz w:val="22"/>
          <w:szCs w:val="22"/>
          <w:u w:val="single"/>
        </w:rPr>
      </w:pPr>
      <w:r w:rsidRPr="003D2793">
        <w:rPr>
          <w:rFonts w:ascii="Arial" w:hAnsi="Arial" w:cs="Arial"/>
          <w:sz w:val="22"/>
          <w:szCs w:val="22"/>
          <w:u w:val="single"/>
        </w:rPr>
        <w:t>El Tratado aborda los siguientes aspectos esenciales:</w:t>
      </w:r>
    </w:p>
    <w:p w:rsidR="00A97E1E" w:rsidRPr="006421EB" w:rsidRDefault="00A97E1E" w:rsidP="00A97E1E">
      <w:pPr>
        <w:tabs>
          <w:tab w:val="left" w:pos="1701"/>
        </w:tabs>
        <w:spacing w:line="276" w:lineRule="auto"/>
        <w:ind w:right="-1" w:firstLine="1701"/>
        <w:jc w:val="both"/>
        <w:rPr>
          <w:rFonts w:ascii="Arial" w:hAnsi="Arial" w:cs="Arial"/>
          <w:sz w:val="22"/>
          <w:szCs w:val="22"/>
        </w:rPr>
      </w:pPr>
      <w:r>
        <w:rPr>
          <w:rFonts w:ascii="Arial" w:hAnsi="Arial" w:cs="Arial"/>
          <w:sz w:val="22"/>
          <w:szCs w:val="22"/>
        </w:rPr>
        <w:t>-</w:t>
      </w:r>
      <w:r w:rsidRPr="006421EB">
        <w:rPr>
          <w:rFonts w:ascii="Arial" w:hAnsi="Arial" w:cs="Arial"/>
          <w:sz w:val="22"/>
          <w:szCs w:val="22"/>
        </w:rPr>
        <w:t>Destaca explícitamente la preocupación con respecto a las consecuencias que acarrea el uso de armas nucleares o dispositivos explosivos nucleares.</w:t>
      </w:r>
    </w:p>
    <w:p w:rsidR="00A97E1E" w:rsidRPr="006421EB" w:rsidRDefault="00A97E1E" w:rsidP="00A97E1E">
      <w:pPr>
        <w:tabs>
          <w:tab w:val="left" w:pos="1701"/>
        </w:tabs>
        <w:spacing w:line="276" w:lineRule="auto"/>
        <w:ind w:right="-1" w:firstLine="1701"/>
        <w:jc w:val="both"/>
        <w:rPr>
          <w:rFonts w:ascii="Arial" w:hAnsi="Arial" w:cs="Arial"/>
          <w:sz w:val="22"/>
          <w:szCs w:val="22"/>
        </w:rPr>
      </w:pPr>
      <w:r>
        <w:rPr>
          <w:rFonts w:ascii="Arial" w:hAnsi="Arial" w:cs="Arial"/>
          <w:sz w:val="22"/>
          <w:szCs w:val="22"/>
        </w:rPr>
        <w:t>-</w:t>
      </w:r>
      <w:r w:rsidRPr="006421EB">
        <w:rPr>
          <w:rFonts w:ascii="Arial" w:hAnsi="Arial" w:cs="Arial"/>
          <w:sz w:val="22"/>
          <w:szCs w:val="22"/>
        </w:rPr>
        <w:t xml:space="preserve">Especifica las prohibiciones a las que se enfrentan las Partes. </w:t>
      </w:r>
    </w:p>
    <w:p w:rsidR="00A97E1E" w:rsidRPr="006421EB" w:rsidRDefault="00A97E1E" w:rsidP="00A97E1E">
      <w:pPr>
        <w:tabs>
          <w:tab w:val="left" w:pos="1701"/>
        </w:tabs>
        <w:spacing w:line="276" w:lineRule="auto"/>
        <w:ind w:right="-1" w:firstLine="1701"/>
        <w:jc w:val="both"/>
        <w:rPr>
          <w:rFonts w:ascii="Arial" w:hAnsi="Arial" w:cs="Arial"/>
          <w:sz w:val="22"/>
          <w:szCs w:val="22"/>
        </w:rPr>
      </w:pPr>
      <w:r>
        <w:rPr>
          <w:rFonts w:ascii="Arial" w:hAnsi="Arial" w:cs="Arial"/>
          <w:sz w:val="22"/>
          <w:szCs w:val="22"/>
        </w:rPr>
        <w:t>-</w:t>
      </w:r>
      <w:r w:rsidRPr="006421EB">
        <w:rPr>
          <w:rFonts w:ascii="Arial" w:hAnsi="Arial" w:cs="Arial"/>
          <w:sz w:val="22"/>
          <w:szCs w:val="22"/>
        </w:rPr>
        <w:t>Indica que cada Parte presentará declaraciones al Secretario General de las Naciones Unidas sobre propiedad, posesión o control de armas nucleares u otros dispositivos explosivos nucleares. A su vez, el Secretario General transmitirá todas las declaraciones recibidas a los Estados que son parte.</w:t>
      </w:r>
    </w:p>
    <w:p w:rsidR="00A97E1E" w:rsidRPr="006421EB" w:rsidRDefault="00A97E1E" w:rsidP="00A97E1E">
      <w:pPr>
        <w:tabs>
          <w:tab w:val="left" w:pos="1701"/>
        </w:tabs>
        <w:spacing w:line="276" w:lineRule="auto"/>
        <w:ind w:right="-1" w:firstLine="1701"/>
        <w:jc w:val="both"/>
        <w:rPr>
          <w:rFonts w:ascii="Arial" w:hAnsi="Arial" w:cs="Arial"/>
          <w:sz w:val="22"/>
          <w:szCs w:val="22"/>
        </w:rPr>
      </w:pPr>
      <w:r>
        <w:rPr>
          <w:rFonts w:ascii="Arial" w:hAnsi="Arial" w:cs="Arial"/>
          <w:sz w:val="22"/>
          <w:szCs w:val="22"/>
        </w:rPr>
        <w:t>-</w:t>
      </w:r>
      <w:r w:rsidRPr="006421EB">
        <w:rPr>
          <w:rFonts w:ascii="Arial" w:hAnsi="Arial" w:cs="Arial"/>
          <w:sz w:val="22"/>
          <w:szCs w:val="22"/>
        </w:rPr>
        <w:t>Exige a los Estados partes, celebrar con el Organismo Internacional de Energía Atómica, un Acuerdo de Salvaguardias Amplias.</w:t>
      </w:r>
    </w:p>
    <w:p w:rsidR="00A97E1E" w:rsidRPr="006421EB" w:rsidRDefault="00A97E1E" w:rsidP="00A97E1E">
      <w:pPr>
        <w:tabs>
          <w:tab w:val="left" w:pos="1701"/>
        </w:tabs>
        <w:spacing w:line="276" w:lineRule="auto"/>
        <w:ind w:right="-1" w:firstLine="1701"/>
        <w:jc w:val="both"/>
        <w:rPr>
          <w:rFonts w:ascii="Arial" w:hAnsi="Arial" w:cs="Arial"/>
          <w:sz w:val="22"/>
          <w:szCs w:val="22"/>
        </w:rPr>
      </w:pPr>
      <w:r>
        <w:rPr>
          <w:rFonts w:ascii="Arial" w:hAnsi="Arial" w:cs="Arial"/>
          <w:sz w:val="22"/>
          <w:szCs w:val="22"/>
        </w:rPr>
        <w:t>-</w:t>
      </w:r>
      <w:r w:rsidRPr="006421EB">
        <w:rPr>
          <w:rFonts w:ascii="Arial" w:hAnsi="Arial" w:cs="Arial"/>
          <w:sz w:val="22"/>
          <w:szCs w:val="22"/>
        </w:rPr>
        <w:t xml:space="preserve">Fija un mecanismo especial para abordar los casos en que los Estados partes posean u hospeden armas nucleares en sus territorios. </w:t>
      </w:r>
    </w:p>
    <w:p w:rsidR="00A97E1E" w:rsidRPr="006421EB" w:rsidRDefault="00A97E1E" w:rsidP="00A97E1E">
      <w:pPr>
        <w:tabs>
          <w:tab w:val="left" w:pos="1701"/>
        </w:tabs>
        <w:spacing w:line="276" w:lineRule="auto"/>
        <w:ind w:right="-1" w:firstLine="1701"/>
        <w:jc w:val="both"/>
        <w:rPr>
          <w:rFonts w:ascii="Arial" w:hAnsi="Arial" w:cs="Arial"/>
          <w:sz w:val="22"/>
          <w:szCs w:val="22"/>
        </w:rPr>
      </w:pPr>
      <w:r>
        <w:rPr>
          <w:rFonts w:ascii="Arial" w:hAnsi="Arial" w:cs="Arial"/>
          <w:sz w:val="22"/>
          <w:szCs w:val="22"/>
        </w:rPr>
        <w:t>-</w:t>
      </w:r>
      <w:r w:rsidRPr="006421EB">
        <w:rPr>
          <w:rFonts w:ascii="Arial" w:hAnsi="Arial" w:cs="Arial"/>
          <w:sz w:val="22"/>
          <w:szCs w:val="22"/>
        </w:rPr>
        <w:t>Dispone que cada parte adoptará las medidas necesarias para cumplir sus obligaciones en virtud del presente Tratado.</w:t>
      </w:r>
    </w:p>
    <w:p w:rsidR="00A97E1E" w:rsidRPr="006421EB" w:rsidRDefault="00A97E1E" w:rsidP="00A97E1E">
      <w:pPr>
        <w:tabs>
          <w:tab w:val="left" w:pos="1701"/>
        </w:tabs>
        <w:spacing w:line="276" w:lineRule="auto"/>
        <w:ind w:right="-1" w:firstLine="1701"/>
        <w:jc w:val="both"/>
        <w:rPr>
          <w:rFonts w:ascii="Arial" w:hAnsi="Arial" w:cs="Arial"/>
          <w:sz w:val="22"/>
          <w:szCs w:val="22"/>
        </w:rPr>
      </w:pPr>
      <w:r>
        <w:rPr>
          <w:rFonts w:ascii="Arial" w:hAnsi="Arial" w:cs="Arial"/>
          <w:sz w:val="22"/>
          <w:szCs w:val="22"/>
        </w:rPr>
        <w:t>-</w:t>
      </w:r>
      <w:r w:rsidRPr="006421EB">
        <w:rPr>
          <w:rFonts w:ascii="Arial" w:hAnsi="Arial" w:cs="Arial"/>
          <w:sz w:val="22"/>
          <w:szCs w:val="22"/>
        </w:rPr>
        <w:t>Estipula que cada Estado parte deberá proporcionar adecuada asistencia a las personas afectadas por el uso o ensayo de armas nucleares bajo su jurisdicción. Además, deberá adoptar las medidas necesarias y adecuadas para la restauración del medio ambiente, de aquellas zonas contaminadas como consecuencia de dichas actividades.</w:t>
      </w:r>
    </w:p>
    <w:p w:rsidR="00A97E1E" w:rsidRPr="006421EB" w:rsidRDefault="00A97E1E" w:rsidP="00A97E1E">
      <w:pPr>
        <w:tabs>
          <w:tab w:val="left" w:pos="1701"/>
        </w:tabs>
        <w:spacing w:line="276" w:lineRule="auto"/>
        <w:ind w:right="-1" w:firstLine="1701"/>
        <w:jc w:val="both"/>
        <w:rPr>
          <w:rFonts w:ascii="Arial" w:hAnsi="Arial" w:cs="Arial"/>
          <w:sz w:val="22"/>
          <w:szCs w:val="22"/>
        </w:rPr>
      </w:pPr>
      <w:r>
        <w:rPr>
          <w:rFonts w:ascii="Arial" w:hAnsi="Arial" w:cs="Arial"/>
          <w:sz w:val="22"/>
          <w:szCs w:val="22"/>
        </w:rPr>
        <w:t>-</w:t>
      </w:r>
      <w:r w:rsidRPr="006421EB">
        <w:rPr>
          <w:rFonts w:ascii="Arial" w:hAnsi="Arial" w:cs="Arial"/>
          <w:sz w:val="22"/>
          <w:szCs w:val="22"/>
        </w:rPr>
        <w:t>Señala que cada Estado parte podrá cooperar y prestar asistencia los demás Estados partes para facilitar la aplicación del Tratado, y tendrá derecho a solicitar y recibir asistencia de estos cuando sea viable.</w:t>
      </w:r>
    </w:p>
    <w:p w:rsidR="00A97E1E" w:rsidRPr="006421EB" w:rsidRDefault="00A97E1E" w:rsidP="00A97E1E">
      <w:pPr>
        <w:tabs>
          <w:tab w:val="left" w:pos="1701"/>
        </w:tabs>
        <w:spacing w:line="276" w:lineRule="auto"/>
        <w:ind w:right="-1" w:firstLine="1701"/>
        <w:jc w:val="both"/>
        <w:rPr>
          <w:rFonts w:ascii="Arial" w:hAnsi="Arial" w:cs="Arial"/>
          <w:sz w:val="22"/>
          <w:szCs w:val="22"/>
        </w:rPr>
      </w:pPr>
      <w:r>
        <w:rPr>
          <w:rFonts w:ascii="Arial" w:hAnsi="Arial" w:cs="Arial"/>
          <w:sz w:val="22"/>
          <w:szCs w:val="22"/>
        </w:rPr>
        <w:t>-</w:t>
      </w:r>
      <w:r w:rsidRPr="006421EB">
        <w:rPr>
          <w:rFonts w:ascii="Arial" w:hAnsi="Arial" w:cs="Arial"/>
          <w:sz w:val="22"/>
          <w:szCs w:val="22"/>
        </w:rPr>
        <w:t xml:space="preserve">Detalla que los Estados partes se reunirán regularmente para considerar y tomar decisiones sobre cuestiones relativas a la aplicación e implementación del presente Tratado. </w:t>
      </w:r>
    </w:p>
    <w:p w:rsidR="00A97E1E" w:rsidRPr="006421EB" w:rsidRDefault="00A97E1E" w:rsidP="00A97E1E">
      <w:pPr>
        <w:tabs>
          <w:tab w:val="left" w:pos="1701"/>
        </w:tabs>
        <w:spacing w:line="276" w:lineRule="auto"/>
        <w:ind w:right="-1" w:firstLine="1701"/>
        <w:jc w:val="both"/>
        <w:rPr>
          <w:rFonts w:ascii="Arial" w:hAnsi="Arial" w:cs="Arial"/>
          <w:sz w:val="22"/>
          <w:szCs w:val="22"/>
        </w:rPr>
      </w:pPr>
      <w:r>
        <w:rPr>
          <w:rFonts w:ascii="Arial" w:hAnsi="Arial" w:cs="Arial"/>
          <w:sz w:val="22"/>
          <w:szCs w:val="22"/>
        </w:rPr>
        <w:t>-</w:t>
      </w:r>
      <w:r w:rsidRPr="006421EB">
        <w:rPr>
          <w:rFonts w:ascii="Arial" w:hAnsi="Arial" w:cs="Arial"/>
          <w:sz w:val="22"/>
          <w:szCs w:val="22"/>
        </w:rPr>
        <w:t xml:space="preserve">Determina que los costos se refieren a las reuniones ordinarias, extraordinarias y las conferencias de los Estados partes, e indica que estos serán </w:t>
      </w:r>
      <w:r>
        <w:rPr>
          <w:rFonts w:ascii="Arial" w:hAnsi="Arial" w:cs="Arial"/>
          <w:sz w:val="22"/>
          <w:szCs w:val="22"/>
        </w:rPr>
        <w:t xml:space="preserve">asumidos </w:t>
      </w:r>
      <w:r w:rsidRPr="006421EB">
        <w:rPr>
          <w:rFonts w:ascii="Arial" w:hAnsi="Arial" w:cs="Arial"/>
          <w:sz w:val="22"/>
          <w:szCs w:val="22"/>
        </w:rPr>
        <w:t xml:space="preserve">por los Estados partes y que no sean partes en el presente Tratado, que participen en ellas en calidad de observadores. Los costos en que incurra el Secretario General de las Naciones Unidas deberán ser </w:t>
      </w:r>
      <w:r>
        <w:rPr>
          <w:rFonts w:ascii="Arial" w:hAnsi="Arial" w:cs="Arial"/>
          <w:sz w:val="22"/>
          <w:szCs w:val="22"/>
        </w:rPr>
        <w:t>costeados</w:t>
      </w:r>
      <w:r w:rsidRPr="006421EB">
        <w:rPr>
          <w:rFonts w:ascii="Arial" w:hAnsi="Arial" w:cs="Arial"/>
          <w:sz w:val="22"/>
          <w:szCs w:val="22"/>
        </w:rPr>
        <w:t xml:space="preserve"> por los Estados partes a los que sean imputables.</w:t>
      </w:r>
    </w:p>
    <w:p w:rsidR="00A97E1E" w:rsidRPr="006421EB" w:rsidRDefault="00A97E1E" w:rsidP="00A97E1E">
      <w:pPr>
        <w:tabs>
          <w:tab w:val="left" w:pos="1701"/>
        </w:tabs>
        <w:spacing w:line="276" w:lineRule="auto"/>
        <w:ind w:right="-1" w:firstLine="1701"/>
        <w:jc w:val="both"/>
        <w:rPr>
          <w:rFonts w:ascii="Arial" w:hAnsi="Arial" w:cs="Arial"/>
          <w:sz w:val="22"/>
          <w:szCs w:val="22"/>
        </w:rPr>
      </w:pPr>
      <w:r>
        <w:rPr>
          <w:rFonts w:ascii="Arial" w:hAnsi="Arial" w:cs="Arial"/>
          <w:sz w:val="22"/>
          <w:szCs w:val="22"/>
        </w:rPr>
        <w:t>-</w:t>
      </w:r>
      <w:r w:rsidRPr="006421EB">
        <w:rPr>
          <w:rFonts w:ascii="Arial" w:hAnsi="Arial" w:cs="Arial"/>
          <w:sz w:val="22"/>
          <w:szCs w:val="22"/>
        </w:rPr>
        <w:t>Abarca las cláusulas finales usuales en los instrumentos internacionales relativas a enmiendas; solución de controversias; universalidad; firma; ratificación, aceptación, aprobación, adhesión; entrada en vigor; reservas; duración y retiro; relación con otros acuerdos; depositario y textos auténticos.</w:t>
      </w:r>
    </w:p>
    <w:p w:rsidR="00A97E1E" w:rsidRPr="006421EB" w:rsidRDefault="00A97E1E" w:rsidP="00A97E1E">
      <w:pPr>
        <w:tabs>
          <w:tab w:val="left" w:pos="1701"/>
        </w:tabs>
        <w:spacing w:line="276" w:lineRule="auto"/>
        <w:ind w:right="-1" w:firstLine="1701"/>
        <w:jc w:val="both"/>
        <w:rPr>
          <w:rFonts w:ascii="Arial" w:hAnsi="Arial" w:cs="Arial"/>
          <w:b/>
          <w:w w:val="95"/>
          <w:sz w:val="22"/>
          <w:szCs w:val="22"/>
        </w:rPr>
      </w:pPr>
    </w:p>
    <w:p w:rsidR="00A97E1E" w:rsidRPr="006421EB" w:rsidRDefault="00A97E1E" w:rsidP="00A97E1E">
      <w:pPr>
        <w:shd w:val="clear" w:color="auto" w:fill="FFFFFF"/>
        <w:tabs>
          <w:tab w:val="left" w:pos="-284"/>
          <w:tab w:val="left" w:pos="0"/>
          <w:tab w:val="left" w:pos="1701"/>
        </w:tabs>
        <w:spacing w:line="276" w:lineRule="auto"/>
        <w:ind w:right="-1"/>
        <w:jc w:val="both"/>
        <w:rPr>
          <w:rFonts w:ascii="Arial" w:hAnsi="Arial" w:cs="Arial"/>
          <w:sz w:val="22"/>
          <w:szCs w:val="22"/>
          <w:lang w:val="es-CL"/>
        </w:rPr>
      </w:pPr>
      <w:r>
        <w:rPr>
          <w:rFonts w:ascii="Arial" w:hAnsi="Arial" w:cs="Arial"/>
          <w:b/>
          <w:bCs/>
          <w:sz w:val="22"/>
          <w:szCs w:val="22"/>
        </w:rPr>
        <w:t>III.-</w:t>
      </w:r>
      <w:r w:rsidRPr="006421EB">
        <w:rPr>
          <w:rFonts w:ascii="Arial" w:hAnsi="Arial" w:cs="Arial"/>
          <w:b/>
          <w:bCs/>
          <w:sz w:val="22"/>
          <w:szCs w:val="22"/>
        </w:rPr>
        <w:t xml:space="preserve"> RESERVA DE CHILE RESPECTO DE SUS CONVENIOS TRIBUTARIOS CUBIERTOS</w:t>
      </w:r>
    </w:p>
    <w:p w:rsidR="00A97E1E" w:rsidRDefault="00A97E1E" w:rsidP="00A97E1E">
      <w:pPr>
        <w:shd w:val="clear" w:color="auto" w:fill="FFFFFF"/>
        <w:tabs>
          <w:tab w:val="left" w:pos="-284"/>
          <w:tab w:val="left" w:pos="0"/>
          <w:tab w:val="left" w:pos="1701"/>
        </w:tabs>
        <w:spacing w:line="276" w:lineRule="auto"/>
        <w:ind w:right="-1" w:firstLine="1701"/>
        <w:jc w:val="both"/>
        <w:rPr>
          <w:rFonts w:ascii="Arial" w:hAnsi="Arial" w:cs="Arial"/>
          <w:bCs/>
          <w:sz w:val="22"/>
          <w:szCs w:val="22"/>
          <w:lang w:val="es-CL" w:eastAsia="x-none"/>
        </w:rPr>
      </w:pPr>
    </w:p>
    <w:p w:rsidR="00A97E1E" w:rsidRPr="006421EB" w:rsidRDefault="00A97E1E" w:rsidP="00A97E1E">
      <w:pPr>
        <w:shd w:val="clear" w:color="auto" w:fill="FFFFFF"/>
        <w:tabs>
          <w:tab w:val="left" w:pos="-284"/>
          <w:tab w:val="left" w:pos="0"/>
          <w:tab w:val="left" w:pos="1701"/>
        </w:tabs>
        <w:spacing w:line="276" w:lineRule="auto"/>
        <w:ind w:right="-1" w:firstLine="1701"/>
        <w:jc w:val="both"/>
        <w:rPr>
          <w:rFonts w:ascii="Arial" w:hAnsi="Arial" w:cs="Arial"/>
          <w:bCs/>
          <w:sz w:val="22"/>
          <w:szCs w:val="22"/>
          <w:lang w:val="es-CL" w:eastAsia="x-none"/>
        </w:rPr>
      </w:pPr>
      <w:r>
        <w:rPr>
          <w:rFonts w:ascii="Arial" w:hAnsi="Arial" w:cs="Arial"/>
          <w:bCs/>
          <w:sz w:val="22"/>
          <w:szCs w:val="22"/>
          <w:lang w:val="es-CL" w:eastAsia="x-none"/>
        </w:rPr>
        <w:t>El artículo 16 del Tratado prohíbe expresamente la Reserva de alguna de sus partes.</w:t>
      </w:r>
    </w:p>
    <w:p w:rsidR="003B69A3" w:rsidRDefault="003B69A3" w:rsidP="00313199">
      <w:pPr>
        <w:spacing w:line="276" w:lineRule="auto"/>
        <w:ind w:right="-206" w:firstLine="2268"/>
        <w:jc w:val="both"/>
        <w:rPr>
          <w:rFonts w:ascii="Arial" w:hAnsi="Arial" w:cs="Arial"/>
          <w:sz w:val="22"/>
          <w:szCs w:val="22"/>
        </w:rPr>
      </w:pPr>
    </w:p>
    <w:p w:rsidR="00BB620D" w:rsidRPr="001608E2" w:rsidRDefault="00BB620D" w:rsidP="00E628EF">
      <w:pPr>
        <w:shd w:val="clear" w:color="auto" w:fill="FFFFFF"/>
        <w:tabs>
          <w:tab w:val="left" w:pos="-284"/>
          <w:tab w:val="left" w:pos="0"/>
          <w:tab w:val="left" w:pos="1701"/>
        </w:tabs>
        <w:spacing w:line="276" w:lineRule="auto"/>
        <w:ind w:firstLine="1701"/>
        <w:jc w:val="both"/>
        <w:rPr>
          <w:rFonts w:ascii="Arial" w:hAnsi="Arial" w:cs="Arial"/>
          <w:sz w:val="22"/>
          <w:szCs w:val="22"/>
          <w:lang w:val="es-CL"/>
        </w:rPr>
      </w:pPr>
    </w:p>
    <w:p w:rsidR="00FE7437" w:rsidRDefault="00FE7437" w:rsidP="00FE7437">
      <w:pPr>
        <w:tabs>
          <w:tab w:val="left" w:pos="-284"/>
          <w:tab w:val="left" w:pos="0"/>
          <w:tab w:val="left" w:pos="851"/>
        </w:tabs>
        <w:spacing w:line="276" w:lineRule="auto"/>
        <w:ind w:right="51"/>
        <w:jc w:val="both"/>
        <w:rPr>
          <w:rFonts w:ascii="Arial" w:hAnsi="Arial" w:cs="Arial"/>
          <w:b/>
          <w:sz w:val="22"/>
          <w:szCs w:val="22"/>
        </w:rPr>
      </w:pPr>
      <w:r w:rsidRPr="00515B7A">
        <w:rPr>
          <w:rFonts w:ascii="Arial" w:hAnsi="Arial" w:cs="Arial"/>
          <w:b/>
          <w:sz w:val="22"/>
          <w:szCs w:val="22"/>
        </w:rPr>
        <w:t>III.- INCIDENCIA EN MATERIA FINANCIERA O PRESUPUESTARIA DEL ESTADO</w:t>
      </w:r>
    </w:p>
    <w:p w:rsidR="00865262" w:rsidRDefault="00A97E1E" w:rsidP="001709B2">
      <w:pPr>
        <w:pStyle w:val="Textoindependiente"/>
        <w:spacing w:before="120" w:line="276" w:lineRule="auto"/>
        <w:ind w:firstLine="1701"/>
        <w:jc w:val="both"/>
        <w:rPr>
          <w:rFonts w:ascii="Arial" w:hAnsi="Arial" w:cs="Arial"/>
          <w:sz w:val="22"/>
          <w:szCs w:val="22"/>
          <w:lang w:val="es-CL"/>
        </w:rPr>
      </w:pPr>
      <w:r w:rsidRPr="00197A82">
        <w:rPr>
          <w:rFonts w:ascii="Arial" w:hAnsi="Arial" w:cs="Arial"/>
          <w:sz w:val="22"/>
          <w:szCs w:val="22"/>
        </w:rPr>
        <w:t>El informe financiero N° 08 de 13 de enero de 2021</w:t>
      </w:r>
      <w:r>
        <w:rPr>
          <w:rFonts w:ascii="Arial" w:hAnsi="Arial" w:cs="Arial"/>
          <w:sz w:val="22"/>
          <w:szCs w:val="22"/>
        </w:rPr>
        <w:t xml:space="preserve">, </w:t>
      </w:r>
      <w:r w:rsidR="001709B2" w:rsidRPr="00197A82">
        <w:rPr>
          <w:rFonts w:ascii="Arial" w:hAnsi="Arial" w:cs="Arial"/>
          <w:sz w:val="22"/>
          <w:szCs w:val="22"/>
        </w:rPr>
        <w:t>que acompañó al Mensaje a su ingreso</w:t>
      </w:r>
      <w:r w:rsidR="001709B2">
        <w:rPr>
          <w:rFonts w:ascii="Arial" w:hAnsi="Arial" w:cs="Arial"/>
          <w:sz w:val="22"/>
          <w:szCs w:val="22"/>
        </w:rPr>
        <w:t xml:space="preserve">, indica </w:t>
      </w:r>
      <w:r w:rsidR="001709B2">
        <w:rPr>
          <w:rFonts w:ascii="Arial" w:hAnsi="Arial" w:cs="Arial"/>
          <w:sz w:val="22"/>
          <w:szCs w:val="22"/>
          <w:lang w:val="es-CL"/>
        </w:rPr>
        <w:t xml:space="preserve">que el </w:t>
      </w:r>
      <w:r w:rsidR="001709B2" w:rsidRPr="001709B2">
        <w:rPr>
          <w:rFonts w:ascii="Arial" w:hAnsi="Arial" w:cs="Arial"/>
          <w:bCs/>
          <w:sz w:val="22"/>
          <w:szCs w:val="22"/>
          <w:lang w:val="es-CL"/>
        </w:rPr>
        <w:t xml:space="preserve">proyecto de </w:t>
      </w:r>
      <w:r w:rsidR="001709B2">
        <w:rPr>
          <w:rFonts w:ascii="Arial" w:hAnsi="Arial" w:cs="Arial"/>
          <w:bCs/>
          <w:sz w:val="22"/>
          <w:szCs w:val="22"/>
          <w:lang w:val="es-CL"/>
        </w:rPr>
        <w:t xml:space="preserve">acuerdo </w:t>
      </w:r>
      <w:r w:rsidR="001709B2" w:rsidRPr="001709B2">
        <w:rPr>
          <w:rFonts w:ascii="Arial" w:hAnsi="Arial" w:cs="Arial"/>
          <w:bCs/>
          <w:sz w:val="22"/>
          <w:szCs w:val="22"/>
          <w:lang w:val="es-CL"/>
        </w:rPr>
        <w:t>comprenderá un mayor gasto fiscal de $ 1.579 miles cuando que se realicen las reuniones de los Estados Partes y de $ 4.637 miles cada vez que se efectúen las Conferencias de Revisión</w:t>
      </w:r>
      <w:r w:rsidR="001709B2" w:rsidRPr="001709B2">
        <w:rPr>
          <w:rFonts w:ascii="Arial" w:hAnsi="Arial" w:cs="Arial"/>
          <w:sz w:val="22"/>
          <w:szCs w:val="22"/>
          <w:lang w:val="es-CL"/>
        </w:rPr>
        <w:t xml:space="preserve">. </w:t>
      </w:r>
    </w:p>
    <w:p w:rsidR="00940B9C" w:rsidRPr="00865262" w:rsidRDefault="00865262" w:rsidP="001709B2">
      <w:pPr>
        <w:tabs>
          <w:tab w:val="left" w:pos="-284"/>
          <w:tab w:val="left" w:pos="0"/>
          <w:tab w:val="left" w:pos="851"/>
        </w:tabs>
        <w:spacing w:line="276" w:lineRule="auto"/>
        <w:ind w:right="51" w:firstLine="1701"/>
        <w:jc w:val="both"/>
        <w:rPr>
          <w:rFonts w:ascii="Arial" w:hAnsi="Arial" w:cs="Arial"/>
          <w:sz w:val="22"/>
          <w:szCs w:val="22"/>
          <w:u w:val="single"/>
        </w:rPr>
      </w:pPr>
      <w:r w:rsidRPr="00865262">
        <w:rPr>
          <w:rFonts w:ascii="Arial" w:hAnsi="Arial" w:cs="Arial"/>
          <w:sz w:val="22"/>
          <w:szCs w:val="22"/>
          <w:u w:val="single"/>
        </w:rPr>
        <w:t>Se fundamenta en los siguientes aspectos</w:t>
      </w:r>
      <w:r>
        <w:rPr>
          <w:rFonts w:ascii="Arial" w:hAnsi="Arial" w:cs="Arial"/>
          <w:sz w:val="22"/>
          <w:szCs w:val="22"/>
          <w:u w:val="single"/>
        </w:rPr>
        <w:t>:</w:t>
      </w:r>
      <w:r>
        <w:rPr>
          <w:rStyle w:val="Refdenotaalpie"/>
          <w:rFonts w:ascii="Arial" w:hAnsi="Arial" w:cs="Arial"/>
          <w:sz w:val="22"/>
          <w:szCs w:val="22"/>
          <w:u w:val="single"/>
        </w:rPr>
        <w:footnoteReference w:id="1"/>
      </w:r>
    </w:p>
    <w:p w:rsidR="00A97E1E" w:rsidRPr="001709B2" w:rsidRDefault="00A97E1E" w:rsidP="001709B2">
      <w:pPr>
        <w:pStyle w:val="Textoindependiente"/>
        <w:tabs>
          <w:tab w:val="left" w:pos="567"/>
        </w:tabs>
        <w:spacing w:before="120" w:line="276" w:lineRule="auto"/>
        <w:ind w:firstLine="1701"/>
        <w:rPr>
          <w:rFonts w:ascii="Arial" w:hAnsi="Arial" w:cs="Arial"/>
          <w:b/>
          <w:sz w:val="22"/>
          <w:szCs w:val="22"/>
          <w:lang w:val="es-CL"/>
        </w:rPr>
      </w:pPr>
      <w:r w:rsidRPr="001709B2">
        <w:rPr>
          <w:rFonts w:ascii="Arial" w:hAnsi="Arial" w:cs="Arial"/>
          <w:b/>
          <w:sz w:val="22"/>
          <w:szCs w:val="22"/>
          <w:lang w:val="es-CL"/>
        </w:rPr>
        <w:t>Efecto del proyecto de ley sobre el Presupuesto Fiscal</w:t>
      </w:r>
    </w:p>
    <w:p w:rsidR="00A97E1E" w:rsidRPr="001709B2" w:rsidRDefault="00A97E1E" w:rsidP="001709B2">
      <w:pPr>
        <w:tabs>
          <w:tab w:val="left" w:pos="720"/>
        </w:tabs>
        <w:spacing w:before="120" w:after="120" w:line="276" w:lineRule="auto"/>
        <w:ind w:firstLine="1701"/>
        <w:jc w:val="both"/>
        <w:rPr>
          <w:rFonts w:ascii="Arial" w:hAnsi="Arial" w:cs="Arial"/>
          <w:sz w:val="22"/>
          <w:szCs w:val="22"/>
          <w:lang w:val="es-CL"/>
        </w:rPr>
      </w:pPr>
      <w:r w:rsidRPr="001709B2">
        <w:rPr>
          <w:rFonts w:ascii="Arial" w:hAnsi="Arial" w:cs="Arial"/>
          <w:sz w:val="22"/>
          <w:szCs w:val="22"/>
          <w:lang w:val="es-CL"/>
        </w:rPr>
        <w:t xml:space="preserve">Tal como se indica en el TPAN, los costos que podría irrogar la ratificación del mismo tendrían su origen en tres fuentes: </w:t>
      </w:r>
    </w:p>
    <w:p w:rsidR="00A97E1E" w:rsidRPr="001709B2" w:rsidRDefault="001709B2" w:rsidP="001709B2">
      <w:pPr>
        <w:widowControl w:val="0"/>
        <w:tabs>
          <w:tab w:val="left" w:pos="1134"/>
        </w:tabs>
        <w:autoSpaceDE w:val="0"/>
        <w:autoSpaceDN w:val="0"/>
        <w:adjustRightInd w:val="0"/>
        <w:spacing w:before="120" w:after="120" w:line="276" w:lineRule="auto"/>
        <w:ind w:firstLine="1701"/>
        <w:jc w:val="both"/>
        <w:rPr>
          <w:rFonts w:ascii="Arial" w:hAnsi="Arial" w:cs="Arial"/>
          <w:sz w:val="22"/>
          <w:szCs w:val="22"/>
        </w:rPr>
      </w:pPr>
      <w:r>
        <w:rPr>
          <w:rFonts w:ascii="Arial" w:hAnsi="Arial" w:cs="Arial"/>
          <w:sz w:val="22"/>
          <w:szCs w:val="22"/>
        </w:rPr>
        <w:t>-</w:t>
      </w:r>
      <w:r w:rsidR="00A97E1E" w:rsidRPr="001709B2">
        <w:rPr>
          <w:rFonts w:ascii="Arial" w:hAnsi="Arial" w:cs="Arial"/>
          <w:sz w:val="22"/>
          <w:szCs w:val="22"/>
        </w:rPr>
        <w:t>Reuniones ordinarias de los Estados partes, conferencias de revisión y reuniones extraordinarias</w:t>
      </w:r>
    </w:p>
    <w:p w:rsidR="00A97E1E" w:rsidRPr="001709B2" w:rsidRDefault="001709B2" w:rsidP="001709B2">
      <w:pPr>
        <w:widowControl w:val="0"/>
        <w:tabs>
          <w:tab w:val="left" w:pos="1134"/>
        </w:tabs>
        <w:autoSpaceDE w:val="0"/>
        <w:autoSpaceDN w:val="0"/>
        <w:adjustRightInd w:val="0"/>
        <w:spacing w:before="120" w:after="120" w:line="276" w:lineRule="auto"/>
        <w:ind w:firstLine="1701"/>
        <w:jc w:val="both"/>
        <w:rPr>
          <w:rFonts w:ascii="Arial" w:hAnsi="Arial" w:cs="Arial"/>
          <w:sz w:val="22"/>
          <w:szCs w:val="22"/>
        </w:rPr>
      </w:pPr>
      <w:r>
        <w:rPr>
          <w:rFonts w:ascii="Arial" w:hAnsi="Arial" w:cs="Arial"/>
          <w:sz w:val="22"/>
          <w:szCs w:val="22"/>
        </w:rPr>
        <w:t>-</w:t>
      </w:r>
      <w:r w:rsidR="00A97E1E" w:rsidRPr="001709B2">
        <w:rPr>
          <w:rFonts w:ascii="Arial" w:hAnsi="Arial" w:cs="Arial"/>
          <w:sz w:val="22"/>
          <w:szCs w:val="22"/>
        </w:rPr>
        <w:t>Costos en que incurra el Secretario General de las Naciones Unidas para distribuir las declaraciones previstas en el artículo 2, los informes previstos en el artículo 4 y las propuestas de enmienda del artículo 10</w:t>
      </w:r>
    </w:p>
    <w:p w:rsidR="00A97E1E" w:rsidRPr="001709B2" w:rsidRDefault="001709B2" w:rsidP="001709B2">
      <w:pPr>
        <w:widowControl w:val="0"/>
        <w:tabs>
          <w:tab w:val="left" w:pos="1134"/>
        </w:tabs>
        <w:autoSpaceDE w:val="0"/>
        <w:autoSpaceDN w:val="0"/>
        <w:adjustRightInd w:val="0"/>
        <w:spacing w:before="120" w:after="120" w:line="276" w:lineRule="auto"/>
        <w:ind w:firstLine="1701"/>
        <w:jc w:val="both"/>
        <w:rPr>
          <w:rFonts w:ascii="Arial" w:hAnsi="Arial" w:cs="Arial"/>
          <w:sz w:val="22"/>
          <w:szCs w:val="22"/>
        </w:rPr>
      </w:pPr>
      <w:r>
        <w:rPr>
          <w:rFonts w:ascii="Arial" w:hAnsi="Arial" w:cs="Arial"/>
          <w:sz w:val="22"/>
          <w:szCs w:val="22"/>
        </w:rPr>
        <w:t>-</w:t>
      </w:r>
      <w:r w:rsidR="00A97E1E" w:rsidRPr="001709B2">
        <w:rPr>
          <w:rFonts w:ascii="Arial" w:hAnsi="Arial" w:cs="Arial"/>
          <w:sz w:val="22"/>
          <w:szCs w:val="22"/>
        </w:rPr>
        <w:t>Costos relacionados con la aplicación de las medidas de verificación exigidas por el artículo 4.</w:t>
      </w:r>
    </w:p>
    <w:p w:rsidR="00A97E1E" w:rsidRPr="001709B2" w:rsidRDefault="00A97E1E" w:rsidP="001709B2">
      <w:pPr>
        <w:tabs>
          <w:tab w:val="left" w:pos="720"/>
        </w:tabs>
        <w:spacing w:before="120" w:after="120" w:line="276" w:lineRule="auto"/>
        <w:ind w:firstLine="1701"/>
        <w:jc w:val="both"/>
        <w:rPr>
          <w:rFonts w:ascii="Arial" w:hAnsi="Arial" w:cs="Arial"/>
          <w:sz w:val="22"/>
          <w:szCs w:val="22"/>
          <w:lang w:val="es-CL"/>
        </w:rPr>
      </w:pPr>
      <w:r w:rsidRPr="001709B2">
        <w:rPr>
          <w:rFonts w:ascii="Arial" w:hAnsi="Arial" w:cs="Arial"/>
          <w:sz w:val="22"/>
          <w:szCs w:val="22"/>
          <w:lang w:val="es-CL"/>
        </w:rPr>
        <w:t>Por otra parte, dada la política de “cero papeles” adoptada por la ONU, no se puede determinar a priori cuánto será el costo que irrogará el punto ii) antes mencionado, por lo que no se incorpora en el cálculo del impacto fiscal que tendrá la ratificación del tratado. Por último, dado que nuestro país no es poseedor de armas nucleares, el punto iii) no implica mayor gasto.</w:t>
      </w:r>
    </w:p>
    <w:p w:rsidR="00A97E1E" w:rsidRPr="001709B2" w:rsidRDefault="00A97E1E" w:rsidP="001709B2">
      <w:pPr>
        <w:pStyle w:val="Textoindependiente"/>
        <w:tabs>
          <w:tab w:val="left" w:pos="1134"/>
          <w:tab w:val="left" w:pos="1560"/>
        </w:tabs>
        <w:spacing w:before="120" w:line="276" w:lineRule="auto"/>
        <w:ind w:firstLine="1701"/>
        <w:jc w:val="both"/>
        <w:rPr>
          <w:rFonts w:ascii="Arial" w:hAnsi="Arial" w:cs="Arial"/>
          <w:bCs/>
          <w:sz w:val="22"/>
          <w:szCs w:val="22"/>
          <w:u w:val="single"/>
          <w:lang w:val="es-CL"/>
        </w:rPr>
      </w:pPr>
      <w:r w:rsidRPr="001709B2">
        <w:rPr>
          <w:rFonts w:ascii="Arial" w:hAnsi="Arial" w:cs="Arial"/>
          <w:bCs/>
          <w:sz w:val="22"/>
          <w:szCs w:val="22"/>
          <w:lang w:val="es-CL"/>
        </w:rPr>
        <w:t>1.</w:t>
      </w:r>
      <w:r w:rsidRPr="001709B2">
        <w:rPr>
          <w:rFonts w:ascii="Arial" w:hAnsi="Arial" w:cs="Arial"/>
          <w:bCs/>
          <w:sz w:val="22"/>
          <w:szCs w:val="22"/>
          <w:lang w:val="es-CL"/>
        </w:rPr>
        <w:tab/>
      </w:r>
      <w:r w:rsidRPr="001709B2">
        <w:rPr>
          <w:rFonts w:ascii="Arial" w:hAnsi="Arial" w:cs="Arial"/>
          <w:bCs/>
          <w:sz w:val="22"/>
          <w:szCs w:val="22"/>
          <w:u w:val="single"/>
          <w:lang w:val="es-CL"/>
        </w:rPr>
        <w:t>Reuniones de los Estados partes y Conferencias de Revisión</w:t>
      </w:r>
    </w:p>
    <w:p w:rsidR="00A97E1E" w:rsidRPr="001709B2" w:rsidRDefault="00A97E1E" w:rsidP="001709B2">
      <w:pPr>
        <w:pStyle w:val="Textoindependiente"/>
        <w:spacing w:before="120" w:line="276" w:lineRule="auto"/>
        <w:ind w:firstLine="1701"/>
        <w:jc w:val="both"/>
        <w:rPr>
          <w:rFonts w:ascii="Arial" w:hAnsi="Arial" w:cs="Arial"/>
          <w:sz w:val="22"/>
          <w:szCs w:val="22"/>
          <w:lang w:val="es-CL"/>
        </w:rPr>
      </w:pPr>
      <w:r w:rsidRPr="001709B2">
        <w:rPr>
          <w:rFonts w:ascii="Arial" w:hAnsi="Arial" w:cs="Arial"/>
          <w:sz w:val="22"/>
          <w:szCs w:val="22"/>
          <w:lang w:val="es-CL"/>
        </w:rPr>
        <w:t xml:space="preserve">El TPAN contempla la realización de reuniones de los Estados partes. </w:t>
      </w:r>
    </w:p>
    <w:p w:rsidR="00A97E1E" w:rsidRPr="001709B2" w:rsidRDefault="00A97E1E" w:rsidP="001709B2">
      <w:pPr>
        <w:pStyle w:val="Textoindependiente"/>
        <w:spacing w:before="120" w:line="276" w:lineRule="auto"/>
        <w:ind w:firstLine="1701"/>
        <w:jc w:val="both"/>
        <w:rPr>
          <w:rFonts w:ascii="Arial" w:hAnsi="Arial" w:cs="Arial"/>
          <w:sz w:val="22"/>
          <w:szCs w:val="22"/>
          <w:lang w:val="es-CL"/>
        </w:rPr>
      </w:pPr>
      <w:r w:rsidRPr="001709B2">
        <w:rPr>
          <w:rFonts w:ascii="Arial" w:hAnsi="Arial" w:cs="Arial"/>
          <w:sz w:val="22"/>
          <w:szCs w:val="22"/>
          <w:lang w:val="es-CL"/>
        </w:rPr>
        <w:t>La primera se llevará a cabo en el plazo de un año a partir de la entrada en vigor de este tratado, y las siguientes se efectuarán cada dos años. Además, se podrán convocar reuniones extraordinarias. Asimismo, este tratado prevé una Conferencia de Revisión a realizarse cada seis años, siendo la primera conferencia al quinto año tras la entrada en vigor del tratado.</w:t>
      </w:r>
    </w:p>
    <w:p w:rsidR="00A97E1E" w:rsidRPr="001709B2" w:rsidRDefault="00A97E1E" w:rsidP="001709B2">
      <w:pPr>
        <w:pStyle w:val="Textoindependiente"/>
        <w:spacing w:before="120" w:line="276" w:lineRule="auto"/>
        <w:ind w:firstLine="1701"/>
        <w:jc w:val="both"/>
        <w:rPr>
          <w:rFonts w:ascii="Arial" w:hAnsi="Arial" w:cs="Arial"/>
          <w:sz w:val="22"/>
          <w:szCs w:val="22"/>
          <w:lang w:val="es-CL"/>
        </w:rPr>
      </w:pPr>
      <w:r w:rsidRPr="001709B2">
        <w:rPr>
          <w:rFonts w:ascii="Arial" w:hAnsi="Arial" w:cs="Arial"/>
          <w:sz w:val="22"/>
          <w:szCs w:val="22"/>
          <w:lang w:val="es-CL"/>
        </w:rPr>
        <w:t>Los costos de organizar estas reuniones y conferencias serán compartidos entre los Estados partes y los observadores sobre la base de la escala de cuotas de las Naciones Unidas. Considerando que la escala de evaluación del aporte de Chile en la ONU es 0,407 (en porcentaje) y suponiendo que los costos totales de cada una de estas reuniones y conferencias de estados miembros del TPAN sean cercanos a los USD 500.000, y que todos los miembros de la ONU son partes u observadores en el Tratado, la contribución de Chile ascenderá a USD 2.035. Los plazos en que se deberán integrar estos pagos se definirán en la primera reunión de los Estados partes, por lo que, para la elaboración de este Informe Financiero, se supone que el pago será coincidente con el año de la reunión o conferencia.</w:t>
      </w:r>
    </w:p>
    <w:p w:rsidR="00A97E1E" w:rsidRPr="001709B2" w:rsidRDefault="00A97E1E" w:rsidP="001709B2">
      <w:pPr>
        <w:pStyle w:val="Textoindependiente"/>
        <w:spacing w:before="120" w:line="276" w:lineRule="auto"/>
        <w:ind w:firstLine="1701"/>
        <w:jc w:val="both"/>
        <w:rPr>
          <w:rFonts w:ascii="Arial" w:hAnsi="Arial" w:cs="Arial"/>
          <w:sz w:val="22"/>
          <w:szCs w:val="22"/>
          <w:lang w:val="es-CL"/>
        </w:rPr>
      </w:pPr>
      <w:r w:rsidRPr="001709B2">
        <w:rPr>
          <w:rFonts w:ascii="Arial" w:hAnsi="Arial" w:cs="Arial"/>
          <w:sz w:val="22"/>
          <w:szCs w:val="22"/>
          <w:lang w:val="es-CL"/>
        </w:rPr>
        <w:t>Las Conferencias de Revisión, además, a diferencia de las reuniones ordinarias, contemplan, además, gastos por viáticos de una semana y pasaje aéreo, ya que se espera que a estos eventos asista el Director de la Dirección de Seguridad Internacional y Humana. Este costo se estima en USD 3.940.</w:t>
      </w:r>
    </w:p>
    <w:p w:rsidR="00A97E1E" w:rsidRPr="001709B2" w:rsidRDefault="00A97E1E" w:rsidP="001709B2">
      <w:pPr>
        <w:pStyle w:val="Textoindependiente"/>
        <w:spacing w:before="120" w:line="276" w:lineRule="auto"/>
        <w:ind w:firstLine="1701"/>
        <w:jc w:val="both"/>
        <w:rPr>
          <w:rFonts w:ascii="Arial" w:hAnsi="Arial" w:cs="Arial"/>
          <w:sz w:val="22"/>
          <w:szCs w:val="22"/>
          <w:lang w:val="es-CL"/>
        </w:rPr>
      </w:pPr>
      <w:r w:rsidRPr="001709B2">
        <w:rPr>
          <w:rFonts w:ascii="Arial" w:hAnsi="Arial" w:cs="Arial"/>
          <w:sz w:val="22"/>
          <w:szCs w:val="22"/>
          <w:lang w:val="es-CL"/>
        </w:rPr>
        <w:t>Los Cuadros 1 y 2 resumen estos costos; el primero en dólares y el segundo en miles de pesos 2021.</w:t>
      </w:r>
    </w:p>
    <w:p w:rsidR="001709B2" w:rsidRDefault="001709B2" w:rsidP="00A97E1E">
      <w:pPr>
        <w:pStyle w:val="Textoindependiente"/>
        <w:tabs>
          <w:tab w:val="left" w:pos="567"/>
        </w:tabs>
        <w:spacing w:before="120"/>
        <w:jc w:val="center"/>
        <w:rPr>
          <w:rFonts w:ascii="Verdana" w:hAnsi="Verdana" w:cs="Arial"/>
          <w:b/>
          <w:sz w:val="18"/>
          <w:szCs w:val="18"/>
          <w:lang w:val="es-CL"/>
        </w:rPr>
      </w:pPr>
    </w:p>
    <w:p w:rsidR="00A97E1E" w:rsidRPr="00800E94" w:rsidRDefault="00A97E1E" w:rsidP="00A97E1E">
      <w:pPr>
        <w:pStyle w:val="Textoindependiente"/>
        <w:tabs>
          <w:tab w:val="left" w:pos="567"/>
        </w:tabs>
        <w:spacing w:before="120"/>
        <w:jc w:val="center"/>
        <w:rPr>
          <w:rFonts w:ascii="Verdana" w:hAnsi="Verdana" w:cs="Arial"/>
          <w:b/>
          <w:lang w:val="es-CL"/>
        </w:rPr>
      </w:pPr>
      <w:r w:rsidRPr="00800E94">
        <w:rPr>
          <w:rFonts w:ascii="Verdana" w:hAnsi="Verdana" w:cs="Arial"/>
          <w:b/>
          <w:sz w:val="18"/>
          <w:szCs w:val="18"/>
          <w:lang w:val="es-CL"/>
        </w:rPr>
        <w:t>Cuadro 1: Gasto por reuniones y conferencias de revisión ($ USD)</w:t>
      </w:r>
    </w:p>
    <w:tbl>
      <w:tblPr>
        <w:tblW w:w="9760" w:type="dxa"/>
        <w:tblInd w:w="70" w:type="dxa"/>
        <w:tblLayout w:type="fixed"/>
        <w:tblCellMar>
          <w:left w:w="70" w:type="dxa"/>
          <w:right w:w="70" w:type="dxa"/>
        </w:tblCellMar>
        <w:tblLook w:val="04A0" w:firstRow="1" w:lastRow="0" w:firstColumn="1" w:lastColumn="0" w:noHBand="0" w:noVBand="1"/>
      </w:tblPr>
      <w:tblGrid>
        <w:gridCol w:w="1560"/>
        <w:gridCol w:w="1275"/>
        <w:gridCol w:w="1154"/>
        <w:gridCol w:w="1154"/>
        <w:gridCol w:w="1154"/>
        <w:gridCol w:w="1154"/>
        <w:gridCol w:w="1154"/>
        <w:gridCol w:w="1155"/>
      </w:tblGrid>
      <w:tr w:rsidR="00A97E1E" w:rsidRPr="00800E94" w:rsidTr="004525D6">
        <w:trPr>
          <w:trHeight w:val="300"/>
        </w:trPr>
        <w:tc>
          <w:tcPr>
            <w:tcW w:w="1560" w:type="dxa"/>
            <w:tcBorders>
              <w:top w:val="nil"/>
              <w:left w:val="nil"/>
              <w:bottom w:val="nil"/>
              <w:right w:val="nil"/>
            </w:tcBorders>
            <w:shd w:val="clear" w:color="auto" w:fill="auto"/>
            <w:noWrap/>
            <w:vAlign w:val="bottom"/>
            <w:hideMark/>
          </w:tcPr>
          <w:p w:rsidR="00A97E1E" w:rsidRPr="00800E94" w:rsidRDefault="00A97E1E" w:rsidP="004525D6">
            <w:pPr>
              <w:tabs>
                <w:tab w:val="left" w:pos="720"/>
              </w:tabs>
              <w:spacing w:before="120" w:after="120"/>
              <w:rPr>
                <w:rFonts w:ascii="Verdana" w:hAnsi="Verdana"/>
                <w:sz w:val="18"/>
                <w:szCs w:val="18"/>
                <w:lang w:val="es-CL" w:eastAsia="es-CL"/>
              </w:rPr>
            </w:pPr>
          </w:p>
        </w:tc>
        <w:tc>
          <w:tcPr>
            <w:tcW w:w="1275" w:type="dxa"/>
            <w:tcBorders>
              <w:top w:val="nil"/>
              <w:left w:val="nil"/>
              <w:bottom w:val="nil"/>
              <w:right w:val="nil"/>
            </w:tcBorders>
            <w:shd w:val="clear" w:color="auto" w:fill="auto"/>
            <w:noWrap/>
            <w:vAlign w:val="bottom"/>
            <w:hideMark/>
          </w:tcPr>
          <w:p w:rsidR="00A97E1E" w:rsidRPr="00800E94" w:rsidRDefault="00A97E1E" w:rsidP="004525D6">
            <w:pPr>
              <w:tabs>
                <w:tab w:val="left" w:pos="720"/>
              </w:tabs>
              <w:spacing w:before="120" w:after="120"/>
              <w:rPr>
                <w:rFonts w:ascii="Verdana" w:hAnsi="Verdana"/>
                <w:sz w:val="18"/>
                <w:szCs w:val="18"/>
                <w:lang w:val="es-CL" w:eastAsia="es-CL"/>
              </w:rPr>
            </w:pPr>
          </w:p>
        </w:tc>
        <w:tc>
          <w:tcPr>
            <w:tcW w:w="1154" w:type="dxa"/>
            <w:tcBorders>
              <w:top w:val="nil"/>
              <w:left w:val="nil"/>
              <w:bottom w:val="nil"/>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color w:val="000000"/>
                <w:sz w:val="16"/>
                <w:szCs w:val="16"/>
                <w:lang w:val="es-CL" w:eastAsia="es-CL"/>
              </w:rPr>
            </w:pPr>
            <w:r w:rsidRPr="00800E94">
              <w:rPr>
                <w:rFonts w:ascii="Verdana" w:hAnsi="Verdana"/>
                <w:color w:val="000000"/>
                <w:sz w:val="16"/>
                <w:szCs w:val="16"/>
                <w:lang w:val="es-CL" w:eastAsia="es-CL"/>
              </w:rPr>
              <w:t>Año 1</w:t>
            </w:r>
          </w:p>
        </w:tc>
        <w:tc>
          <w:tcPr>
            <w:tcW w:w="1154" w:type="dxa"/>
            <w:tcBorders>
              <w:top w:val="nil"/>
              <w:left w:val="nil"/>
              <w:bottom w:val="nil"/>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color w:val="000000"/>
                <w:sz w:val="16"/>
                <w:szCs w:val="16"/>
                <w:lang w:val="es-CL" w:eastAsia="es-CL"/>
              </w:rPr>
            </w:pPr>
            <w:r w:rsidRPr="00800E94">
              <w:rPr>
                <w:rFonts w:ascii="Verdana" w:hAnsi="Verdana"/>
                <w:color w:val="000000"/>
                <w:sz w:val="16"/>
                <w:szCs w:val="16"/>
                <w:lang w:val="es-CL" w:eastAsia="es-CL"/>
              </w:rPr>
              <w:t>Año 3</w:t>
            </w:r>
          </w:p>
        </w:tc>
        <w:tc>
          <w:tcPr>
            <w:tcW w:w="1154" w:type="dxa"/>
            <w:tcBorders>
              <w:top w:val="nil"/>
              <w:left w:val="nil"/>
              <w:bottom w:val="nil"/>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color w:val="000000"/>
                <w:sz w:val="16"/>
                <w:szCs w:val="16"/>
                <w:lang w:val="es-CL" w:eastAsia="es-CL"/>
              </w:rPr>
            </w:pPr>
            <w:r w:rsidRPr="00800E94">
              <w:rPr>
                <w:rFonts w:ascii="Verdana" w:hAnsi="Verdana"/>
                <w:color w:val="000000"/>
                <w:sz w:val="16"/>
                <w:szCs w:val="16"/>
                <w:lang w:val="es-CL" w:eastAsia="es-CL"/>
              </w:rPr>
              <w:t>Año 5</w:t>
            </w:r>
          </w:p>
        </w:tc>
        <w:tc>
          <w:tcPr>
            <w:tcW w:w="1154" w:type="dxa"/>
            <w:tcBorders>
              <w:top w:val="nil"/>
              <w:left w:val="nil"/>
              <w:bottom w:val="nil"/>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color w:val="000000"/>
                <w:sz w:val="16"/>
                <w:szCs w:val="16"/>
                <w:lang w:val="es-CL" w:eastAsia="es-CL"/>
              </w:rPr>
            </w:pPr>
            <w:r w:rsidRPr="00800E94">
              <w:rPr>
                <w:rFonts w:ascii="Verdana" w:hAnsi="Verdana"/>
                <w:color w:val="000000"/>
                <w:sz w:val="16"/>
                <w:szCs w:val="16"/>
                <w:lang w:val="es-CL" w:eastAsia="es-CL"/>
              </w:rPr>
              <w:t>Año 7</w:t>
            </w:r>
          </w:p>
        </w:tc>
        <w:tc>
          <w:tcPr>
            <w:tcW w:w="1154" w:type="dxa"/>
            <w:tcBorders>
              <w:top w:val="nil"/>
              <w:left w:val="nil"/>
              <w:bottom w:val="nil"/>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color w:val="000000"/>
                <w:sz w:val="16"/>
                <w:szCs w:val="16"/>
                <w:lang w:val="es-CL" w:eastAsia="es-CL"/>
              </w:rPr>
            </w:pPr>
            <w:r w:rsidRPr="00800E94">
              <w:rPr>
                <w:rFonts w:ascii="Verdana" w:hAnsi="Verdana"/>
                <w:color w:val="000000"/>
                <w:sz w:val="16"/>
                <w:szCs w:val="16"/>
                <w:lang w:val="es-CL" w:eastAsia="es-CL"/>
              </w:rPr>
              <w:t>Año 9</w:t>
            </w:r>
          </w:p>
        </w:tc>
        <w:tc>
          <w:tcPr>
            <w:tcW w:w="1155" w:type="dxa"/>
            <w:tcBorders>
              <w:top w:val="nil"/>
              <w:left w:val="nil"/>
              <w:bottom w:val="nil"/>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color w:val="000000"/>
                <w:sz w:val="16"/>
                <w:szCs w:val="16"/>
                <w:lang w:val="es-CL" w:eastAsia="es-CL"/>
              </w:rPr>
            </w:pPr>
            <w:r w:rsidRPr="00800E94">
              <w:rPr>
                <w:rFonts w:ascii="Verdana" w:hAnsi="Verdana"/>
                <w:color w:val="000000"/>
                <w:sz w:val="16"/>
                <w:szCs w:val="16"/>
                <w:lang w:val="es-CL" w:eastAsia="es-CL"/>
              </w:rPr>
              <w:t>Año 11</w:t>
            </w:r>
          </w:p>
        </w:tc>
      </w:tr>
      <w:tr w:rsidR="00A97E1E" w:rsidRPr="00800E94" w:rsidTr="004525D6">
        <w:trPr>
          <w:trHeight w:val="600"/>
        </w:trPr>
        <w:tc>
          <w:tcPr>
            <w:tcW w:w="1560"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rPr>
                <w:rFonts w:ascii="Verdana" w:hAnsi="Verdana"/>
                <w:b/>
                <w:bCs/>
                <w:color w:val="000000"/>
                <w:sz w:val="16"/>
                <w:szCs w:val="16"/>
                <w:lang w:val="es-CL" w:eastAsia="es-CL"/>
              </w:rPr>
            </w:pPr>
            <w:r w:rsidRPr="00800E94">
              <w:rPr>
                <w:rFonts w:ascii="Verdana" w:hAnsi="Verdana"/>
                <w:b/>
                <w:bCs/>
                <w:color w:val="000000"/>
                <w:sz w:val="16"/>
                <w:szCs w:val="16"/>
                <w:lang w:val="es-CL" w:eastAsia="es-CL"/>
              </w:rPr>
              <w:t>Reuniones Ordinarias</w:t>
            </w:r>
          </w:p>
        </w:tc>
        <w:tc>
          <w:tcPr>
            <w:tcW w:w="1275"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rPr>
                <w:rFonts w:ascii="Verdana" w:hAnsi="Verdana"/>
                <w:color w:val="000000"/>
                <w:sz w:val="16"/>
                <w:szCs w:val="16"/>
                <w:lang w:val="es-CL" w:eastAsia="es-CL"/>
              </w:rPr>
            </w:pPr>
            <w:r w:rsidRPr="00800E94">
              <w:rPr>
                <w:rFonts w:ascii="Verdana" w:hAnsi="Verdana"/>
                <w:color w:val="000000"/>
                <w:sz w:val="16"/>
                <w:szCs w:val="16"/>
                <w:lang w:val="es-CL" w:eastAsia="es-CL"/>
              </w:rPr>
              <w:t>Costo de realización</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$ 2.035</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$ 2.035</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$ 2.035</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$ 2.035</w:t>
            </w:r>
          </w:p>
        </w:tc>
        <w:tc>
          <w:tcPr>
            <w:tcW w:w="1155"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r>
      <w:tr w:rsidR="00A97E1E" w:rsidRPr="00800E94" w:rsidTr="004525D6">
        <w:trPr>
          <w:trHeight w:val="600"/>
        </w:trPr>
        <w:tc>
          <w:tcPr>
            <w:tcW w:w="1560" w:type="dxa"/>
            <w:vMerge w:val="restart"/>
            <w:tcBorders>
              <w:top w:val="nil"/>
              <w:left w:val="nil"/>
              <w:bottom w:val="double" w:sz="6" w:space="0" w:color="000000"/>
              <w:right w:val="nil"/>
            </w:tcBorders>
            <w:shd w:val="clear" w:color="auto" w:fill="auto"/>
            <w:vAlign w:val="center"/>
            <w:hideMark/>
          </w:tcPr>
          <w:p w:rsidR="00A97E1E" w:rsidRPr="00800E94" w:rsidRDefault="00A97E1E" w:rsidP="004525D6">
            <w:pPr>
              <w:tabs>
                <w:tab w:val="left" w:pos="720"/>
              </w:tabs>
              <w:spacing w:before="120" w:after="120"/>
              <w:rPr>
                <w:rFonts w:ascii="Verdana" w:hAnsi="Verdana"/>
                <w:b/>
                <w:bCs/>
                <w:color w:val="000000"/>
                <w:sz w:val="16"/>
                <w:szCs w:val="16"/>
                <w:lang w:val="es-CL" w:eastAsia="es-CL"/>
              </w:rPr>
            </w:pPr>
            <w:r w:rsidRPr="00800E94">
              <w:rPr>
                <w:rFonts w:ascii="Verdana" w:hAnsi="Verdana"/>
                <w:b/>
                <w:bCs/>
                <w:color w:val="000000"/>
                <w:sz w:val="16"/>
                <w:szCs w:val="16"/>
                <w:lang w:val="es-CL" w:eastAsia="es-CL"/>
              </w:rPr>
              <w:t>Conferencias de revisión</w:t>
            </w:r>
          </w:p>
        </w:tc>
        <w:tc>
          <w:tcPr>
            <w:tcW w:w="1275"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rPr>
                <w:rFonts w:ascii="Verdana" w:hAnsi="Verdana"/>
                <w:color w:val="000000"/>
                <w:sz w:val="16"/>
                <w:szCs w:val="16"/>
                <w:lang w:val="es-CL" w:eastAsia="es-CL"/>
              </w:rPr>
            </w:pPr>
            <w:r w:rsidRPr="00800E94">
              <w:rPr>
                <w:rFonts w:ascii="Verdana" w:hAnsi="Verdana"/>
                <w:color w:val="000000"/>
                <w:sz w:val="16"/>
                <w:szCs w:val="16"/>
                <w:lang w:val="es-CL" w:eastAsia="es-CL"/>
              </w:rPr>
              <w:t>Costo de realización</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$ 2.035</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5"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$ 2.035</w:t>
            </w:r>
          </w:p>
        </w:tc>
      </w:tr>
      <w:tr w:rsidR="00A97E1E" w:rsidRPr="00800E94" w:rsidTr="004525D6">
        <w:trPr>
          <w:trHeight w:val="300"/>
        </w:trPr>
        <w:tc>
          <w:tcPr>
            <w:tcW w:w="1560" w:type="dxa"/>
            <w:vMerge/>
            <w:tcBorders>
              <w:top w:val="nil"/>
              <w:left w:val="nil"/>
              <w:bottom w:val="double" w:sz="6" w:space="0" w:color="000000"/>
              <w:right w:val="nil"/>
            </w:tcBorders>
            <w:vAlign w:val="center"/>
            <w:hideMark/>
          </w:tcPr>
          <w:p w:rsidR="00A97E1E" w:rsidRPr="00800E94" w:rsidRDefault="00A97E1E" w:rsidP="004525D6">
            <w:pPr>
              <w:tabs>
                <w:tab w:val="left" w:pos="720"/>
              </w:tabs>
              <w:spacing w:before="120" w:after="120"/>
              <w:rPr>
                <w:rFonts w:ascii="Verdana" w:hAnsi="Verdana"/>
                <w:b/>
                <w:bCs/>
                <w:color w:val="000000"/>
                <w:sz w:val="16"/>
                <w:szCs w:val="16"/>
                <w:lang w:val="es-CL" w:eastAsia="es-CL"/>
              </w:rPr>
            </w:pPr>
          </w:p>
        </w:tc>
        <w:tc>
          <w:tcPr>
            <w:tcW w:w="1275"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rPr>
                <w:rFonts w:ascii="Verdana" w:hAnsi="Verdana"/>
                <w:color w:val="000000"/>
                <w:sz w:val="16"/>
                <w:szCs w:val="16"/>
                <w:lang w:val="es-CL" w:eastAsia="es-CL"/>
              </w:rPr>
            </w:pPr>
            <w:r w:rsidRPr="00800E94">
              <w:rPr>
                <w:rFonts w:ascii="Verdana" w:hAnsi="Verdana"/>
                <w:color w:val="000000"/>
                <w:sz w:val="16"/>
                <w:szCs w:val="16"/>
                <w:lang w:val="es-CL" w:eastAsia="es-CL"/>
              </w:rPr>
              <w:t>Viático 7 días</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$ 3.190</w:t>
            </w:r>
          </w:p>
        </w:tc>
        <w:tc>
          <w:tcPr>
            <w:tcW w:w="1154" w:type="dxa"/>
            <w:tcBorders>
              <w:top w:val="single" w:sz="4" w:space="0" w:color="auto"/>
              <w:left w:val="nil"/>
              <w:bottom w:val="single" w:sz="4" w:space="0" w:color="auto"/>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5"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$ 3.190</w:t>
            </w:r>
          </w:p>
        </w:tc>
      </w:tr>
      <w:tr w:rsidR="00A97E1E" w:rsidRPr="00800E94" w:rsidTr="004525D6">
        <w:trPr>
          <w:trHeight w:val="477"/>
        </w:trPr>
        <w:tc>
          <w:tcPr>
            <w:tcW w:w="1560" w:type="dxa"/>
            <w:vMerge/>
            <w:tcBorders>
              <w:top w:val="nil"/>
              <w:left w:val="nil"/>
              <w:bottom w:val="double" w:sz="6" w:space="0" w:color="000000"/>
              <w:right w:val="nil"/>
            </w:tcBorders>
            <w:vAlign w:val="center"/>
            <w:hideMark/>
          </w:tcPr>
          <w:p w:rsidR="00A97E1E" w:rsidRPr="00800E94" w:rsidRDefault="00A97E1E" w:rsidP="004525D6">
            <w:pPr>
              <w:tabs>
                <w:tab w:val="left" w:pos="720"/>
              </w:tabs>
              <w:spacing w:before="120" w:after="120"/>
              <w:rPr>
                <w:rFonts w:ascii="Verdana" w:hAnsi="Verdana"/>
                <w:b/>
                <w:bCs/>
                <w:color w:val="000000"/>
                <w:sz w:val="16"/>
                <w:szCs w:val="16"/>
                <w:lang w:val="es-CL" w:eastAsia="es-CL"/>
              </w:rPr>
            </w:pPr>
          </w:p>
        </w:tc>
        <w:tc>
          <w:tcPr>
            <w:tcW w:w="1275" w:type="dxa"/>
            <w:tcBorders>
              <w:top w:val="single" w:sz="4" w:space="0" w:color="auto"/>
              <w:left w:val="nil"/>
              <w:bottom w:val="double" w:sz="6" w:space="0" w:color="auto"/>
              <w:right w:val="nil"/>
            </w:tcBorders>
            <w:shd w:val="clear" w:color="auto" w:fill="auto"/>
            <w:noWrap/>
            <w:vAlign w:val="center"/>
            <w:hideMark/>
          </w:tcPr>
          <w:p w:rsidR="00A97E1E" w:rsidRPr="00800E94" w:rsidRDefault="00A97E1E" w:rsidP="004525D6">
            <w:pPr>
              <w:tabs>
                <w:tab w:val="left" w:pos="720"/>
              </w:tabs>
              <w:spacing w:before="120" w:after="120"/>
              <w:rPr>
                <w:rFonts w:ascii="Verdana" w:hAnsi="Verdana"/>
                <w:color w:val="000000"/>
                <w:sz w:val="16"/>
                <w:szCs w:val="16"/>
                <w:lang w:val="es-CL" w:eastAsia="es-CL"/>
              </w:rPr>
            </w:pPr>
            <w:r w:rsidRPr="00800E94">
              <w:rPr>
                <w:rFonts w:ascii="Verdana" w:hAnsi="Verdana"/>
                <w:color w:val="000000"/>
                <w:sz w:val="16"/>
                <w:szCs w:val="16"/>
                <w:lang w:val="es-CL" w:eastAsia="es-CL"/>
              </w:rPr>
              <w:t>Pasaje</w:t>
            </w:r>
          </w:p>
        </w:tc>
        <w:tc>
          <w:tcPr>
            <w:tcW w:w="1154" w:type="dxa"/>
            <w:tcBorders>
              <w:top w:val="single" w:sz="4" w:space="0" w:color="auto"/>
              <w:left w:val="nil"/>
              <w:bottom w:val="double" w:sz="6" w:space="0" w:color="auto"/>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4" w:type="dxa"/>
            <w:tcBorders>
              <w:top w:val="single" w:sz="4" w:space="0" w:color="auto"/>
              <w:left w:val="nil"/>
              <w:bottom w:val="double" w:sz="6" w:space="0" w:color="auto"/>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4" w:type="dxa"/>
            <w:tcBorders>
              <w:top w:val="single" w:sz="4" w:space="0" w:color="auto"/>
              <w:left w:val="nil"/>
              <w:bottom w:val="double" w:sz="6"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$ 750</w:t>
            </w:r>
          </w:p>
        </w:tc>
        <w:tc>
          <w:tcPr>
            <w:tcW w:w="1154" w:type="dxa"/>
            <w:tcBorders>
              <w:top w:val="single" w:sz="4" w:space="0" w:color="auto"/>
              <w:left w:val="nil"/>
              <w:bottom w:val="double" w:sz="6" w:space="0" w:color="auto"/>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4" w:type="dxa"/>
            <w:tcBorders>
              <w:top w:val="single" w:sz="4" w:space="0" w:color="auto"/>
              <w:left w:val="nil"/>
              <w:bottom w:val="double" w:sz="6"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5" w:type="dxa"/>
            <w:tcBorders>
              <w:top w:val="single" w:sz="4" w:space="0" w:color="auto"/>
              <w:left w:val="nil"/>
              <w:bottom w:val="double" w:sz="6"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$ 750</w:t>
            </w:r>
          </w:p>
        </w:tc>
      </w:tr>
      <w:tr w:rsidR="00A97E1E" w:rsidRPr="00800E94" w:rsidTr="004525D6">
        <w:trPr>
          <w:trHeight w:val="330"/>
        </w:trPr>
        <w:tc>
          <w:tcPr>
            <w:tcW w:w="1560" w:type="dxa"/>
            <w:tcBorders>
              <w:top w:val="nil"/>
              <w:left w:val="nil"/>
              <w:bottom w:val="nil"/>
              <w:right w:val="nil"/>
            </w:tcBorders>
            <w:shd w:val="clear" w:color="auto" w:fill="auto"/>
            <w:vAlign w:val="center"/>
            <w:hideMark/>
          </w:tcPr>
          <w:p w:rsidR="00A97E1E" w:rsidRPr="00800E94" w:rsidRDefault="00A97E1E" w:rsidP="004525D6">
            <w:pPr>
              <w:tabs>
                <w:tab w:val="left" w:pos="720"/>
              </w:tabs>
              <w:spacing w:before="120" w:after="120"/>
              <w:rPr>
                <w:rFonts w:ascii="Verdana" w:hAnsi="Verdana"/>
                <w:b/>
                <w:bCs/>
                <w:color w:val="000000"/>
                <w:sz w:val="16"/>
                <w:szCs w:val="16"/>
                <w:lang w:val="es-CL" w:eastAsia="es-CL"/>
              </w:rPr>
            </w:pPr>
            <w:r w:rsidRPr="00800E94">
              <w:rPr>
                <w:rFonts w:ascii="Verdana" w:hAnsi="Verdana"/>
                <w:b/>
                <w:bCs/>
                <w:color w:val="000000"/>
                <w:sz w:val="16"/>
                <w:szCs w:val="16"/>
                <w:lang w:val="es-CL" w:eastAsia="es-CL"/>
              </w:rPr>
              <w:t>Total</w:t>
            </w:r>
          </w:p>
        </w:tc>
        <w:tc>
          <w:tcPr>
            <w:tcW w:w="1275" w:type="dxa"/>
            <w:tcBorders>
              <w:top w:val="nil"/>
              <w:left w:val="nil"/>
              <w:bottom w:val="nil"/>
              <w:right w:val="nil"/>
            </w:tcBorders>
            <w:shd w:val="clear" w:color="auto" w:fill="auto"/>
            <w:noWrap/>
            <w:vAlign w:val="bottom"/>
            <w:hideMark/>
          </w:tcPr>
          <w:p w:rsidR="00A97E1E" w:rsidRPr="00800E94" w:rsidRDefault="00A97E1E" w:rsidP="004525D6">
            <w:pPr>
              <w:tabs>
                <w:tab w:val="left" w:pos="720"/>
              </w:tabs>
              <w:spacing w:before="120" w:after="120"/>
              <w:jc w:val="center"/>
              <w:rPr>
                <w:rFonts w:ascii="Verdana" w:hAnsi="Verdana"/>
                <w:b/>
                <w:bCs/>
                <w:color w:val="000000"/>
                <w:sz w:val="16"/>
                <w:szCs w:val="16"/>
                <w:lang w:val="es-CL" w:eastAsia="es-CL"/>
              </w:rPr>
            </w:pPr>
          </w:p>
        </w:tc>
        <w:tc>
          <w:tcPr>
            <w:tcW w:w="1154" w:type="dxa"/>
            <w:tcBorders>
              <w:top w:val="nil"/>
              <w:left w:val="nil"/>
              <w:bottom w:val="nil"/>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b/>
                <w:bCs/>
                <w:color w:val="000000"/>
                <w:sz w:val="18"/>
                <w:szCs w:val="18"/>
                <w:lang w:val="es-CL" w:eastAsia="es-CL"/>
              </w:rPr>
            </w:pPr>
            <w:r w:rsidRPr="00800E94">
              <w:rPr>
                <w:rFonts w:ascii="Verdana" w:hAnsi="Verdana"/>
                <w:b/>
                <w:bCs/>
                <w:color w:val="000000"/>
                <w:sz w:val="18"/>
                <w:szCs w:val="18"/>
                <w:lang w:val="es-CL" w:eastAsia="es-CL"/>
              </w:rPr>
              <w:t>$ 2.035</w:t>
            </w:r>
          </w:p>
        </w:tc>
        <w:tc>
          <w:tcPr>
            <w:tcW w:w="1154" w:type="dxa"/>
            <w:tcBorders>
              <w:top w:val="nil"/>
              <w:left w:val="nil"/>
              <w:bottom w:val="nil"/>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b/>
                <w:bCs/>
                <w:color w:val="000000"/>
                <w:sz w:val="18"/>
                <w:szCs w:val="18"/>
                <w:lang w:val="es-CL" w:eastAsia="es-CL"/>
              </w:rPr>
            </w:pPr>
            <w:r w:rsidRPr="00800E94">
              <w:rPr>
                <w:rFonts w:ascii="Verdana" w:hAnsi="Verdana"/>
                <w:b/>
                <w:bCs/>
                <w:color w:val="000000"/>
                <w:sz w:val="18"/>
                <w:szCs w:val="18"/>
                <w:lang w:val="es-CL" w:eastAsia="es-CL"/>
              </w:rPr>
              <w:t>$ 2.035</w:t>
            </w:r>
          </w:p>
        </w:tc>
        <w:tc>
          <w:tcPr>
            <w:tcW w:w="1154" w:type="dxa"/>
            <w:tcBorders>
              <w:top w:val="nil"/>
              <w:left w:val="nil"/>
              <w:bottom w:val="nil"/>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b/>
                <w:bCs/>
                <w:color w:val="000000"/>
                <w:sz w:val="18"/>
                <w:szCs w:val="18"/>
                <w:lang w:val="es-CL" w:eastAsia="es-CL"/>
              </w:rPr>
            </w:pPr>
            <w:r w:rsidRPr="00800E94">
              <w:rPr>
                <w:rFonts w:ascii="Verdana" w:hAnsi="Verdana"/>
                <w:b/>
                <w:bCs/>
                <w:color w:val="000000"/>
                <w:sz w:val="18"/>
                <w:szCs w:val="18"/>
                <w:lang w:val="es-CL" w:eastAsia="es-CL"/>
              </w:rPr>
              <w:t>$ 5.975</w:t>
            </w:r>
          </w:p>
        </w:tc>
        <w:tc>
          <w:tcPr>
            <w:tcW w:w="1154" w:type="dxa"/>
            <w:tcBorders>
              <w:top w:val="nil"/>
              <w:left w:val="nil"/>
              <w:bottom w:val="nil"/>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b/>
                <w:bCs/>
                <w:color w:val="000000"/>
                <w:sz w:val="18"/>
                <w:szCs w:val="18"/>
                <w:lang w:val="es-CL" w:eastAsia="es-CL"/>
              </w:rPr>
            </w:pPr>
            <w:r w:rsidRPr="00800E94">
              <w:rPr>
                <w:rFonts w:ascii="Verdana" w:hAnsi="Verdana"/>
                <w:b/>
                <w:bCs/>
                <w:color w:val="000000"/>
                <w:sz w:val="18"/>
                <w:szCs w:val="18"/>
                <w:lang w:val="es-CL" w:eastAsia="es-CL"/>
              </w:rPr>
              <w:t>$ 2.035</w:t>
            </w:r>
          </w:p>
        </w:tc>
        <w:tc>
          <w:tcPr>
            <w:tcW w:w="1154" w:type="dxa"/>
            <w:tcBorders>
              <w:top w:val="nil"/>
              <w:left w:val="nil"/>
              <w:bottom w:val="nil"/>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b/>
                <w:bCs/>
                <w:color w:val="000000"/>
                <w:sz w:val="18"/>
                <w:szCs w:val="18"/>
                <w:lang w:val="es-CL" w:eastAsia="es-CL"/>
              </w:rPr>
              <w:t>$ 2.035</w:t>
            </w:r>
          </w:p>
        </w:tc>
        <w:tc>
          <w:tcPr>
            <w:tcW w:w="1155" w:type="dxa"/>
            <w:tcBorders>
              <w:top w:val="nil"/>
              <w:left w:val="nil"/>
              <w:bottom w:val="nil"/>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b/>
                <w:bCs/>
                <w:color w:val="000000"/>
                <w:sz w:val="18"/>
                <w:szCs w:val="18"/>
                <w:lang w:val="es-CL" w:eastAsia="es-CL"/>
              </w:rPr>
            </w:pPr>
            <w:r w:rsidRPr="00800E94">
              <w:rPr>
                <w:rFonts w:ascii="Verdana" w:hAnsi="Verdana"/>
                <w:b/>
                <w:bCs/>
                <w:color w:val="000000"/>
                <w:sz w:val="18"/>
                <w:szCs w:val="18"/>
                <w:lang w:val="es-CL" w:eastAsia="es-CL"/>
              </w:rPr>
              <w:t>$ 5.975</w:t>
            </w:r>
          </w:p>
        </w:tc>
      </w:tr>
    </w:tbl>
    <w:p w:rsidR="00A97E1E" w:rsidRPr="001709B2" w:rsidRDefault="00A97E1E" w:rsidP="001709B2">
      <w:pPr>
        <w:pStyle w:val="Textoindependiente"/>
        <w:tabs>
          <w:tab w:val="left" w:pos="567"/>
        </w:tabs>
        <w:spacing w:before="120"/>
        <w:jc w:val="both"/>
        <w:rPr>
          <w:rFonts w:ascii="Arial" w:hAnsi="Arial" w:cs="Arial"/>
          <w:sz w:val="18"/>
          <w:szCs w:val="18"/>
          <w:lang w:val="es-CL"/>
        </w:rPr>
      </w:pPr>
      <w:r w:rsidRPr="001709B2">
        <w:rPr>
          <w:rFonts w:ascii="Arial" w:hAnsi="Arial" w:cs="Arial"/>
          <w:sz w:val="18"/>
          <w:szCs w:val="18"/>
          <w:lang w:val="es-CL"/>
        </w:rPr>
        <w:t xml:space="preserve">Fuente: elaboración propia en base a información entregada por el Ministerio de Relaciones Exteriores. Observación: El valor del pasaje aéreo considerado para el cálculo de los costos asociados a las Conferencias de revisión, considera clase </w:t>
      </w:r>
      <w:r w:rsidRPr="001709B2">
        <w:rPr>
          <w:rFonts w:ascii="Arial" w:hAnsi="Arial" w:cs="Arial"/>
          <w:i/>
          <w:iCs/>
          <w:sz w:val="18"/>
          <w:szCs w:val="18"/>
          <w:lang w:val="es-CL"/>
        </w:rPr>
        <w:t>turista</w:t>
      </w:r>
      <w:r w:rsidRPr="001709B2">
        <w:rPr>
          <w:rFonts w:ascii="Arial" w:hAnsi="Arial" w:cs="Arial"/>
          <w:sz w:val="18"/>
          <w:szCs w:val="18"/>
          <w:lang w:val="es-CL"/>
        </w:rPr>
        <w:t>.</w:t>
      </w:r>
    </w:p>
    <w:p w:rsidR="00A97E1E" w:rsidRPr="00800E94" w:rsidRDefault="00A97E1E" w:rsidP="00A97E1E">
      <w:pPr>
        <w:pStyle w:val="Textoindependiente"/>
        <w:spacing w:before="120"/>
        <w:rPr>
          <w:rFonts w:ascii="Verdana" w:hAnsi="Verdana" w:cs="Arial"/>
          <w:lang w:val="es-CL"/>
        </w:rPr>
      </w:pPr>
    </w:p>
    <w:p w:rsidR="001709B2" w:rsidRDefault="001709B2" w:rsidP="00A97E1E">
      <w:pPr>
        <w:pStyle w:val="Textoindependiente"/>
        <w:tabs>
          <w:tab w:val="left" w:pos="567"/>
        </w:tabs>
        <w:spacing w:before="120"/>
        <w:jc w:val="center"/>
        <w:rPr>
          <w:rFonts w:ascii="Verdana" w:hAnsi="Verdana" w:cs="Arial"/>
          <w:b/>
          <w:sz w:val="18"/>
          <w:szCs w:val="18"/>
          <w:lang w:val="es-CL"/>
        </w:rPr>
      </w:pPr>
    </w:p>
    <w:p w:rsidR="00A97E1E" w:rsidRPr="00800E94" w:rsidRDefault="00A97E1E" w:rsidP="00A97E1E">
      <w:pPr>
        <w:pStyle w:val="Textoindependiente"/>
        <w:tabs>
          <w:tab w:val="left" w:pos="567"/>
        </w:tabs>
        <w:spacing w:before="120"/>
        <w:jc w:val="center"/>
        <w:rPr>
          <w:rFonts w:ascii="Verdana" w:hAnsi="Verdana" w:cs="Arial"/>
          <w:b/>
          <w:lang w:val="es-CL"/>
        </w:rPr>
      </w:pPr>
      <w:r w:rsidRPr="00800E94">
        <w:rPr>
          <w:rFonts w:ascii="Verdana" w:hAnsi="Verdana" w:cs="Arial"/>
          <w:b/>
          <w:sz w:val="18"/>
          <w:szCs w:val="18"/>
          <w:lang w:val="es-CL"/>
        </w:rPr>
        <w:t>Cuadro 2: Gasto por reuniones y conferencias de revisión (M$ 2021)</w:t>
      </w:r>
    </w:p>
    <w:tbl>
      <w:tblPr>
        <w:tblW w:w="9760" w:type="dxa"/>
        <w:tblInd w:w="70" w:type="dxa"/>
        <w:tblLayout w:type="fixed"/>
        <w:tblCellMar>
          <w:left w:w="70" w:type="dxa"/>
          <w:right w:w="70" w:type="dxa"/>
        </w:tblCellMar>
        <w:tblLook w:val="04A0" w:firstRow="1" w:lastRow="0" w:firstColumn="1" w:lastColumn="0" w:noHBand="0" w:noVBand="1"/>
      </w:tblPr>
      <w:tblGrid>
        <w:gridCol w:w="1560"/>
        <w:gridCol w:w="1275"/>
        <w:gridCol w:w="1154"/>
        <w:gridCol w:w="1154"/>
        <w:gridCol w:w="1154"/>
        <w:gridCol w:w="1154"/>
        <w:gridCol w:w="1154"/>
        <w:gridCol w:w="1155"/>
      </w:tblGrid>
      <w:tr w:rsidR="00A97E1E" w:rsidRPr="00800E94" w:rsidTr="004525D6">
        <w:trPr>
          <w:trHeight w:val="300"/>
        </w:trPr>
        <w:tc>
          <w:tcPr>
            <w:tcW w:w="1560" w:type="dxa"/>
            <w:tcBorders>
              <w:top w:val="nil"/>
              <w:left w:val="nil"/>
              <w:bottom w:val="nil"/>
              <w:right w:val="nil"/>
            </w:tcBorders>
            <w:shd w:val="clear" w:color="auto" w:fill="auto"/>
            <w:noWrap/>
            <w:vAlign w:val="bottom"/>
            <w:hideMark/>
          </w:tcPr>
          <w:p w:rsidR="00A97E1E" w:rsidRPr="00800E94" w:rsidRDefault="00A97E1E" w:rsidP="004525D6">
            <w:pPr>
              <w:tabs>
                <w:tab w:val="left" w:pos="720"/>
              </w:tabs>
              <w:spacing w:before="120" w:after="120"/>
              <w:rPr>
                <w:rFonts w:ascii="Verdana" w:hAnsi="Verdana"/>
                <w:sz w:val="18"/>
                <w:szCs w:val="18"/>
                <w:lang w:val="es-CL" w:eastAsia="es-CL"/>
              </w:rPr>
            </w:pPr>
          </w:p>
        </w:tc>
        <w:tc>
          <w:tcPr>
            <w:tcW w:w="1275" w:type="dxa"/>
            <w:tcBorders>
              <w:top w:val="nil"/>
              <w:left w:val="nil"/>
              <w:bottom w:val="nil"/>
              <w:right w:val="nil"/>
            </w:tcBorders>
            <w:shd w:val="clear" w:color="auto" w:fill="auto"/>
            <w:noWrap/>
            <w:vAlign w:val="bottom"/>
            <w:hideMark/>
          </w:tcPr>
          <w:p w:rsidR="00A97E1E" w:rsidRPr="00800E94" w:rsidRDefault="00A97E1E" w:rsidP="004525D6">
            <w:pPr>
              <w:tabs>
                <w:tab w:val="left" w:pos="720"/>
              </w:tabs>
              <w:spacing w:before="120" w:after="120"/>
              <w:rPr>
                <w:rFonts w:ascii="Verdana" w:hAnsi="Verdana"/>
                <w:sz w:val="18"/>
                <w:szCs w:val="18"/>
                <w:lang w:val="es-CL" w:eastAsia="es-CL"/>
              </w:rPr>
            </w:pPr>
          </w:p>
        </w:tc>
        <w:tc>
          <w:tcPr>
            <w:tcW w:w="1154" w:type="dxa"/>
            <w:tcBorders>
              <w:top w:val="nil"/>
              <w:left w:val="nil"/>
              <w:bottom w:val="nil"/>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color w:val="000000"/>
                <w:sz w:val="16"/>
                <w:szCs w:val="16"/>
                <w:lang w:val="es-CL" w:eastAsia="es-CL"/>
              </w:rPr>
            </w:pPr>
            <w:r w:rsidRPr="00800E94">
              <w:rPr>
                <w:rFonts w:ascii="Verdana" w:hAnsi="Verdana"/>
                <w:color w:val="000000"/>
                <w:sz w:val="16"/>
                <w:szCs w:val="16"/>
                <w:lang w:val="es-CL" w:eastAsia="es-CL"/>
              </w:rPr>
              <w:t>Año 1</w:t>
            </w:r>
          </w:p>
        </w:tc>
        <w:tc>
          <w:tcPr>
            <w:tcW w:w="1154" w:type="dxa"/>
            <w:tcBorders>
              <w:top w:val="nil"/>
              <w:left w:val="nil"/>
              <w:bottom w:val="nil"/>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color w:val="000000"/>
                <w:sz w:val="16"/>
                <w:szCs w:val="16"/>
                <w:lang w:val="es-CL" w:eastAsia="es-CL"/>
              </w:rPr>
            </w:pPr>
            <w:r w:rsidRPr="00800E94">
              <w:rPr>
                <w:rFonts w:ascii="Verdana" w:hAnsi="Verdana"/>
                <w:color w:val="000000"/>
                <w:sz w:val="16"/>
                <w:szCs w:val="16"/>
                <w:lang w:val="es-CL" w:eastAsia="es-CL"/>
              </w:rPr>
              <w:t>Año 3</w:t>
            </w:r>
          </w:p>
        </w:tc>
        <w:tc>
          <w:tcPr>
            <w:tcW w:w="1154" w:type="dxa"/>
            <w:tcBorders>
              <w:top w:val="nil"/>
              <w:left w:val="nil"/>
              <w:bottom w:val="nil"/>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color w:val="000000"/>
                <w:sz w:val="16"/>
                <w:szCs w:val="16"/>
                <w:lang w:val="es-CL" w:eastAsia="es-CL"/>
              </w:rPr>
            </w:pPr>
            <w:r w:rsidRPr="00800E94">
              <w:rPr>
                <w:rFonts w:ascii="Verdana" w:hAnsi="Verdana"/>
                <w:color w:val="000000"/>
                <w:sz w:val="16"/>
                <w:szCs w:val="16"/>
                <w:lang w:val="es-CL" w:eastAsia="es-CL"/>
              </w:rPr>
              <w:t>Año 5</w:t>
            </w:r>
          </w:p>
        </w:tc>
        <w:tc>
          <w:tcPr>
            <w:tcW w:w="1154" w:type="dxa"/>
            <w:tcBorders>
              <w:top w:val="nil"/>
              <w:left w:val="nil"/>
              <w:bottom w:val="nil"/>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color w:val="000000"/>
                <w:sz w:val="16"/>
                <w:szCs w:val="16"/>
                <w:lang w:val="es-CL" w:eastAsia="es-CL"/>
              </w:rPr>
            </w:pPr>
            <w:r w:rsidRPr="00800E94">
              <w:rPr>
                <w:rFonts w:ascii="Verdana" w:hAnsi="Verdana"/>
                <w:color w:val="000000"/>
                <w:sz w:val="16"/>
                <w:szCs w:val="16"/>
                <w:lang w:val="es-CL" w:eastAsia="es-CL"/>
              </w:rPr>
              <w:t>Año 7</w:t>
            </w:r>
          </w:p>
        </w:tc>
        <w:tc>
          <w:tcPr>
            <w:tcW w:w="1154" w:type="dxa"/>
            <w:tcBorders>
              <w:top w:val="nil"/>
              <w:left w:val="nil"/>
              <w:bottom w:val="nil"/>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color w:val="000000"/>
                <w:sz w:val="16"/>
                <w:szCs w:val="16"/>
                <w:lang w:val="es-CL" w:eastAsia="es-CL"/>
              </w:rPr>
            </w:pPr>
            <w:r w:rsidRPr="00800E94">
              <w:rPr>
                <w:rFonts w:ascii="Verdana" w:hAnsi="Verdana"/>
                <w:color w:val="000000"/>
                <w:sz w:val="16"/>
                <w:szCs w:val="16"/>
                <w:lang w:val="es-CL" w:eastAsia="es-CL"/>
              </w:rPr>
              <w:t>Año 9</w:t>
            </w:r>
          </w:p>
        </w:tc>
        <w:tc>
          <w:tcPr>
            <w:tcW w:w="1155" w:type="dxa"/>
            <w:tcBorders>
              <w:top w:val="nil"/>
              <w:left w:val="nil"/>
              <w:bottom w:val="nil"/>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color w:val="000000"/>
                <w:sz w:val="16"/>
                <w:szCs w:val="16"/>
                <w:lang w:val="es-CL" w:eastAsia="es-CL"/>
              </w:rPr>
            </w:pPr>
            <w:r w:rsidRPr="00800E94">
              <w:rPr>
                <w:rFonts w:ascii="Verdana" w:hAnsi="Verdana"/>
                <w:color w:val="000000"/>
                <w:sz w:val="16"/>
                <w:szCs w:val="16"/>
                <w:lang w:val="es-CL" w:eastAsia="es-CL"/>
              </w:rPr>
              <w:t>Año 11</w:t>
            </w:r>
          </w:p>
        </w:tc>
      </w:tr>
      <w:tr w:rsidR="00A97E1E" w:rsidRPr="00800E94" w:rsidTr="004525D6">
        <w:trPr>
          <w:trHeight w:val="600"/>
        </w:trPr>
        <w:tc>
          <w:tcPr>
            <w:tcW w:w="1560"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rPr>
                <w:rFonts w:ascii="Verdana" w:hAnsi="Verdana"/>
                <w:b/>
                <w:bCs/>
                <w:color w:val="000000"/>
                <w:sz w:val="16"/>
                <w:szCs w:val="16"/>
                <w:lang w:val="es-CL" w:eastAsia="es-CL"/>
              </w:rPr>
            </w:pPr>
            <w:r w:rsidRPr="00800E94">
              <w:rPr>
                <w:rFonts w:ascii="Verdana" w:hAnsi="Verdana"/>
                <w:b/>
                <w:bCs/>
                <w:color w:val="000000"/>
                <w:sz w:val="16"/>
                <w:szCs w:val="16"/>
                <w:lang w:val="es-CL" w:eastAsia="es-CL"/>
              </w:rPr>
              <w:t>Reuniones Ordinarias</w:t>
            </w:r>
          </w:p>
        </w:tc>
        <w:tc>
          <w:tcPr>
            <w:tcW w:w="1275"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rPr>
                <w:rFonts w:ascii="Verdana" w:hAnsi="Verdana"/>
                <w:color w:val="000000"/>
                <w:sz w:val="16"/>
                <w:szCs w:val="16"/>
                <w:lang w:val="es-CL" w:eastAsia="es-CL"/>
              </w:rPr>
            </w:pPr>
            <w:r w:rsidRPr="00800E94">
              <w:rPr>
                <w:rFonts w:ascii="Verdana" w:hAnsi="Verdana"/>
                <w:color w:val="000000"/>
                <w:sz w:val="16"/>
                <w:szCs w:val="16"/>
                <w:lang w:val="es-CL" w:eastAsia="es-CL"/>
              </w:rPr>
              <w:t>Costo de realización</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$ 1.579</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$ 1.579</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$ 1.579</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$ 1.579</w:t>
            </w:r>
          </w:p>
        </w:tc>
        <w:tc>
          <w:tcPr>
            <w:tcW w:w="1155"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r>
      <w:tr w:rsidR="00A97E1E" w:rsidRPr="00800E94" w:rsidTr="004525D6">
        <w:trPr>
          <w:trHeight w:val="600"/>
        </w:trPr>
        <w:tc>
          <w:tcPr>
            <w:tcW w:w="1560" w:type="dxa"/>
            <w:vMerge w:val="restart"/>
            <w:tcBorders>
              <w:top w:val="nil"/>
              <w:left w:val="nil"/>
              <w:bottom w:val="double" w:sz="6" w:space="0" w:color="000000"/>
              <w:right w:val="nil"/>
            </w:tcBorders>
            <w:shd w:val="clear" w:color="auto" w:fill="auto"/>
            <w:vAlign w:val="center"/>
            <w:hideMark/>
          </w:tcPr>
          <w:p w:rsidR="00A97E1E" w:rsidRPr="00800E94" w:rsidRDefault="00A97E1E" w:rsidP="004525D6">
            <w:pPr>
              <w:tabs>
                <w:tab w:val="left" w:pos="720"/>
              </w:tabs>
              <w:spacing w:before="120" w:after="120"/>
              <w:rPr>
                <w:rFonts w:ascii="Verdana" w:hAnsi="Verdana"/>
                <w:b/>
                <w:bCs/>
                <w:color w:val="000000"/>
                <w:sz w:val="16"/>
                <w:szCs w:val="16"/>
                <w:lang w:val="es-CL" w:eastAsia="es-CL"/>
              </w:rPr>
            </w:pPr>
            <w:r w:rsidRPr="00800E94">
              <w:rPr>
                <w:rFonts w:ascii="Verdana" w:hAnsi="Verdana"/>
                <w:b/>
                <w:bCs/>
                <w:color w:val="000000"/>
                <w:sz w:val="16"/>
                <w:szCs w:val="16"/>
                <w:lang w:val="es-CL" w:eastAsia="es-CL"/>
              </w:rPr>
              <w:t>Conferencias de revisión</w:t>
            </w:r>
          </w:p>
        </w:tc>
        <w:tc>
          <w:tcPr>
            <w:tcW w:w="1275"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rPr>
                <w:rFonts w:ascii="Verdana" w:hAnsi="Verdana"/>
                <w:color w:val="000000"/>
                <w:sz w:val="16"/>
                <w:szCs w:val="16"/>
                <w:lang w:val="es-CL" w:eastAsia="es-CL"/>
              </w:rPr>
            </w:pPr>
            <w:r w:rsidRPr="00800E94">
              <w:rPr>
                <w:rFonts w:ascii="Verdana" w:hAnsi="Verdana"/>
                <w:color w:val="000000"/>
                <w:sz w:val="16"/>
                <w:szCs w:val="16"/>
                <w:lang w:val="es-CL" w:eastAsia="es-CL"/>
              </w:rPr>
              <w:t>Costo de realización</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$ 1.579</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5"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$ 1.579</w:t>
            </w:r>
          </w:p>
        </w:tc>
      </w:tr>
      <w:tr w:rsidR="00A97E1E" w:rsidRPr="00800E94" w:rsidTr="004525D6">
        <w:trPr>
          <w:trHeight w:val="300"/>
        </w:trPr>
        <w:tc>
          <w:tcPr>
            <w:tcW w:w="1560" w:type="dxa"/>
            <w:vMerge/>
            <w:tcBorders>
              <w:top w:val="nil"/>
              <w:left w:val="nil"/>
              <w:bottom w:val="double" w:sz="6" w:space="0" w:color="000000"/>
              <w:right w:val="nil"/>
            </w:tcBorders>
            <w:vAlign w:val="center"/>
            <w:hideMark/>
          </w:tcPr>
          <w:p w:rsidR="00A97E1E" w:rsidRPr="00800E94" w:rsidRDefault="00A97E1E" w:rsidP="004525D6">
            <w:pPr>
              <w:tabs>
                <w:tab w:val="left" w:pos="720"/>
              </w:tabs>
              <w:spacing w:before="120" w:after="120"/>
              <w:rPr>
                <w:rFonts w:ascii="Verdana" w:hAnsi="Verdana"/>
                <w:b/>
                <w:bCs/>
                <w:color w:val="000000"/>
                <w:sz w:val="16"/>
                <w:szCs w:val="16"/>
                <w:lang w:val="es-CL" w:eastAsia="es-CL"/>
              </w:rPr>
            </w:pPr>
          </w:p>
        </w:tc>
        <w:tc>
          <w:tcPr>
            <w:tcW w:w="1275"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rPr>
                <w:rFonts w:ascii="Verdana" w:hAnsi="Verdana"/>
                <w:color w:val="000000"/>
                <w:sz w:val="16"/>
                <w:szCs w:val="16"/>
                <w:lang w:val="es-CL" w:eastAsia="es-CL"/>
              </w:rPr>
            </w:pPr>
            <w:r w:rsidRPr="00800E94">
              <w:rPr>
                <w:rFonts w:ascii="Verdana" w:hAnsi="Verdana"/>
                <w:color w:val="000000"/>
                <w:sz w:val="16"/>
                <w:szCs w:val="16"/>
                <w:lang w:val="es-CL" w:eastAsia="es-CL"/>
              </w:rPr>
              <w:t>Viático 7 días</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$ 2.475</w:t>
            </w:r>
          </w:p>
        </w:tc>
        <w:tc>
          <w:tcPr>
            <w:tcW w:w="1154" w:type="dxa"/>
            <w:tcBorders>
              <w:top w:val="single" w:sz="4" w:space="0" w:color="auto"/>
              <w:left w:val="nil"/>
              <w:bottom w:val="single" w:sz="4" w:space="0" w:color="auto"/>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4"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5" w:type="dxa"/>
            <w:tcBorders>
              <w:top w:val="single" w:sz="4" w:space="0" w:color="auto"/>
              <w:left w:val="nil"/>
              <w:bottom w:val="single" w:sz="4"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$ 2.475</w:t>
            </w:r>
          </w:p>
        </w:tc>
      </w:tr>
      <w:tr w:rsidR="00A97E1E" w:rsidRPr="00800E94" w:rsidTr="004525D6">
        <w:trPr>
          <w:trHeight w:val="477"/>
        </w:trPr>
        <w:tc>
          <w:tcPr>
            <w:tcW w:w="1560" w:type="dxa"/>
            <w:vMerge/>
            <w:tcBorders>
              <w:top w:val="nil"/>
              <w:left w:val="nil"/>
              <w:bottom w:val="double" w:sz="6" w:space="0" w:color="000000"/>
              <w:right w:val="nil"/>
            </w:tcBorders>
            <w:vAlign w:val="center"/>
            <w:hideMark/>
          </w:tcPr>
          <w:p w:rsidR="00A97E1E" w:rsidRPr="00800E94" w:rsidRDefault="00A97E1E" w:rsidP="004525D6">
            <w:pPr>
              <w:tabs>
                <w:tab w:val="left" w:pos="720"/>
              </w:tabs>
              <w:spacing w:before="120" w:after="120"/>
              <w:rPr>
                <w:rFonts w:ascii="Verdana" w:hAnsi="Verdana"/>
                <w:b/>
                <w:bCs/>
                <w:color w:val="000000"/>
                <w:sz w:val="16"/>
                <w:szCs w:val="16"/>
                <w:lang w:val="es-CL" w:eastAsia="es-CL"/>
              </w:rPr>
            </w:pPr>
          </w:p>
        </w:tc>
        <w:tc>
          <w:tcPr>
            <w:tcW w:w="1275" w:type="dxa"/>
            <w:tcBorders>
              <w:top w:val="single" w:sz="4" w:space="0" w:color="auto"/>
              <w:left w:val="nil"/>
              <w:bottom w:val="double" w:sz="6" w:space="0" w:color="auto"/>
              <w:right w:val="nil"/>
            </w:tcBorders>
            <w:shd w:val="clear" w:color="auto" w:fill="auto"/>
            <w:noWrap/>
            <w:vAlign w:val="center"/>
            <w:hideMark/>
          </w:tcPr>
          <w:p w:rsidR="00A97E1E" w:rsidRPr="00800E94" w:rsidRDefault="00A97E1E" w:rsidP="004525D6">
            <w:pPr>
              <w:tabs>
                <w:tab w:val="left" w:pos="720"/>
              </w:tabs>
              <w:spacing w:before="120" w:after="120"/>
              <w:rPr>
                <w:rFonts w:ascii="Verdana" w:hAnsi="Verdana"/>
                <w:color w:val="000000"/>
                <w:sz w:val="16"/>
                <w:szCs w:val="16"/>
                <w:lang w:val="es-CL" w:eastAsia="es-CL"/>
              </w:rPr>
            </w:pPr>
            <w:r w:rsidRPr="00800E94">
              <w:rPr>
                <w:rFonts w:ascii="Verdana" w:hAnsi="Verdana"/>
                <w:color w:val="000000"/>
                <w:sz w:val="16"/>
                <w:szCs w:val="16"/>
                <w:lang w:val="es-CL" w:eastAsia="es-CL"/>
              </w:rPr>
              <w:t>Pasaje</w:t>
            </w:r>
          </w:p>
        </w:tc>
        <w:tc>
          <w:tcPr>
            <w:tcW w:w="1154" w:type="dxa"/>
            <w:tcBorders>
              <w:top w:val="single" w:sz="4" w:space="0" w:color="auto"/>
              <w:left w:val="nil"/>
              <w:bottom w:val="double" w:sz="6" w:space="0" w:color="auto"/>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4" w:type="dxa"/>
            <w:tcBorders>
              <w:top w:val="single" w:sz="4" w:space="0" w:color="auto"/>
              <w:left w:val="nil"/>
              <w:bottom w:val="double" w:sz="6" w:space="0" w:color="auto"/>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4" w:type="dxa"/>
            <w:tcBorders>
              <w:top w:val="single" w:sz="4" w:space="0" w:color="auto"/>
              <w:left w:val="nil"/>
              <w:bottom w:val="double" w:sz="6"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$ 582</w:t>
            </w:r>
          </w:p>
        </w:tc>
        <w:tc>
          <w:tcPr>
            <w:tcW w:w="1154" w:type="dxa"/>
            <w:tcBorders>
              <w:top w:val="single" w:sz="4" w:space="0" w:color="auto"/>
              <w:left w:val="nil"/>
              <w:bottom w:val="double" w:sz="6" w:space="0" w:color="auto"/>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4" w:type="dxa"/>
            <w:tcBorders>
              <w:top w:val="single" w:sz="4" w:space="0" w:color="auto"/>
              <w:left w:val="nil"/>
              <w:bottom w:val="double" w:sz="6"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w:t>
            </w:r>
          </w:p>
        </w:tc>
        <w:tc>
          <w:tcPr>
            <w:tcW w:w="1155" w:type="dxa"/>
            <w:tcBorders>
              <w:top w:val="single" w:sz="4" w:space="0" w:color="auto"/>
              <w:left w:val="nil"/>
              <w:bottom w:val="double" w:sz="6" w:space="0" w:color="auto"/>
              <w:right w:val="nil"/>
            </w:tcBorders>
            <w:shd w:val="clear" w:color="auto" w:fill="auto"/>
            <w:vAlign w:val="center"/>
            <w:hideMark/>
          </w:tcPr>
          <w:p w:rsidR="00A97E1E" w:rsidRPr="00800E94" w:rsidRDefault="00A97E1E" w:rsidP="004525D6">
            <w:pPr>
              <w:tabs>
                <w:tab w:val="left" w:pos="720"/>
              </w:tabs>
              <w:spacing w:before="120" w:after="120"/>
              <w:jc w:val="center"/>
              <w:rPr>
                <w:rFonts w:ascii="Verdana" w:hAnsi="Verdana"/>
                <w:color w:val="000000"/>
                <w:sz w:val="18"/>
                <w:szCs w:val="18"/>
                <w:lang w:val="es-CL" w:eastAsia="es-CL"/>
              </w:rPr>
            </w:pPr>
            <w:r w:rsidRPr="00800E94">
              <w:rPr>
                <w:rFonts w:ascii="Verdana" w:hAnsi="Verdana"/>
                <w:color w:val="000000"/>
                <w:sz w:val="18"/>
                <w:szCs w:val="18"/>
                <w:lang w:val="es-CL" w:eastAsia="es-CL"/>
              </w:rPr>
              <w:t>$ 582</w:t>
            </w:r>
          </w:p>
        </w:tc>
      </w:tr>
      <w:tr w:rsidR="00A97E1E" w:rsidRPr="00800E94" w:rsidTr="004525D6">
        <w:trPr>
          <w:trHeight w:val="330"/>
        </w:trPr>
        <w:tc>
          <w:tcPr>
            <w:tcW w:w="1560" w:type="dxa"/>
            <w:tcBorders>
              <w:top w:val="nil"/>
              <w:left w:val="nil"/>
              <w:bottom w:val="nil"/>
              <w:right w:val="nil"/>
            </w:tcBorders>
            <w:shd w:val="clear" w:color="auto" w:fill="auto"/>
            <w:vAlign w:val="center"/>
            <w:hideMark/>
          </w:tcPr>
          <w:p w:rsidR="00A97E1E" w:rsidRPr="00800E94" w:rsidRDefault="00A97E1E" w:rsidP="004525D6">
            <w:pPr>
              <w:tabs>
                <w:tab w:val="left" w:pos="720"/>
              </w:tabs>
              <w:spacing w:before="120" w:after="120"/>
              <w:rPr>
                <w:rFonts w:ascii="Verdana" w:hAnsi="Verdana"/>
                <w:b/>
                <w:bCs/>
                <w:color w:val="000000"/>
                <w:sz w:val="16"/>
                <w:szCs w:val="16"/>
                <w:lang w:val="es-CL" w:eastAsia="es-CL"/>
              </w:rPr>
            </w:pPr>
            <w:r w:rsidRPr="00800E94">
              <w:rPr>
                <w:rFonts w:ascii="Verdana" w:hAnsi="Verdana"/>
                <w:b/>
                <w:bCs/>
                <w:color w:val="000000"/>
                <w:sz w:val="16"/>
                <w:szCs w:val="16"/>
                <w:lang w:val="es-CL" w:eastAsia="es-CL"/>
              </w:rPr>
              <w:t>Total</w:t>
            </w:r>
          </w:p>
        </w:tc>
        <w:tc>
          <w:tcPr>
            <w:tcW w:w="1275" w:type="dxa"/>
            <w:tcBorders>
              <w:top w:val="nil"/>
              <w:left w:val="nil"/>
              <w:bottom w:val="nil"/>
              <w:right w:val="nil"/>
            </w:tcBorders>
            <w:shd w:val="clear" w:color="auto" w:fill="auto"/>
            <w:noWrap/>
            <w:vAlign w:val="bottom"/>
            <w:hideMark/>
          </w:tcPr>
          <w:p w:rsidR="00A97E1E" w:rsidRPr="00800E94" w:rsidRDefault="00A97E1E" w:rsidP="004525D6">
            <w:pPr>
              <w:tabs>
                <w:tab w:val="left" w:pos="720"/>
              </w:tabs>
              <w:spacing w:before="120" w:after="120"/>
              <w:jc w:val="center"/>
              <w:rPr>
                <w:rFonts w:ascii="Verdana" w:hAnsi="Verdana"/>
                <w:b/>
                <w:bCs/>
                <w:color w:val="000000"/>
                <w:sz w:val="16"/>
                <w:szCs w:val="16"/>
                <w:lang w:val="es-CL" w:eastAsia="es-CL"/>
              </w:rPr>
            </w:pPr>
          </w:p>
        </w:tc>
        <w:tc>
          <w:tcPr>
            <w:tcW w:w="1154" w:type="dxa"/>
            <w:tcBorders>
              <w:top w:val="nil"/>
              <w:left w:val="nil"/>
              <w:bottom w:val="nil"/>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b/>
                <w:bCs/>
                <w:color w:val="000000"/>
                <w:sz w:val="18"/>
                <w:szCs w:val="18"/>
                <w:lang w:val="es-CL" w:eastAsia="es-CL"/>
              </w:rPr>
            </w:pPr>
            <w:r w:rsidRPr="00800E94">
              <w:rPr>
                <w:rFonts w:ascii="Verdana" w:hAnsi="Verdana"/>
                <w:b/>
                <w:bCs/>
                <w:color w:val="000000"/>
                <w:sz w:val="18"/>
                <w:szCs w:val="18"/>
                <w:lang w:val="es-CL" w:eastAsia="es-CL"/>
              </w:rPr>
              <w:t>$ 1.579</w:t>
            </w:r>
          </w:p>
        </w:tc>
        <w:tc>
          <w:tcPr>
            <w:tcW w:w="1154" w:type="dxa"/>
            <w:tcBorders>
              <w:top w:val="nil"/>
              <w:left w:val="nil"/>
              <w:bottom w:val="nil"/>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b/>
                <w:bCs/>
                <w:color w:val="000000"/>
                <w:sz w:val="18"/>
                <w:szCs w:val="18"/>
                <w:lang w:val="es-CL" w:eastAsia="es-CL"/>
              </w:rPr>
            </w:pPr>
            <w:r w:rsidRPr="00800E94">
              <w:rPr>
                <w:rFonts w:ascii="Verdana" w:hAnsi="Verdana"/>
                <w:b/>
                <w:bCs/>
                <w:color w:val="000000"/>
                <w:sz w:val="18"/>
                <w:szCs w:val="18"/>
                <w:lang w:val="es-CL" w:eastAsia="es-CL"/>
              </w:rPr>
              <w:t>$ 1.579</w:t>
            </w:r>
          </w:p>
        </w:tc>
        <w:tc>
          <w:tcPr>
            <w:tcW w:w="1154" w:type="dxa"/>
            <w:tcBorders>
              <w:top w:val="nil"/>
              <w:left w:val="nil"/>
              <w:bottom w:val="nil"/>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b/>
                <w:bCs/>
                <w:color w:val="000000"/>
                <w:sz w:val="18"/>
                <w:szCs w:val="18"/>
                <w:lang w:val="es-CL" w:eastAsia="es-CL"/>
              </w:rPr>
            </w:pPr>
            <w:r w:rsidRPr="00800E94">
              <w:rPr>
                <w:rFonts w:ascii="Verdana" w:hAnsi="Verdana"/>
                <w:b/>
                <w:bCs/>
                <w:color w:val="000000"/>
                <w:sz w:val="18"/>
                <w:szCs w:val="18"/>
                <w:lang w:val="es-CL" w:eastAsia="es-CL"/>
              </w:rPr>
              <w:t>$ 4.637</w:t>
            </w:r>
          </w:p>
        </w:tc>
        <w:tc>
          <w:tcPr>
            <w:tcW w:w="1154" w:type="dxa"/>
            <w:tcBorders>
              <w:top w:val="nil"/>
              <w:left w:val="nil"/>
              <w:bottom w:val="nil"/>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b/>
                <w:bCs/>
                <w:color w:val="000000"/>
                <w:sz w:val="18"/>
                <w:szCs w:val="18"/>
                <w:lang w:val="es-CL" w:eastAsia="es-CL"/>
              </w:rPr>
            </w:pPr>
            <w:r w:rsidRPr="00800E94">
              <w:rPr>
                <w:rFonts w:ascii="Verdana" w:hAnsi="Verdana"/>
                <w:b/>
                <w:bCs/>
                <w:color w:val="000000"/>
                <w:sz w:val="18"/>
                <w:szCs w:val="18"/>
                <w:lang w:val="es-CL" w:eastAsia="es-CL"/>
              </w:rPr>
              <w:t>$ 1.579</w:t>
            </w:r>
          </w:p>
        </w:tc>
        <w:tc>
          <w:tcPr>
            <w:tcW w:w="1154" w:type="dxa"/>
            <w:tcBorders>
              <w:top w:val="nil"/>
              <w:left w:val="nil"/>
              <w:bottom w:val="nil"/>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b/>
                <w:bCs/>
                <w:color w:val="000000"/>
                <w:sz w:val="18"/>
                <w:szCs w:val="18"/>
                <w:lang w:val="es-CL" w:eastAsia="es-CL"/>
              </w:rPr>
            </w:pPr>
            <w:r w:rsidRPr="00800E94">
              <w:rPr>
                <w:rFonts w:ascii="Verdana" w:hAnsi="Verdana"/>
                <w:b/>
                <w:bCs/>
                <w:color w:val="000000"/>
                <w:sz w:val="18"/>
                <w:szCs w:val="18"/>
                <w:lang w:val="es-CL" w:eastAsia="es-CL"/>
              </w:rPr>
              <w:t>$ 1.579</w:t>
            </w:r>
          </w:p>
        </w:tc>
        <w:tc>
          <w:tcPr>
            <w:tcW w:w="1155" w:type="dxa"/>
            <w:tcBorders>
              <w:top w:val="nil"/>
              <w:left w:val="nil"/>
              <w:bottom w:val="nil"/>
              <w:right w:val="nil"/>
            </w:tcBorders>
            <w:shd w:val="clear" w:color="auto" w:fill="auto"/>
            <w:noWrap/>
            <w:vAlign w:val="center"/>
            <w:hideMark/>
          </w:tcPr>
          <w:p w:rsidR="00A97E1E" w:rsidRPr="00800E94" w:rsidRDefault="00A97E1E" w:rsidP="004525D6">
            <w:pPr>
              <w:tabs>
                <w:tab w:val="left" w:pos="720"/>
              </w:tabs>
              <w:spacing w:before="120" w:after="120"/>
              <w:jc w:val="center"/>
              <w:rPr>
                <w:rFonts w:ascii="Verdana" w:hAnsi="Verdana"/>
                <w:b/>
                <w:bCs/>
                <w:color w:val="000000"/>
                <w:sz w:val="18"/>
                <w:szCs w:val="18"/>
                <w:lang w:val="es-CL" w:eastAsia="es-CL"/>
              </w:rPr>
            </w:pPr>
            <w:r w:rsidRPr="00800E94">
              <w:rPr>
                <w:rFonts w:ascii="Verdana" w:hAnsi="Verdana"/>
                <w:b/>
                <w:bCs/>
                <w:color w:val="000000"/>
                <w:sz w:val="18"/>
                <w:szCs w:val="18"/>
                <w:lang w:val="es-CL" w:eastAsia="es-CL"/>
              </w:rPr>
              <w:t>$ 4.637</w:t>
            </w:r>
          </w:p>
        </w:tc>
      </w:tr>
    </w:tbl>
    <w:p w:rsidR="00A97E1E" w:rsidRPr="001709B2" w:rsidRDefault="00A97E1E" w:rsidP="001709B2">
      <w:pPr>
        <w:pStyle w:val="Textoindependiente"/>
        <w:tabs>
          <w:tab w:val="left" w:pos="567"/>
        </w:tabs>
        <w:spacing w:before="120"/>
        <w:jc w:val="both"/>
        <w:rPr>
          <w:rFonts w:ascii="Arial" w:hAnsi="Arial" w:cs="Arial"/>
          <w:sz w:val="18"/>
          <w:szCs w:val="18"/>
          <w:lang w:val="es-CL"/>
        </w:rPr>
      </w:pPr>
      <w:r w:rsidRPr="001709B2">
        <w:rPr>
          <w:rFonts w:ascii="Arial" w:hAnsi="Arial" w:cs="Arial"/>
          <w:sz w:val="18"/>
          <w:szCs w:val="18"/>
          <w:lang w:val="es-CL"/>
        </w:rPr>
        <w:t xml:space="preserve">Fuente: elaboración propia en base a información entregada por el Ministerio de Relaciones Exteriores. Observación: El valor del pasaje aéreo considerado para el cálculo de los costos asociados a las Conferencias de revisión, considera clase </w:t>
      </w:r>
      <w:r w:rsidRPr="001709B2">
        <w:rPr>
          <w:rFonts w:ascii="Arial" w:hAnsi="Arial" w:cs="Arial"/>
          <w:i/>
          <w:iCs/>
          <w:sz w:val="18"/>
          <w:szCs w:val="18"/>
          <w:lang w:val="es-CL"/>
        </w:rPr>
        <w:t>turista</w:t>
      </w:r>
      <w:r w:rsidRPr="001709B2">
        <w:rPr>
          <w:rFonts w:ascii="Arial" w:hAnsi="Arial" w:cs="Arial"/>
          <w:sz w:val="18"/>
          <w:szCs w:val="18"/>
          <w:lang w:val="es-CL"/>
        </w:rPr>
        <w:t>. Para el cálculo en pesos, se utilizó como referencia el valor del dólar esperado durante 2021, obtenido del Informe de Finanzas Públicas del III trimestre de 2020 publicado por DIPRES (776 pesos chilenos = 1 dólar).</w:t>
      </w:r>
    </w:p>
    <w:p w:rsidR="00A97E1E" w:rsidRPr="00800E94" w:rsidRDefault="00A97E1E" w:rsidP="00A97E1E">
      <w:pPr>
        <w:pStyle w:val="Textoindependiente"/>
        <w:tabs>
          <w:tab w:val="left" w:pos="567"/>
        </w:tabs>
        <w:spacing w:before="120"/>
        <w:rPr>
          <w:rFonts w:ascii="Verdana" w:hAnsi="Verdana" w:cs="Arial"/>
          <w:lang w:val="es-CL"/>
        </w:rPr>
      </w:pPr>
    </w:p>
    <w:p w:rsidR="00A97E1E" w:rsidRPr="001709B2" w:rsidRDefault="00A97E1E" w:rsidP="001709B2">
      <w:pPr>
        <w:pStyle w:val="Textoindependiente"/>
        <w:tabs>
          <w:tab w:val="left" w:pos="1134"/>
          <w:tab w:val="left" w:pos="1560"/>
        </w:tabs>
        <w:spacing w:before="120"/>
        <w:ind w:firstLine="1701"/>
        <w:jc w:val="both"/>
        <w:rPr>
          <w:rFonts w:ascii="Arial" w:hAnsi="Arial" w:cs="Arial"/>
          <w:bCs/>
          <w:sz w:val="22"/>
          <w:szCs w:val="22"/>
          <w:lang w:val="es-CL"/>
        </w:rPr>
      </w:pPr>
      <w:r w:rsidRPr="001709B2">
        <w:rPr>
          <w:rFonts w:ascii="Arial" w:hAnsi="Arial" w:cs="Arial"/>
          <w:bCs/>
          <w:sz w:val="22"/>
          <w:szCs w:val="22"/>
          <w:lang w:val="es-CL"/>
        </w:rPr>
        <w:t xml:space="preserve">2. </w:t>
      </w:r>
      <w:r w:rsidRPr="001709B2">
        <w:rPr>
          <w:rFonts w:ascii="Arial" w:hAnsi="Arial" w:cs="Arial"/>
          <w:bCs/>
          <w:sz w:val="22"/>
          <w:szCs w:val="22"/>
          <w:u w:val="single"/>
          <w:lang w:val="es-CL"/>
        </w:rPr>
        <w:t>Impacto de otras obligaciones del Tratado</w:t>
      </w:r>
      <w:r w:rsidRPr="001709B2">
        <w:rPr>
          <w:rFonts w:ascii="Arial" w:hAnsi="Arial" w:cs="Arial"/>
          <w:bCs/>
          <w:sz w:val="22"/>
          <w:szCs w:val="22"/>
          <w:lang w:val="es-CL"/>
        </w:rPr>
        <w:t>:</w:t>
      </w:r>
    </w:p>
    <w:p w:rsidR="00A97E1E" w:rsidRPr="001709B2" w:rsidRDefault="001709B2" w:rsidP="001709B2">
      <w:pPr>
        <w:pStyle w:val="Textoindependiente"/>
        <w:tabs>
          <w:tab w:val="left" w:pos="1134"/>
          <w:tab w:val="left" w:pos="1560"/>
          <w:tab w:val="left" w:pos="1843"/>
        </w:tabs>
        <w:spacing w:before="120" w:line="276" w:lineRule="auto"/>
        <w:ind w:firstLine="1701"/>
        <w:jc w:val="both"/>
        <w:rPr>
          <w:rFonts w:ascii="Arial" w:hAnsi="Arial" w:cs="Arial"/>
          <w:sz w:val="22"/>
          <w:szCs w:val="22"/>
          <w:lang w:val="es-CL"/>
        </w:rPr>
      </w:pPr>
      <w:r>
        <w:rPr>
          <w:rFonts w:ascii="Arial" w:hAnsi="Arial" w:cs="Arial"/>
          <w:bCs/>
          <w:sz w:val="22"/>
          <w:szCs w:val="22"/>
          <w:lang w:val="es-CL"/>
        </w:rPr>
        <w:t>-</w:t>
      </w:r>
      <w:r w:rsidR="00A97E1E" w:rsidRPr="001709B2">
        <w:rPr>
          <w:rFonts w:ascii="Arial" w:hAnsi="Arial" w:cs="Arial"/>
          <w:bCs/>
          <w:sz w:val="22"/>
          <w:szCs w:val="22"/>
          <w:lang w:val="es-CL"/>
        </w:rPr>
        <w:t>Aplicación en el plano nacional</w:t>
      </w:r>
    </w:p>
    <w:p w:rsidR="00A97E1E" w:rsidRPr="001709B2" w:rsidRDefault="00A97E1E" w:rsidP="008F70F6">
      <w:pPr>
        <w:pStyle w:val="Textoindependiente"/>
        <w:spacing w:before="120" w:line="276" w:lineRule="auto"/>
        <w:ind w:firstLine="1701"/>
        <w:jc w:val="both"/>
        <w:rPr>
          <w:rFonts w:ascii="Arial" w:hAnsi="Arial" w:cs="Arial"/>
          <w:sz w:val="22"/>
          <w:szCs w:val="22"/>
          <w:lang w:val="es-CL"/>
        </w:rPr>
      </w:pPr>
      <w:r w:rsidRPr="001709B2">
        <w:rPr>
          <w:rFonts w:ascii="Arial" w:hAnsi="Arial" w:cs="Arial"/>
          <w:sz w:val="22"/>
          <w:szCs w:val="22"/>
          <w:lang w:val="es-CL"/>
        </w:rPr>
        <w:t xml:space="preserve">Chile es un estado no poseedor de armas nucleares, de dispositivos explosivos nucleares ni de programas industriales de esta índole. En este sentido, las obligaciones derivadas de la aplicación en el plano nacional se refieren a la adaptación de la legislación nacional para incluir sanciones penales y adoptar normas de conducta militar (y policial) para que aquellos estados poseedores de armas nucleares den cumplimiento al Tratado. Por lo anterior, </w:t>
      </w:r>
      <w:r w:rsidRPr="001709B2">
        <w:rPr>
          <w:rFonts w:ascii="Arial" w:hAnsi="Arial" w:cs="Arial"/>
          <w:bCs/>
          <w:sz w:val="22"/>
          <w:szCs w:val="22"/>
          <w:lang w:val="es-CL"/>
        </w:rPr>
        <w:t>esta medida no implica ninguna obligación financiera para nuestro país</w:t>
      </w:r>
      <w:r w:rsidRPr="001709B2">
        <w:rPr>
          <w:rFonts w:ascii="Arial" w:hAnsi="Arial" w:cs="Arial"/>
          <w:sz w:val="22"/>
          <w:szCs w:val="22"/>
          <w:lang w:val="es-CL"/>
        </w:rPr>
        <w:t>.</w:t>
      </w:r>
    </w:p>
    <w:p w:rsidR="00A97E1E" w:rsidRPr="001709B2" w:rsidRDefault="00A97E1E" w:rsidP="008F70F6">
      <w:pPr>
        <w:pStyle w:val="Textoindependiente"/>
        <w:tabs>
          <w:tab w:val="left" w:pos="1134"/>
          <w:tab w:val="left" w:pos="1560"/>
          <w:tab w:val="left" w:pos="1843"/>
        </w:tabs>
        <w:spacing w:before="120" w:line="276" w:lineRule="auto"/>
        <w:ind w:firstLine="1701"/>
        <w:jc w:val="both"/>
        <w:rPr>
          <w:rFonts w:ascii="Arial" w:hAnsi="Arial" w:cs="Arial"/>
          <w:bCs/>
          <w:sz w:val="22"/>
          <w:szCs w:val="22"/>
          <w:lang w:val="es-CL"/>
        </w:rPr>
      </w:pPr>
      <w:r w:rsidRPr="001709B2">
        <w:rPr>
          <w:rFonts w:ascii="Arial" w:hAnsi="Arial" w:cs="Arial"/>
          <w:sz w:val="22"/>
          <w:szCs w:val="22"/>
          <w:lang w:val="es-CL"/>
        </w:rPr>
        <w:tab/>
      </w:r>
      <w:r w:rsidR="001709B2">
        <w:rPr>
          <w:rFonts w:ascii="Arial" w:hAnsi="Arial" w:cs="Arial"/>
          <w:sz w:val="22"/>
          <w:szCs w:val="22"/>
          <w:lang w:val="es-CL"/>
        </w:rPr>
        <w:t>-</w:t>
      </w:r>
      <w:r w:rsidRPr="001709B2">
        <w:rPr>
          <w:rFonts w:ascii="Arial" w:hAnsi="Arial" w:cs="Arial"/>
          <w:bCs/>
          <w:sz w:val="22"/>
          <w:szCs w:val="22"/>
          <w:lang w:val="es-CL"/>
        </w:rPr>
        <w:t>Asistencia por el uso o ensayo de armas nucleares y restauración del medio ambiente en las zonas contaminadas</w:t>
      </w:r>
    </w:p>
    <w:p w:rsidR="00A97E1E" w:rsidRPr="001709B2" w:rsidRDefault="00A97E1E" w:rsidP="008F70F6">
      <w:pPr>
        <w:pStyle w:val="Textoindependiente"/>
        <w:spacing w:before="120" w:line="276" w:lineRule="auto"/>
        <w:ind w:firstLine="1701"/>
        <w:jc w:val="both"/>
        <w:rPr>
          <w:rFonts w:ascii="Arial" w:hAnsi="Arial" w:cs="Arial"/>
          <w:sz w:val="22"/>
          <w:szCs w:val="22"/>
          <w:lang w:val="es-CL"/>
        </w:rPr>
      </w:pPr>
      <w:r w:rsidRPr="001709B2">
        <w:rPr>
          <w:rFonts w:ascii="Arial" w:hAnsi="Arial" w:cs="Arial"/>
          <w:sz w:val="22"/>
          <w:szCs w:val="22"/>
          <w:lang w:val="es-CL"/>
        </w:rPr>
        <w:t xml:space="preserve">La obligación relativa a proporcionar asistencia a las víctimas y la remediación ambiental para las personas y las áreas bajo su control es entendida como acciones a proporcionar asistencia o remediación dentro de sus capacidades, por lo que </w:t>
      </w:r>
      <w:r w:rsidRPr="001709B2">
        <w:rPr>
          <w:rFonts w:ascii="Arial" w:hAnsi="Arial" w:cs="Arial"/>
          <w:bCs/>
          <w:sz w:val="22"/>
          <w:szCs w:val="22"/>
          <w:lang w:val="es-CL"/>
        </w:rPr>
        <w:t>esta obligación no irroga un mayor gasto fiscal</w:t>
      </w:r>
      <w:r w:rsidRPr="001709B2">
        <w:rPr>
          <w:rFonts w:ascii="Arial" w:hAnsi="Arial" w:cs="Arial"/>
          <w:sz w:val="22"/>
          <w:szCs w:val="22"/>
          <w:lang w:val="es-CL"/>
        </w:rPr>
        <w:t xml:space="preserve">. </w:t>
      </w:r>
    </w:p>
    <w:p w:rsidR="001709B2" w:rsidRDefault="001709B2" w:rsidP="008F70F6">
      <w:pPr>
        <w:pStyle w:val="Textoindependiente"/>
        <w:tabs>
          <w:tab w:val="left" w:pos="1134"/>
          <w:tab w:val="left" w:pos="1560"/>
          <w:tab w:val="left" w:pos="1843"/>
        </w:tabs>
        <w:spacing w:before="120" w:line="276" w:lineRule="auto"/>
        <w:ind w:firstLine="1701"/>
        <w:jc w:val="both"/>
        <w:rPr>
          <w:rFonts w:ascii="Arial" w:hAnsi="Arial" w:cs="Arial"/>
          <w:bCs/>
          <w:sz w:val="22"/>
          <w:szCs w:val="22"/>
          <w:lang w:val="es-CL"/>
        </w:rPr>
      </w:pPr>
    </w:p>
    <w:p w:rsidR="00A97E1E" w:rsidRPr="001709B2" w:rsidRDefault="00A97E1E" w:rsidP="008F70F6">
      <w:pPr>
        <w:pStyle w:val="Textoindependiente"/>
        <w:tabs>
          <w:tab w:val="left" w:pos="1134"/>
          <w:tab w:val="left" w:pos="1560"/>
          <w:tab w:val="left" w:pos="1843"/>
        </w:tabs>
        <w:spacing w:before="120" w:line="276" w:lineRule="auto"/>
        <w:ind w:firstLine="1701"/>
        <w:jc w:val="both"/>
        <w:rPr>
          <w:rFonts w:ascii="Arial" w:hAnsi="Arial" w:cs="Arial"/>
          <w:bCs/>
          <w:sz w:val="22"/>
          <w:szCs w:val="22"/>
          <w:u w:val="single"/>
          <w:lang w:val="es-CL"/>
        </w:rPr>
      </w:pPr>
      <w:r w:rsidRPr="001709B2">
        <w:rPr>
          <w:rFonts w:ascii="Arial" w:hAnsi="Arial" w:cs="Arial"/>
          <w:bCs/>
          <w:sz w:val="22"/>
          <w:szCs w:val="22"/>
          <w:lang w:val="es-CL"/>
        </w:rPr>
        <w:t>3.</w:t>
      </w:r>
      <w:r w:rsidR="001709B2">
        <w:rPr>
          <w:rFonts w:ascii="Arial" w:hAnsi="Arial" w:cs="Arial"/>
          <w:bCs/>
          <w:sz w:val="22"/>
          <w:szCs w:val="22"/>
          <w:lang w:val="es-CL"/>
        </w:rPr>
        <w:t xml:space="preserve"> </w:t>
      </w:r>
      <w:r w:rsidRPr="001709B2">
        <w:rPr>
          <w:rFonts w:ascii="Arial" w:hAnsi="Arial" w:cs="Arial"/>
          <w:bCs/>
          <w:sz w:val="22"/>
          <w:szCs w:val="22"/>
          <w:u w:val="single"/>
          <w:lang w:val="es-CL"/>
        </w:rPr>
        <w:t>Cooperación y asistencia internacional</w:t>
      </w:r>
    </w:p>
    <w:p w:rsidR="00A97E1E" w:rsidRPr="001709B2" w:rsidRDefault="00A97E1E" w:rsidP="008F70F6">
      <w:pPr>
        <w:pStyle w:val="Textoindependiente"/>
        <w:spacing w:before="120" w:line="276" w:lineRule="auto"/>
        <w:ind w:firstLine="1701"/>
        <w:jc w:val="both"/>
        <w:rPr>
          <w:rFonts w:ascii="Arial" w:hAnsi="Arial" w:cs="Arial"/>
          <w:sz w:val="22"/>
          <w:szCs w:val="22"/>
          <w:lang w:val="es-CL"/>
        </w:rPr>
      </w:pPr>
      <w:r w:rsidRPr="001709B2">
        <w:rPr>
          <w:rFonts w:ascii="Arial" w:hAnsi="Arial" w:cs="Arial"/>
          <w:sz w:val="22"/>
          <w:szCs w:val="22"/>
          <w:lang w:val="es-CL"/>
        </w:rPr>
        <w:t>En términos de cumplimiento de esta disposición, se prevé que funcione de la misma manera que lo hacen disposiciones similares bajo otros tratados de desarme (Convención sobre Armas en Racimo, Tratado de Comercio de Armas, Convención de Armas Biológicas), es decir, como una medida voluntaria en virtud del cual los Estados Partes deciden colaborar para alcanzar los objetivos del Tratado.</w:t>
      </w:r>
    </w:p>
    <w:p w:rsidR="001709B2" w:rsidRPr="00865262" w:rsidRDefault="00865262" w:rsidP="008F70F6">
      <w:pPr>
        <w:pStyle w:val="Textoindependiente"/>
        <w:spacing w:before="120" w:line="276" w:lineRule="auto"/>
        <w:ind w:firstLine="1701"/>
        <w:jc w:val="both"/>
        <w:rPr>
          <w:rFonts w:ascii="Arial" w:hAnsi="Arial" w:cs="Arial"/>
          <w:b/>
          <w:sz w:val="22"/>
          <w:szCs w:val="22"/>
          <w:lang w:val="es-CL"/>
        </w:rPr>
      </w:pPr>
      <w:r w:rsidRPr="00865262">
        <w:rPr>
          <w:rFonts w:ascii="Arial" w:hAnsi="Arial" w:cs="Arial"/>
          <w:b/>
          <w:sz w:val="22"/>
          <w:szCs w:val="22"/>
          <w:lang w:val="es-CL"/>
        </w:rPr>
        <w:t>Fuente de los recursos</w:t>
      </w:r>
    </w:p>
    <w:p w:rsidR="00A97E1E" w:rsidRPr="00800E94" w:rsidRDefault="00A97E1E" w:rsidP="008F70F6">
      <w:pPr>
        <w:pStyle w:val="Textoindependiente"/>
        <w:spacing w:before="120" w:line="276" w:lineRule="auto"/>
        <w:ind w:firstLine="1701"/>
        <w:jc w:val="both"/>
        <w:rPr>
          <w:rFonts w:ascii="Verdana" w:hAnsi="Verdana" w:cs="Arial"/>
          <w:lang w:val="es-CL"/>
        </w:rPr>
      </w:pPr>
      <w:r w:rsidRPr="001709B2">
        <w:rPr>
          <w:rFonts w:ascii="Arial" w:hAnsi="Arial" w:cs="Arial"/>
          <w:sz w:val="22"/>
          <w:szCs w:val="22"/>
          <w:lang w:val="es-CL"/>
        </w:rPr>
        <w:t>El mayor gasto fiscal durante el primer año presupuestario de su vigencia se financiará con cargo al presupuesto del Ministerio de Relaciones Exteriores. En los años siguientes se financiará con los recursos que se establezcan en las respectivas leyes de Presupuestos del Sector Público</w:t>
      </w:r>
      <w:r w:rsidRPr="00800E94">
        <w:rPr>
          <w:rFonts w:ascii="Verdana" w:hAnsi="Verdana" w:cs="Arial"/>
          <w:lang w:val="es-CL"/>
        </w:rPr>
        <w:t>.</w:t>
      </w:r>
    </w:p>
    <w:p w:rsidR="00A97E1E" w:rsidRDefault="00A97E1E" w:rsidP="003313AC">
      <w:pPr>
        <w:spacing w:line="276" w:lineRule="auto"/>
        <w:jc w:val="both"/>
        <w:rPr>
          <w:rFonts w:ascii="Arial" w:hAnsi="Arial" w:cs="Arial"/>
          <w:b/>
          <w:sz w:val="22"/>
          <w:szCs w:val="22"/>
        </w:rPr>
      </w:pPr>
    </w:p>
    <w:p w:rsidR="003313AC" w:rsidRDefault="003313AC" w:rsidP="003313AC">
      <w:pPr>
        <w:spacing w:line="276" w:lineRule="auto"/>
        <w:jc w:val="both"/>
        <w:rPr>
          <w:rFonts w:ascii="Arial" w:hAnsi="Arial" w:cs="Arial"/>
          <w:b/>
          <w:sz w:val="22"/>
          <w:szCs w:val="22"/>
        </w:rPr>
      </w:pPr>
      <w:r>
        <w:rPr>
          <w:rFonts w:ascii="Arial" w:hAnsi="Arial" w:cs="Arial"/>
          <w:b/>
          <w:sz w:val="22"/>
          <w:szCs w:val="22"/>
        </w:rPr>
        <w:t>IV.- ACUERDOS ADOPTADOS</w:t>
      </w:r>
    </w:p>
    <w:p w:rsidR="00865262" w:rsidRDefault="003313AC" w:rsidP="00865262">
      <w:pPr>
        <w:spacing w:before="100" w:beforeAutospacing="1" w:line="276" w:lineRule="auto"/>
        <w:ind w:firstLine="1701"/>
        <w:jc w:val="both"/>
        <w:rPr>
          <w:rFonts w:ascii="Arial" w:hAnsi="Arial" w:cs="Arial"/>
          <w:color w:val="000000"/>
          <w:sz w:val="22"/>
          <w:szCs w:val="22"/>
          <w:lang w:val="es-ES"/>
        </w:rPr>
      </w:pPr>
      <w:r w:rsidRPr="00865262">
        <w:rPr>
          <w:rFonts w:ascii="Arial" w:hAnsi="Arial" w:cs="Arial"/>
          <w:sz w:val="22"/>
          <w:szCs w:val="22"/>
        </w:rPr>
        <w:t xml:space="preserve">Previo a la votación, la Comisión recibió </w:t>
      </w:r>
      <w:r w:rsidR="00865262" w:rsidRPr="00865262">
        <w:rPr>
          <w:rFonts w:ascii="Arial" w:hAnsi="Arial" w:cs="Arial"/>
          <w:color w:val="000000"/>
          <w:sz w:val="22"/>
          <w:szCs w:val="22"/>
          <w:lang w:val="es-ES"/>
        </w:rPr>
        <w:t xml:space="preserve">al señor Franco </w:t>
      </w:r>
      <w:proofErr w:type="spellStart"/>
      <w:r w:rsidR="00865262" w:rsidRPr="00865262">
        <w:rPr>
          <w:rFonts w:ascii="Arial" w:hAnsi="Arial" w:cs="Arial"/>
          <w:color w:val="000000"/>
          <w:sz w:val="22"/>
          <w:szCs w:val="22"/>
          <w:lang w:val="es-ES"/>
        </w:rPr>
        <w:t>Devillaine</w:t>
      </w:r>
      <w:proofErr w:type="spellEnd"/>
      <w:r w:rsidR="00865262" w:rsidRPr="00865262">
        <w:rPr>
          <w:rFonts w:ascii="Arial" w:hAnsi="Arial" w:cs="Arial"/>
          <w:color w:val="000000"/>
          <w:sz w:val="22"/>
          <w:szCs w:val="22"/>
          <w:lang w:val="es-ES"/>
        </w:rPr>
        <w:t xml:space="preserve"> Gómez, Director Jurídico de la Cancillería. </w:t>
      </w:r>
    </w:p>
    <w:p w:rsidR="00865262" w:rsidRPr="00865262" w:rsidRDefault="00865262" w:rsidP="00865262">
      <w:pPr>
        <w:spacing w:before="100" w:beforeAutospacing="1" w:line="276" w:lineRule="auto"/>
        <w:ind w:firstLine="1701"/>
        <w:jc w:val="both"/>
        <w:rPr>
          <w:rFonts w:ascii="Times New Roman" w:hAnsi="Times New Roman"/>
          <w:color w:val="000000"/>
          <w:sz w:val="22"/>
          <w:szCs w:val="22"/>
          <w:lang w:val="es-CL" w:eastAsia="es-CL"/>
        </w:rPr>
      </w:pPr>
      <w:r w:rsidRPr="00865262">
        <w:rPr>
          <w:rFonts w:ascii="Arial" w:hAnsi="Arial" w:cs="Arial"/>
          <w:color w:val="000000"/>
          <w:sz w:val="22"/>
          <w:szCs w:val="22"/>
          <w:lang w:val="es-ES"/>
        </w:rPr>
        <w:t xml:space="preserve">Explicó que los principales gastos asociados a este tratado internacional se comienzan a irrogar para los Estados Parte una vez que entra en vigor, cuestión que ya ha ocurrido en enero de este año, tras la ratificación de más de 50 países, lo que constituye el hito que marca su vigencia. </w:t>
      </w:r>
    </w:p>
    <w:p w:rsidR="00865262" w:rsidRPr="00865262" w:rsidRDefault="00865262" w:rsidP="00865262">
      <w:pPr>
        <w:spacing w:before="100" w:beforeAutospacing="1" w:line="276" w:lineRule="auto"/>
        <w:ind w:firstLine="1701"/>
        <w:jc w:val="both"/>
        <w:rPr>
          <w:color w:val="000000"/>
          <w:sz w:val="22"/>
          <w:szCs w:val="22"/>
        </w:rPr>
      </w:pPr>
      <w:r w:rsidRPr="00865262">
        <w:rPr>
          <w:rFonts w:ascii="Arial" w:hAnsi="Arial" w:cs="Arial"/>
          <w:color w:val="000000"/>
          <w:sz w:val="22"/>
          <w:szCs w:val="22"/>
          <w:lang w:val="es-ES"/>
        </w:rPr>
        <w:t xml:space="preserve">En lo que respecta al efecto fiscal del tratado, los costos que podría irrogar la ratificación del mismo se originan a partir de tres fuentes: 1) Las reuniones ordinarias de los Estados Parte, las conferencias de revisión y las reuniones extraordinarias; 2) Los costos en que incurra el Secretario General de las Naciones Unidas para distribuir las declaraciones previstas en el artículo 2, los informes previstos en el artículo 4 y las propuestas de enmienda del artículo 10; y 3) Los costos relacionados con la aplicación de las medidas de verificación exigidas por el artículo 4. </w:t>
      </w:r>
    </w:p>
    <w:p w:rsidR="00865262" w:rsidRPr="00865262" w:rsidRDefault="00865262" w:rsidP="00865262">
      <w:pPr>
        <w:spacing w:before="100" w:beforeAutospacing="1"/>
        <w:ind w:firstLine="1701"/>
        <w:jc w:val="both"/>
        <w:rPr>
          <w:b/>
          <w:color w:val="000000"/>
          <w:sz w:val="22"/>
          <w:szCs w:val="22"/>
        </w:rPr>
      </w:pPr>
      <w:r w:rsidRPr="00865262">
        <w:rPr>
          <w:rFonts w:ascii="Arial" w:hAnsi="Arial" w:cs="Arial"/>
          <w:b/>
          <w:color w:val="000000"/>
          <w:sz w:val="22"/>
          <w:szCs w:val="22"/>
          <w:lang w:val="es-ES"/>
        </w:rPr>
        <w:t> </w:t>
      </w:r>
      <w:r w:rsidRPr="00865262">
        <w:rPr>
          <w:rFonts w:ascii="Arial" w:hAnsi="Arial" w:cs="Arial"/>
          <w:b/>
          <w:color w:val="000000"/>
          <w:sz w:val="22"/>
          <w:szCs w:val="22"/>
          <w:lang w:val="es-ES"/>
        </w:rPr>
        <w:t>Votación</w:t>
      </w:r>
    </w:p>
    <w:p w:rsidR="008F70F6" w:rsidRDefault="00994538" w:rsidP="00994538">
      <w:pPr>
        <w:tabs>
          <w:tab w:val="left" w:pos="-284"/>
          <w:tab w:val="left" w:pos="0"/>
          <w:tab w:val="left" w:pos="851"/>
        </w:tabs>
        <w:spacing w:line="276" w:lineRule="auto"/>
        <w:ind w:right="51" w:firstLine="1701"/>
        <w:jc w:val="both"/>
        <w:rPr>
          <w:rFonts w:ascii="Arial" w:hAnsi="Arial" w:cs="Arial"/>
          <w:sz w:val="22"/>
          <w:szCs w:val="22"/>
        </w:rPr>
      </w:pPr>
      <w:r w:rsidRPr="00BF51DA">
        <w:rPr>
          <w:rFonts w:ascii="Arial" w:hAnsi="Arial" w:cs="Arial"/>
          <w:sz w:val="22"/>
          <w:szCs w:val="22"/>
        </w:rPr>
        <w:t xml:space="preserve">La Comisión, en definitiva, compartió los contenidos del proyecto de acuerdo sometido a consideración concordando sus integrantes </w:t>
      </w:r>
      <w:r w:rsidR="00A97E1E">
        <w:rPr>
          <w:rFonts w:ascii="Arial" w:hAnsi="Arial" w:cs="Arial"/>
          <w:sz w:val="22"/>
          <w:szCs w:val="22"/>
        </w:rPr>
        <w:t xml:space="preserve">con </w:t>
      </w:r>
      <w:r w:rsidRPr="00BF51DA">
        <w:rPr>
          <w:rFonts w:ascii="Arial" w:hAnsi="Arial" w:cs="Arial"/>
          <w:sz w:val="22"/>
          <w:szCs w:val="22"/>
        </w:rPr>
        <w:t>la</w:t>
      </w:r>
      <w:r>
        <w:rPr>
          <w:rFonts w:ascii="Arial" w:hAnsi="Arial" w:cs="Arial"/>
          <w:sz w:val="22"/>
          <w:szCs w:val="22"/>
        </w:rPr>
        <w:t>s razones esgrimidas en la idea matriz del proyecto</w:t>
      </w:r>
      <w:r w:rsidR="008F70F6">
        <w:rPr>
          <w:rFonts w:ascii="Arial" w:hAnsi="Arial" w:cs="Arial"/>
          <w:sz w:val="22"/>
          <w:szCs w:val="22"/>
        </w:rPr>
        <w:t>.</w:t>
      </w:r>
    </w:p>
    <w:p w:rsidR="008F70F6" w:rsidRDefault="008F70F6" w:rsidP="00994538">
      <w:pPr>
        <w:tabs>
          <w:tab w:val="left" w:pos="-284"/>
          <w:tab w:val="left" w:pos="0"/>
          <w:tab w:val="left" w:pos="851"/>
        </w:tabs>
        <w:spacing w:line="276" w:lineRule="auto"/>
        <w:ind w:right="51" w:firstLine="1701"/>
        <w:jc w:val="both"/>
        <w:rPr>
          <w:rFonts w:ascii="Arial" w:hAnsi="Arial" w:cs="Arial"/>
          <w:sz w:val="22"/>
          <w:szCs w:val="22"/>
        </w:rPr>
      </w:pPr>
      <w:r>
        <w:rPr>
          <w:rFonts w:ascii="Arial" w:hAnsi="Arial" w:cs="Arial"/>
          <w:sz w:val="22"/>
          <w:szCs w:val="22"/>
        </w:rPr>
        <w:t>Texto sometido a votación:</w:t>
      </w:r>
    </w:p>
    <w:p w:rsidR="008F70F6" w:rsidRDefault="008F70F6" w:rsidP="008F70F6">
      <w:pPr>
        <w:tabs>
          <w:tab w:val="left" w:pos="709"/>
        </w:tabs>
        <w:ind w:right="-1" w:firstLine="1701"/>
        <w:jc w:val="both"/>
        <w:rPr>
          <w:rFonts w:ascii="Arial" w:hAnsi="Arial" w:cs="Arial"/>
          <w:iCs/>
          <w:sz w:val="24"/>
          <w:szCs w:val="24"/>
        </w:rPr>
      </w:pPr>
    </w:p>
    <w:p w:rsidR="008F70F6" w:rsidRPr="008F70F6" w:rsidRDefault="008F70F6" w:rsidP="008F70F6">
      <w:pPr>
        <w:tabs>
          <w:tab w:val="left" w:pos="709"/>
        </w:tabs>
        <w:ind w:right="-1" w:firstLine="1701"/>
        <w:jc w:val="both"/>
        <w:rPr>
          <w:rFonts w:ascii="Arial" w:hAnsi="Arial" w:cs="Arial"/>
          <w:sz w:val="24"/>
          <w:szCs w:val="24"/>
        </w:rPr>
      </w:pPr>
      <w:r>
        <w:rPr>
          <w:rFonts w:ascii="Arial" w:hAnsi="Arial" w:cs="Arial"/>
          <w:iCs/>
          <w:sz w:val="24"/>
          <w:szCs w:val="24"/>
        </w:rPr>
        <w:t>“</w:t>
      </w:r>
      <w:r w:rsidRPr="008F70F6">
        <w:rPr>
          <w:rFonts w:ascii="Arial" w:hAnsi="Arial" w:cs="Arial"/>
          <w:iCs/>
          <w:sz w:val="24"/>
          <w:szCs w:val="24"/>
        </w:rPr>
        <w:t>Artículo único.-</w:t>
      </w:r>
      <w:r w:rsidRPr="008F70F6">
        <w:rPr>
          <w:rFonts w:ascii="Arial" w:hAnsi="Arial" w:cs="Arial"/>
          <w:bCs/>
          <w:iCs/>
          <w:sz w:val="24"/>
          <w:szCs w:val="24"/>
        </w:rPr>
        <w:t xml:space="preserve"> </w:t>
      </w:r>
      <w:proofErr w:type="spellStart"/>
      <w:r w:rsidRPr="008F70F6">
        <w:rPr>
          <w:rFonts w:ascii="Arial" w:hAnsi="Arial" w:cs="Arial"/>
          <w:iCs/>
          <w:sz w:val="24"/>
          <w:szCs w:val="24"/>
        </w:rPr>
        <w:t>Apruébase</w:t>
      </w:r>
      <w:proofErr w:type="spellEnd"/>
      <w:r w:rsidRPr="008F70F6">
        <w:rPr>
          <w:rFonts w:ascii="Arial" w:hAnsi="Arial" w:cs="Arial"/>
          <w:iCs/>
          <w:sz w:val="24"/>
          <w:szCs w:val="24"/>
        </w:rPr>
        <w:t xml:space="preserve"> el </w:t>
      </w:r>
      <w:r w:rsidRPr="008F70F6">
        <w:rPr>
          <w:rFonts w:ascii="Arial" w:hAnsi="Arial" w:cs="Arial"/>
          <w:sz w:val="24"/>
          <w:szCs w:val="24"/>
        </w:rPr>
        <w:t xml:space="preserve">“Tratado sobre la Prohibición de las Armas Nucleares”, </w:t>
      </w:r>
      <w:r w:rsidRPr="008F70F6">
        <w:rPr>
          <w:rFonts w:ascii="Arial" w:hAnsi="Arial" w:cs="Arial"/>
          <w:sz w:val="24"/>
          <w:szCs w:val="24"/>
          <w:lang w:val="es-MX"/>
        </w:rPr>
        <w:t xml:space="preserve">adoptado </w:t>
      </w:r>
      <w:r w:rsidRPr="008F70F6">
        <w:rPr>
          <w:rFonts w:ascii="Arial" w:hAnsi="Arial" w:cs="Arial"/>
          <w:sz w:val="24"/>
          <w:szCs w:val="24"/>
        </w:rPr>
        <w:t>en Nueva York, el 7 de julio de 2017”.</w:t>
      </w:r>
    </w:p>
    <w:p w:rsidR="00994538" w:rsidRDefault="00994538" w:rsidP="00994538">
      <w:pPr>
        <w:tabs>
          <w:tab w:val="left" w:pos="-284"/>
          <w:tab w:val="left" w:pos="0"/>
          <w:tab w:val="left" w:pos="851"/>
        </w:tabs>
        <w:spacing w:line="276" w:lineRule="auto"/>
        <w:ind w:right="51" w:firstLine="1701"/>
        <w:jc w:val="both"/>
        <w:rPr>
          <w:rFonts w:ascii="Arial" w:hAnsi="Arial" w:cs="Arial"/>
          <w:sz w:val="22"/>
          <w:szCs w:val="22"/>
        </w:rPr>
      </w:pPr>
      <w:r>
        <w:rPr>
          <w:rFonts w:ascii="Arial" w:hAnsi="Arial" w:cs="Arial"/>
          <w:sz w:val="22"/>
          <w:szCs w:val="22"/>
        </w:rPr>
        <w:t xml:space="preserve"> </w:t>
      </w:r>
    </w:p>
    <w:p w:rsidR="00EF5FFF" w:rsidRDefault="00EF5FFF" w:rsidP="00EF5FFF">
      <w:pPr>
        <w:spacing w:line="276" w:lineRule="auto"/>
        <w:ind w:firstLine="1701"/>
        <w:jc w:val="both"/>
        <w:rPr>
          <w:rFonts w:ascii="Arial" w:hAnsi="Arial" w:cs="Arial"/>
          <w:sz w:val="22"/>
          <w:szCs w:val="22"/>
          <w:lang w:val="es-CL"/>
        </w:rPr>
      </w:pPr>
    </w:p>
    <w:p w:rsidR="00EF5FFF" w:rsidRPr="004C009D" w:rsidRDefault="00EF5FFF" w:rsidP="00EF5FFF">
      <w:pPr>
        <w:spacing w:line="276" w:lineRule="auto"/>
        <w:ind w:firstLine="1701"/>
        <w:jc w:val="both"/>
        <w:rPr>
          <w:rFonts w:ascii="Arial" w:hAnsi="Arial" w:cs="Arial"/>
          <w:sz w:val="22"/>
          <w:szCs w:val="22"/>
          <w:lang w:val="es-CL"/>
        </w:rPr>
      </w:pPr>
      <w:r w:rsidRPr="004C009D">
        <w:rPr>
          <w:rFonts w:ascii="Arial" w:hAnsi="Arial" w:cs="Arial"/>
          <w:sz w:val="22"/>
          <w:szCs w:val="22"/>
          <w:lang w:val="es-CL"/>
        </w:rPr>
        <w:t>Puesto en votación el artículo único del proyecto de acuerdo, resultó aprobado</w:t>
      </w:r>
      <w:r w:rsidR="00865262">
        <w:rPr>
          <w:rFonts w:ascii="Arial" w:hAnsi="Arial" w:cs="Arial"/>
          <w:sz w:val="22"/>
          <w:szCs w:val="22"/>
          <w:lang w:val="es-CL"/>
        </w:rPr>
        <w:t xml:space="preserve">, en los mismos términos, </w:t>
      </w:r>
      <w:r w:rsidRPr="004C009D">
        <w:rPr>
          <w:rFonts w:ascii="Arial" w:hAnsi="Arial" w:cs="Arial"/>
          <w:sz w:val="22"/>
          <w:szCs w:val="22"/>
          <w:lang w:val="es-CL"/>
        </w:rPr>
        <w:t xml:space="preserve">por la unanimidad de los </w:t>
      </w:r>
      <w:r w:rsidR="00A97E1E">
        <w:rPr>
          <w:rFonts w:ascii="Arial" w:hAnsi="Arial" w:cs="Arial"/>
          <w:sz w:val="22"/>
          <w:szCs w:val="22"/>
          <w:lang w:val="es-CL"/>
        </w:rPr>
        <w:t xml:space="preserve">diez </w:t>
      </w:r>
      <w:r w:rsidRPr="004C009D">
        <w:rPr>
          <w:rFonts w:ascii="Arial" w:hAnsi="Arial" w:cs="Arial"/>
          <w:sz w:val="22"/>
          <w:szCs w:val="22"/>
          <w:lang w:val="es-CL"/>
        </w:rPr>
        <w:t>diputados</w:t>
      </w:r>
      <w:r w:rsidR="008F70F6">
        <w:rPr>
          <w:rFonts w:ascii="Arial" w:hAnsi="Arial" w:cs="Arial"/>
          <w:sz w:val="22"/>
          <w:szCs w:val="22"/>
          <w:lang w:val="es-CL"/>
        </w:rPr>
        <w:t xml:space="preserve"> (a)</w:t>
      </w:r>
      <w:r w:rsidRPr="004C009D">
        <w:rPr>
          <w:rFonts w:ascii="Arial" w:hAnsi="Arial" w:cs="Arial"/>
          <w:sz w:val="22"/>
          <w:szCs w:val="22"/>
          <w:lang w:val="es-CL"/>
        </w:rPr>
        <w:t xml:space="preserve"> presentes </w:t>
      </w:r>
      <w:r>
        <w:rPr>
          <w:rFonts w:ascii="Arial" w:hAnsi="Arial" w:cs="Arial"/>
          <w:sz w:val="22"/>
          <w:szCs w:val="22"/>
          <w:lang w:val="es-CL"/>
        </w:rPr>
        <w:t xml:space="preserve"> señora</w:t>
      </w:r>
      <w:r w:rsidRPr="004C009D">
        <w:rPr>
          <w:rFonts w:ascii="Arial" w:hAnsi="Arial" w:cs="Arial"/>
          <w:sz w:val="22"/>
          <w:szCs w:val="22"/>
          <w:lang w:val="es-CL"/>
        </w:rPr>
        <w:t xml:space="preserve"> Cid, </w:t>
      </w:r>
      <w:r w:rsidR="008F70F6">
        <w:rPr>
          <w:rFonts w:ascii="Arial" w:hAnsi="Arial" w:cs="Arial"/>
          <w:sz w:val="22"/>
          <w:szCs w:val="22"/>
          <w:lang w:val="es-CL"/>
        </w:rPr>
        <w:t xml:space="preserve">y señores Carter, </w:t>
      </w:r>
      <w:r w:rsidRPr="004C009D">
        <w:rPr>
          <w:rFonts w:ascii="Arial" w:hAnsi="Arial" w:cs="Arial"/>
          <w:sz w:val="22"/>
          <w:szCs w:val="22"/>
          <w:lang w:val="es-CL"/>
        </w:rPr>
        <w:t>Jackson, Lorenzini</w:t>
      </w:r>
      <w:r w:rsidR="008F70F6">
        <w:rPr>
          <w:rFonts w:ascii="Arial" w:hAnsi="Arial" w:cs="Arial"/>
          <w:sz w:val="22"/>
          <w:szCs w:val="22"/>
          <w:lang w:val="es-CL"/>
        </w:rPr>
        <w:t xml:space="preserve"> (Presidente)</w:t>
      </w:r>
      <w:r w:rsidR="00BB620D">
        <w:rPr>
          <w:rFonts w:ascii="Arial" w:hAnsi="Arial" w:cs="Arial"/>
          <w:sz w:val="22"/>
          <w:szCs w:val="22"/>
          <w:lang w:val="es-CL"/>
        </w:rPr>
        <w:t xml:space="preserve">, </w:t>
      </w:r>
      <w:r w:rsidRPr="004C009D">
        <w:rPr>
          <w:rFonts w:ascii="Arial" w:hAnsi="Arial" w:cs="Arial"/>
          <w:sz w:val="22"/>
          <w:szCs w:val="22"/>
          <w:lang w:val="es-CL"/>
        </w:rPr>
        <w:t xml:space="preserve">Ortiz, Pérez, </w:t>
      </w:r>
      <w:r w:rsidR="008F70F6">
        <w:rPr>
          <w:rFonts w:ascii="Arial" w:hAnsi="Arial" w:cs="Arial"/>
          <w:sz w:val="22"/>
          <w:szCs w:val="22"/>
          <w:lang w:val="es-CL"/>
        </w:rPr>
        <w:t xml:space="preserve">Ramírez, </w:t>
      </w:r>
      <w:r w:rsidRPr="004C009D">
        <w:rPr>
          <w:rFonts w:ascii="Arial" w:hAnsi="Arial" w:cs="Arial"/>
          <w:sz w:val="22"/>
          <w:szCs w:val="22"/>
          <w:lang w:val="es-CL"/>
        </w:rPr>
        <w:t xml:space="preserve">Santana, </w:t>
      </w:r>
      <w:r w:rsidR="00BB620D">
        <w:rPr>
          <w:rFonts w:ascii="Arial" w:hAnsi="Arial" w:cs="Arial"/>
          <w:sz w:val="22"/>
          <w:szCs w:val="22"/>
          <w:lang w:val="es-CL"/>
        </w:rPr>
        <w:t xml:space="preserve">Schilling, </w:t>
      </w:r>
      <w:r w:rsidRPr="004C009D">
        <w:rPr>
          <w:rFonts w:ascii="Arial" w:hAnsi="Arial" w:cs="Arial"/>
          <w:sz w:val="22"/>
          <w:szCs w:val="22"/>
          <w:lang w:val="es-CL"/>
        </w:rPr>
        <w:t xml:space="preserve">Sepúlveda y Von </w:t>
      </w:r>
      <w:proofErr w:type="spellStart"/>
      <w:r w:rsidRPr="004C009D">
        <w:rPr>
          <w:rFonts w:ascii="Arial" w:hAnsi="Arial" w:cs="Arial"/>
          <w:sz w:val="22"/>
          <w:szCs w:val="22"/>
          <w:lang w:val="es-CL"/>
        </w:rPr>
        <w:t>Mühlenbrock</w:t>
      </w:r>
      <w:proofErr w:type="spellEnd"/>
      <w:r w:rsidRPr="004C009D">
        <w:rPr>
          <w:rFonts w:ascii="Arial" w:hAnsi="Arial" w:cs="Arial"/>
          <w:sz w:val="22"/>
          <w:szCs w:val="22"/>
          <w:lang w:val="es-CL"/>
        </w:rPr>
        <w:t>.</w:t>
      </w:r>
    </w:p>
    <w:p w:rsidR="00EF5FFF" w:rsidRPr="004C009D" w:rsidRDefault="00EF5FFF" w:rsidP="00EF5FFF">
      <w:pPr>
        <w:spacing w:line="276" w:lineRule="auto"/>
        <w:ind w:firstLine="1701"/>
        <w:jc w:val="both"/>
        <w:rPr>
          <w:rFonts w:ascii="Arial" w:hAnsi="Arial" w:cs="Arial"/>
          <w:sz w:val="22"/>
          <w:szCs w:val="22"/>
          <w:lang w:val="es-CL"/>
        </w:rPr>
      </w:pPr>
    </w:p>
    <w:p w:rsidR="00994538" w:rsidRDefault="00994538" w:rsidP="00EF5FFF">
      <w:pPr>
        <w:tabs>
          <w:tab w:val="left" w:pos="-284"/>
          <w:tab w:val="left" w:pos="0"/>
          <w:tab w:val="left" w:pos="851"/>
        </w:tabs>
        <w:spacing w:line="276" w:lineRule="auto"/>
        <w:ind w:right="51" w:firstLine="1701"/>
        <w:jc w:val="both"/>
        <w:rPr>
          <w:rFonts w:ascii="Arial" w:hAnsi="Arial" w:cs="Arial"/>
          <w:spacing w:val="-3"/>
          <w:sz w:val="22"/>
          <w:szCs w:val="22"/>
          <w:lang w:val="es-CL" w:eastAsia="en-US" w:bidi="en-US"/>
        </w:rPr>
      </w:pPr>
    </w:p>
    <w:p w:rsidR="00994538" w:rsidRPr="00BF51DA" w:rsidRDefault="00994538" w:rsidP="00994538">
      <w:pPr>
        <w:tabs>
          <w:tab w:val="left" w:pos="2268"/>
        </w:tabs>
        <w:spacing w:after="200" w:line="276" w:lineRule="auto"/>
        <w:ind w:firstLine="1701"/>
        <w:jc w:val="both"/>
        <w:rPr>
          <w:rFonts w:ascii="Arial" w:hAnsi="Arial" w:cs="Arial"/>
          <w:spacing w:val="-3"/>
          <w:sz w:val="22"/>
          <w:szCs w:val="22"/>
          <w:lang w:val="es-CL" w:eastAsia="en-US" w:bidi="en-US"/>
        </w:rPr>
      </w:pPr>
      <w:r w:rsidRPr="00BF51DA">
        <w:rPr>
          <w:rFonts w:ascii="Arial" w:hAnsi="Arial" w:cs="Arial"/>
          <w:spacing w:val="-3"/>
          <w:sz w:val="22"/>
          <w:szCs w:val="22"/>
          <w:lang w:val="es-CL" w:eastAsia="en-US" w:bidi="en-US"/>
        </w:rPr>
        <w:t xml:space="preserve">Por las razones señaladas y consideraciones que expondrá el señor Diputado Informante, la Comisión de Hacienda recomienda aprobar el proyecto de acuerdo sometido a consideración, en los mismos términos </w:t>
      </w:r>
      <w:r>
        <w:rPr>
          <w:rFonts w:ascii="Arial" w:hAnsi="Arial" w:cs="Arial"/>
          <w:spacing w:val="-3"/>
          <w:sz w:val="22"/>
          <w:szCs w:val="22"/>
          <w:lang w:val="es-CL" w:eastAsia="en-US" w:bidi="en-US"/>
        </w:rPr>
        <w:t>pro</w:t>
      </w:r>
      <w:r w:rsidRPr="00BF51DA">
        <w:rPr>
          <w:rFonts w:ascii="Arial" w:hAnsi="Arial" w:cs="Arial"/>
          <w:spacing w:val="-3"/>
          <w:sz w:val="22"/>
          <w:szCs w:val="22"/>
          <w:lang w:val="es-CL" w:eastAsia="en-US" w:bidi="en-US"/>
        </w:rPr>
        <w:t>puestos por la Comisión Técnica</w:t>
      </w:r>
      <w:r>
        <w:rPr>
          <w:rFonts w:ascii="Arial" w:hAnsi="Arial" w:cs="Arial"/>
          <w:spacing w:val="-3"/>
          <w:sz w:val="22"/>
          <w:szCs w:val="22"/>
          <w:lang w:val="es-CL" w:eastAsia="en-US" w:bidi="en-US"/>
        </w:rPr>
        <w:t>.</w:t>
      </w:r>
    </w:p>
    <w:p w:rsidR="00994538" w:rsidRPr="00BF51DA" w:rsidRDefault="00994538" w:rsidP="00994538">
      <w:pPr>
        <w:tabs>
          <w:tab w:val="left" w:pos="2835"/>
        </w:tabs>
        <w:spacing w:before="240" w:after="240" w:line="276" w:lineRule="auto"/>
        <w:jc w:val="center"/>
        <w:rPr>
          <w:rFonts w:ascii="Arial" w:hAnsi="Arial" w:cs="Arial"/>
          <w:spacing w:val="-3"/>
          <w:sz w:val="22"/>
          <w:szCs w:val="22"/>
        </w:rPr>
      </w:pPr>
      <w:r w:rsidRPr="00BF51DA">
        <w:rPr>
          <w:rFonts w:ascii="Arial" w:hAnsi="Arial" w:cs="Arial"/>
          <w:sz w:val="22"/>
          <w:szCs w:val="22"/>
          <w:lang w:val="es-MX"/>
        </w:rPr>
        <w:t>*******</w:t>
      </w:r>
    </w:p>
    <w:p w:rsidR="000A52ED" w:rsidRPr="000A52ED" w:rsidRDefault="00994538" w:rsidP="000A52ED">
      <w:pPr>
        <w:spacing w:line="276" w:lineRule="auto"/>
        <w:ind w:firstLine="1701"/>
        <w:jc w:val="both"/>
        <w:rPr>
          <w:sz w:val="22"/>
          <w:szCs w:val="22"/>
        </w:rPr>
      </w:pPr>
      <w:r w:rsidRPr="000A52ED">
        <w:rPr>
          <w:rFonts w:ascii="Arial" w:hAnsi="Arial" w:cs="Arial"/>
          <w:sz w:val="22"/>
          <w:szCs w:val="22"/>
        </w:rPr>
        <w:t xml:space="preserve">Tratado y acordado en sesión celebrada el </w:t>
      </w:r>
      <w:r w:rsidR="000A52ED" w:rsidRPr="000A52ED">
        <w:rPr>
          <w:rFonts w:ascii="Arial" w:hAnsi="Arial" w:cs="Arial"/>
          <w:sz w:val="22"/>
          <w:szCs w:val="22"/>
        </w:rPr>
        <w:t xml:space="preserve"> </w:t>
      </w:r>
      <w:r w:rsidR="00A97E1E">
        <w:rPr>
          <w:rFonts w:ascii="Arial" w:hAnsi="Arial" w:cs="Arial"/>
          <w:sz w:val="22"/>
          <w:szCs w:val="22"/>
        </w:rPr>
        <w:t>23</w:t>
      </w:r>
      <w:r w:rsidR="00EF5FFF">
        <w:rPr>
          <w:rFonts w:ascii="Arial" w:hAnsi="Arial" w:cs="Arial"/>
          <w:sz w:val="22"/>
          <w:szCs w:val="22"/>
        </w:rPr>
        <w:t xml:space="preserve"> de </w:t>
      </w:r>
      <w:r w:rsidR="00A97E1E">
        <w:rPr>
          <w:rFonts w:ascii="Arial" w:hAnsi="Arial" w:cs="Arial"/>
          <w:sz w:val="22"/>
          <w:szCs w:val="22"/>
        </w:rPr>
        <w:t>junio</w:t>
      </w:r>
      <w:r w:rsidR="00EF5FFF">
        <w:rPr>
          <w:rFonts w:ascii="Arial" w:hAnsi="Arial" w:cs="Arial"/>
          <w:sz w:val="22"/>
          <w:szCs w:val="22"/>
        </w:rPr>
        <w:t xml:space="preserve"> del año en curso, </w:t>
      </w:r>
      <w:r w:rsidR="000A52ED" w:rsidRPr="000A52ED">
        <w:rPr>
          <w:rFonts w:ascii="Arial" w:hAnsi="Arial" w:cs="Arial"/>
          <w:sz w:val="22"/>
          <w:szCs w:val="22"/>
        </w:rPr>
        <w:t xml:space="preserve"> </w:t>
      </w:r>
      <w:r w:rsidRPr="000A52ED">
        <w:rPr>
          <w:rFonts w:ascii="Arial" w:hAnsi="Arial" w:cs="Arial"/>
          <w:sz w:val="22"/>
          <w:szCs w:val="22"/>
        </w:rPr>
        <w:t xml:space="preserve">con la asistencia de los diputados </w:t>
      </w:r>
      <w:r w:rsidR="000A52ED" w:rsidRPr="000A52ED">
        <w:rPr>
          <w:rFonts w:ascii="Arial" w:hAnsi="Arial" w:cs="Arial"/>
          <w:sz w:val="22"/>
          <w:szCs w:val="22"/>
        </w:rPr>
        <w:t xml:space="preserve">(a) señores (a), </w:t>
      </w:r>
      <w:r w:rsidR="008F70F6">
        <w:rPr>
          <w:rFonts w:ascii="Arial" w:hAnsi="Arial" w:cs="Arial"/>
          <w:sz w:val="22"/>
          <w:szCs w:val="22"/>
        </w:rPr>
        <w:t xml:space="preserve">Álvaro Carter Fernández, (en reemplazo del señor Javier Hernández Hernández), </w:t>
      </w:r>
      <w:r w:rsidR="000A52ED" w:rsidRPr="000A52ED">
        <w:rPr>
          <w:rFonts w:ascii="Arial" w:hAnsi="Arial" w:cs="Arial"/>
          <w:sz w:val="22"/>
          <w:szCs w:val="22"/>
        </w:rPr>
        <w:t xml:space="preserve">Sofía Cid </w:t>
      </w:r>
      <w:proofErr w:type="spellStart"/>
      <w:r w:rsidR="000A52ED" w:rsidRPr="000A52ED">
        <w:rPr>
          <w:rFonts w:ascii="Arial" w:hAnsi="Arial" w:cs="Arial"/>
          <w:sz w:val="22"/>
          <w:szCs w:val="22"/>
        </w:rPr>
        <w:t>Versálovic</w:t>
      </w:r>
      <w:proofErr w:type="spellEnd"/>
      <w:r w:rsidR="000A52ED" w:rsidRPr="000A52ED">
        <w:rPr>
          <w:rFonts w:ascii="Arial" w:hAnsi="Arial" w:cs="Arial"/>
          <w:sz w:val="22"/>
          <w:szCs w:val="22"/>
        </w:rPr>
        <w:t>, Giorgio Jackson Drago, Pablo Lorenzini Basso</w:t>
      </w:r>
      <w:r w:rsidR="008F70F6">
        <w:rPr>
          <w:rFonts w:ascii="Arial" w:hAnsi="Arial" w:cs="Arial"/>
          <w:sz w:val="22"/>
          <w:szCs w:val="22"/>
        </w:rPr>
        <w:t xml:space="preserve"> (Presidente)</w:t>
      </w:r>
      <w:r w:rsidR="000A52ED" w:rsidRPr="000A52ED">
        <w:rPr>
          <w:rFonts w:ascii="Arial" w:hAnsi="Arial" w:cs="Arial"/>
          <w:sz w:val="22"/>
          <w:szCs w:val="22"/>
        </w:rPr>
        <w:t xml:space="preserve">, José Miguel Ortiz Novoa, Leopoldo Pérez Lahsen, </w:t>
      </w:r>
      <w:r w:rsidR="008F70F6">
        <w:rPr>
          <w:rFonts w:ascii="Arial" w:hAnsi="Arial" w:cs="Arial"/>
          <w:sz w:val="22"/>
          <w:szCs w:val="22"/>
        </w:rPr>
        <w:t xml:space="preserve">Guillermo Ramírez Diez, </w:t>
      </w:r>
      <w:r w:rsidR="000A52ED" w:rsidRPr="000A52ED">
        <w:rPr>
          <w:rFonts w:ascii="Arial" w:hAnsi="Arial" w:cs="Arial"/>
          <w:sz w:val="22"/>
          <w:szCs w:val="22"/>
        </w:rPr>
        <w:t>Alejandro Santana Tirachini, Alexis Sepúlveda Soto y Gastón Von Mühlenbrock Zamora.</w:t>
      </w:r>
    </w:p>
    <w:p w:rsidR="00994538" w:rsidRPr="00BF51DA" w:rsidRDefault="00994538" w:rsidP="000A52ED">
      <w:pPr>
        <w:tabs>
          <w:tab w:val="left" w:pos="2175"/>
        </w:tabs>
        <w:spacing w:line="276" w:lineRule="auto"/>
        <w:ind w:firstLine="1701"/>
        <w:jc w:val="both"/>
        <w:rPr>
          <w:rFonts w:ascii="Arial" w:hAnsi="Arial" w:cs="Arial"/>
          <w:sz w:val="22"/>
          <w:szCs w:val="22"/>
        </w:rPr>
      </w:pPr>
      <w:r w:rsidRPr="00BF51DA">
        <w:rPr>
          <w:rFonts w:ascii="Arial" w:hAnsi="Arial" w:cs="Arial"/>
          <w:sz w:val="22"/>
          <w:szCs w:val="22"/>
        </w:rPr>
        <w:t xml:space="preserve"> </w:t>
      </w:r>
    </w:p>
    <w:p w:rsidR="00994538" w:rsidRPr="00BF51DA" w:rsidRDefault="00994538" w:rsidP="00994538">
      <w:pPr>
        <w:tabs>
          <w:tab w:val="left" w:pos="-284"/>
          <w:tab w:val="left" w:pos="0"/>
          <w:tab w:val="left" w:pos="851"/>
        </w:tabs>
        <w:spacing w:line="276" w:lineRule="auto"/>
        <w:ind w:right="51" w:firstLine="1701"/>
        <w:jc w:val="both"/>
        <w:rPr>
          <w:rFonts w:ascii="Arial" w:hAnsi="Arial" w:cs="Arial"/>
          <w:sz w:val="22"/>
          <w:szCs w:val="22"/>
        </w:rPr>
      </w:pPr>
      <w:r w:rsidRPr="00BF51DA">
        <w:rPr>
          <w:rFonts w:ascii="Arial" w:hAnsi="Arial" w:cs="Arial"/>
          <w:sz w:val="22"/>
          <w:szCs w:val="22"/>
        </w:rPr>
        <w:tab/>
      </w:r>
    </w:p>
    <w:p w:rsidR="008F70F6" w:rsidRDefault="008F70F6" w:rsidP="000A52ED">
      <w:pPr>
        <w:tabs>
          <w:tab w:val="left" w:pos="-284"/>
          <w:tab w:val="left" w:pos="0"/>
          <w:tab w:val="left" w:pos="851"/>
        </w:tabs>
        <w:spacing w:line="276" w:lineRule="auto"/>
        <w:ind w:right="51" w:firstLine="1701"/>
        <w:jc w:val="right"/>
        <w:rPr>
          <w:rFonts w:ascii="Arial" w:hAnsi="Arial" w:cs="Arial"/>
          <w:sz w:val="22"/>
          <w:szCs w:val="22"/>
        </w:rPr>
      </w:pPr>
    </w:p>
    <w:p w:rsidR="00994538" w:rsidRPr="00BF51DA" w:rsidRDefault="00994538" w:rsidP="000A52ED">
      <w:pPr>
        <w:tabs>
          <w:tab w:val="left" w:pos="-284"/>
          <w:tab w:val="left" w:pos="0"/>
          <w:tab w:val="left" w:pos="851"/>
        </w:tabs>
        <w:spacing w:line="276" w:lineRule="auto"/>
        <w:ind w:right="51" w:firstLine="1701"/>
        <w:jc w:val="right"/>
        <w:rPr>
          <w:rFonts w:ascii="Arial" w:hAnsi="Arial" w:cs="Arial"/>
          <w:sz w:val="22"/>
          <w:szCs w:val="22"/>
        </w:rPr>
      </w:pPr>
      <w:r w:rsidRPr="00BF51DA">
        <w:rPr>
          <w:rFonts w:ascii="Arial" w:hAnsi="Arial" w:cs="Arial"/>
          <w:sz w:val="22"/>
          <w:szCs w:val="22"/>
        </w:rPr>
        <w:t xml:space="preserve">Sala de la Comisión, a </w:t>
      </w:r>
      <w:r w:rsidR="00A97E1E">
        <w:rPr>
          <w:rFonts w:ascii="Arial" w:hAnsi="Arial" w:cs="Arial"/>
          <w:sz w:val="22"/>
          <w:szCs w:val="22"/>
        </w:rPr>
        <w:t>23</w:t>
      </w:r>
      <w:r w:rsidR="0046260B">
        <w:rPr>
          <w:rFonts w:ascii="Arial" w:hAnsi="Arial" w:cs="Arial"/>
          <w:sz w:val="22"/>
          <w:szCs w:val="22"/>
        </w:rPr>
        <w:t xml:space="preserve"> </w:t>
      </w:r>
      <w:r w:rsidR="000A52ED">
        <w:rPr>
          <w:rFonts w:ascii="Arial" w:hAnsi="Arial" w:cs="Arial"/>
          <w:sz w:val="22"/>
          <w:szCs w:val="22"/>
        </w:rPr>
        <w:t xml:space="preserve">de </w:t>
      </w:r>
      <w:r w:rsidR="00A97E1E">
        <w:rPr>
          <w:rFonts w:ascii="Arial" w:hAnsi="Arial" w:cs="Arial"/>
          <w:sz w:val="22"/>
          <w:szCs w:val="22"/>
        </w:rPr>
        <w:t>junio</w:t>
      </w:r>
      <w:r w:rsidR="000A52ED">
        <w:rPr>
          <w:rFonts w:ascii="Arial" w:hAnsi="Arial" w:cs="Arial"/>
          <w:sz w:val="22"/>
          <w:szCs w:val="22"/>
        </w:rPr>
        <w:t xml:space="preserve"> de 202</w:t>
      </w:r>
      <w:r w:rsidR="00A97E1E">
        <w:rPr>
          <w:rFonts w:ascii="Arial" w:hAnsi="Arial" w:cs="Arial"/>
          <w:sz w:val="22"/>
          <w:szCs w:val="22"/>
        </w:rPr>
        <w:t>1</w:t>
      </w:r>
      <w:r w:rsidR="00835C3B">
        <w:rPr>
          <w:rFonts w:ascii="Arial" w:hAnsi="Arial" w:cs="Arial"/>
          <w:sz w:val="22"/>
          <w:szCs w:val="22"/>
        </w:rPr>
        <w:t>.</w:t>
      </w:r>
    </w:p>
    <w:p w:rsidR="00994538" w:rsidRPr="002E1ACA" w:rsidRDefault="00994538" w:rsidP="00994538">
      <w:pPr>
        <w:tabs>
          <w:tab w:val="left" w:pos="-284"/>
          <w:tab w:val="left" w:pos="0"/>
          <w:tab w:val="left" w:pos="3402"/>
        </w:tabs>
        <w:spacing w:line="276" w:lineRule="auto"/>
        <w:ind w:right="51" w:firstLine="1701"/>
        <w:jc w:val="both"/>
        <w:rPr>
          <w:rFonts w:ascii="Arial" w:hAnsi="Arial" w:cs="Arial"/>
          <w:sz w:val="22"/>
          <w:szCs w:val="22"/>
        </w:rPr>
      </w:pPr>
    </w:p>
    <w:p w:rsidR="00994538" w:rsidRPr="002E1ACA" w:rsidRDefault="00994538" w:rsidP="00994538">
      <w:pPr>
        <w:tabs>
          <w:tab w:val="left" w:pos="-284"/>
          <w:tab w:val="left" w:pos="0"/>
          <w:tab w:val="left" w:pos="3402"/>
        </w:tabs>
        <w:spacing w:line="276" w:lineRule="auto"/>
        <w:ind w:right="51" w:firstLine="1701"/>
        <w:jc w:val="both"/>
        <w:rPr>
          <w:rFonts w:ascii="Arial" w:hAnsi="Arial" w:cs="Arial"/>
          <w:sz w:val="22"/>
          <w:szCs w:val="22"/>
        </w:rPr>
      </w:pPr>
    </w:p>
    <w:p w:rsidR="00994538" w:rsidRPr="002E1ACA" w:rsidRDefault="00994538" w:rsidP="00994538">
      <w:pPr>
        <w:tabs>
          <w:tab w:val="left" w:pos="-284"/>
          <w:tab w:val="left" w:pos="0"/>
          <w:tab w:val="left" w:pos="3402"/>
        </w:tabs>
        <w:spacing w:line="276" w:lineRule="auto"/>
        <w:ind w:right="51" w:firstLine="1701"/>
        <w:jc w:val="both"/>
        <w:rPr>
          <w:rFonts w:ascii="Arial" w:hAnsi="Arial" w:cs="Arial"/>
          <w:sz w:val="22"/>
          <w:szCs w:val="22"/>
        </w:rPr>
      </w:pPr>
    </w:p>
    <w:p w:rsidR="00994538" w:rsidRPr="002E1ACA" w:rsidRDefault="00994538" w:rsidP="00994538">
      <w:pPr>
        <w:tabs>
          <w:tab w:val="left" w:pos="-284"/>
          <w:tab w:val="left" w:pos="0"/>
          <w:tab w:val="left" w:pos="3402"/>
        </w:tabs>
        <w:spacing w:line="276" w:lineRule="auto"/>
        <w:ind w:right="51" w:firstLine="1701"/>
        <w:jc w:val="both"/>
        <w:rPr>
          <w:rFonts w:ascii="Arial" w:hAnsi="Arial" w:cs="Arial"/>
          <w:sz w:val="22"/>
          <w:szCs w:val="22"/>
        </w:rPr>
      </w:pPr>
    </w:p>
    <w:p w:rsidR="00994538" w:rsidRPr="002E1ACA" w:rsidRDefault="00994538" w:rsidP="00994538">
      <w:pPr>
        <w:tabs>
          <w:tab w:val="left" w:pos="-284"/>
          <w:tab w:val="left" w:pos="0"/>
          <w:tab w:val="left" w:pos="3402"/>
        </w:tabs>
        <w:spacing w:line="276" w:lineRule="auto"/>
        <w:ind w:right="51" w:firstLine="1701"/>
        <w:jc w:val="both"/>
        <w:rPr>
          <w:rFonts w:ascii="Arial" w:hAnsi="Arial" w:cs="Arial"/>
          <w:sz w:val="22"/>
          <w:szCs w:val="22"/>
        </w:rPr>
      </w:pPr>
    </w:p>
    <w:p w:rsidR="00994538" w:rsidRPr="002E1ACA" w:rsidRDefault="00994538" w:rsidP="00994538">
      <w:pPr>
        <w:tabs>
          <w:tab w:val="left" w:pos="-284"/>
          <w:tab w:val="left" w:pos="0"/>
          <w:tab w:val="left" w:pos="3402"/>
        </w:tabs>
        <w:spacing w:line="276" w:lineRule="auto"/>
        <w:ind w:right="51"/>
        <w:jc w:val="center"/>
        <w:rPr>
          <w:rFonts w:ascii="Arial" w:hAnsi="Arial" w:cs="Arial"/>
          <w:b/>
          <w:sz w:val="22"/>
          <w:szCs w:val="22"/>
        </w:rPr>
      </w:pPr>
      <w:r w:rsidRPr="002E1ACA">
        <w:rPr>
          <w:rFonts w:ascii="Arial" w:hAnsi="Arial" w:cs="Arial"/>
          <w:b/>
          <w:sz w:val="22"/>
          <w:szCs w:val="22"/>
        </w:rPr>
        <w:t>MARÍA EUGENIA SILVA FERRER</w:t>
      </w:r>
    </w:p>
    <w:p w:rsidR="00994538" w:rsidRDefault="00994538" w:rsidP="00994538">
      <w:pPr>
        <w:tabs>
          <w:tab w:val="left" w:pos="-284"/>
          <w:tab w:val="left" w:pos="0"/>
          <w:tab w:val="left" w:pos="4751"/>
        </w:tabs>
        <w:spacing w:line="276" w:lineRule="auto"/>
        <w:ind w:right="51"/>
        <w:jc w:val="center"/>
        <w:rPr>
          <w:rFonts w:ascii="Arial" w:hAnsi="Arial" w:cs="Arial"/>
          <w:sz w:val="22"/>
          <w:szCs w:val="22"/>
        </w:rPr>
      </w:pPr>
      <w:r w:rsidRPr="002E1ACA">
        <w:rPr>
          <w:rFonts w:ascii="Arial" w:hAnsi="Arial" w:cs="Arial"/>
          <w:sz w:val="22"/>
          <w:szCs w:val="22"/>
        </w:rPr>
        <w:t xml:space="preserve">Abogado Secretaria de la Comisión </w:t>
      </w:r>
    </w:p>
    <w:sectPr w:rsidR="00994538" w:rsidSect="00931FD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805" w:rsidRDefault="00D21805" w:rsidP="00BB620D">
      <w:r>
        <w:separator/>
      </w:r>
    </w:p>
  </w:endnote>
  <w:endnote w:type="continuationSeparator" w:id="0">
    <w:p w:rsidR="00D21805" w:rsidRDefault="00D21805" w:rsidP="00BB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805" w:rsidRDefault="00D21805" w:rsidP="00BB620D">
      <w:r>
        <w:separator/>
      </w:r>
    </w:p>
  </w:footnote>
  <w:footnote w:type="continuationSeparator" w:id="0">
    <w:p w:rsidR="00D21805" w:rsidRDefault="00D21805" w:rsidP="00BB620D">
      <w:r>
        <w:continuationSeparator/>
      </w:r>
    </w:p>
  </w:footnote>
  <w:footnote w:id="1">
    <w:p w:rsidR="00865262" w:rsidRPr="00865262" w:rsidRDefault="00865262" w:rsidP="00865262">
      <w:pPr>
        <w:pStyle w:val="Textoindependiente"/>
        <w:widowControl w:val="0"/>
        <w:autoSpaceDE w:val="0"/>
        <w:autoSpaceDN w:val="0"/>
        <w:adjustRightInd w:val="0"/>
        <w:spacing w:after="0"/>
        <w:jc w:val="both"/>
        <w:rPr>
          <w:rFonts w:ascii="Arial" w:hAnsi="Arial" w:cs="Arial"/>
          <w:sz w:val="18"/>
          <w:szCs w:val="18"/>
        </w:rPr>
      </w:pPr>
      <w:r w:rsidRPr="00865262">
        <w:rPr>
          <w:rFonts w:ascii="Arial" w:hAnsi="Arial" w:cs="Arial"/>
          <w:sz w:val="18"/>
          <w:szCs w:val="18"/>
        </w:rPr>
        <w:t>Fuentes de información</w:t>
      </w:r>
      <w:r>
        <w:rPr>
          <w:rFonts w:ascii="Arial" w:hAnsi="Arial" w:cs="Arial"/>
          <w:sz w:val="18"/>
          <w:szCs w:val="18"/>
        </w:rPr>
        <w:t>:</w:t>
      </w:r>
    </w:p>
    <w:p w:rsidR="00865262" w:rsidRPr="00865262" w:rsidRDefault="00865262" w:rsidP="00865262">
      <w:pPr>
        <w:pStyle w:val="Textoindependiente"/>
        <w:widowControl w:val="0"/>
        <w:autoSpaceDE w:val="0"/>
        <w:autoSpaceDN w:val="0"/>
        <w:adjustRightInd w:val="0"/>
        <w:spacing w:after="0"/>
        <w:jc w:val="both"/>
        <w:rPr>
          <w:rFonts w:ascii="Arial" w:hAnsi="Arial" w:cs="Arial"/>
          <w:sz w:val="18"/>
          <w:szCs w:val="18"/>
          <w:lang w:val="es-CL"/>
        </w:rPr>
      </w:pPr>
      <w:r w:rsidRPr="00865262">
        <w:rPr>
          <w:rStyle w:val="Refdenotaalpie"/>
          <w:rFonts w:ascii="Arial" w:hAnsi="Arial" w:cs="Arial"/>
          <w:sz w:val="18"/>
          <w:szCs w:val="18"/>
        </w:rPr>
        <w:footnoteRef/>
      </w:r>
      <w:r w:rsidRPr="00865262">
        <w:rPr>
          <w:rFonts w:ascii="Arial" w:hAnsi="Arial" w:cs="Arial"/>
          <w:sz w:val="18"/>
          <w:szCs w:val="18"/>
        </w:rPr>
        <w:t xml:space="preserve"> </w:t>
      </w:r>
      <w:r w:rsidRPr="00865262">
        <w:rPr>
          <w:rFonts w:ascii="Arial" w:hAnsi="Arial" w:cs="Arial"/>
          <w:sz w:val="18"/>
          <w:szCs w:val="18"/>
          <w:lang w:val="es-CL"/>
        </w:rPr>
        <w:t>Mensaje de S.E. el Presidente de la República con el que inicia un Proyecto de Acuerdo que aprueba el “Tratado sobre la Prohibición de las Armas Nucleares”, adoptado en Nueva York, el 7 de julio de 2017. 4 de enero de 2021.</w:t>
      </w:r>
    </w:p>
    <w:p w:rsidR="00865262" w:rsidRPr="00865262" w:rsidRDefault="00865262" w:rsidP="00865262">
      <w:pPr>
        <w:pStyle w:val="Textoindependiente"/>
        <w:widowControl w:val="0"/>
        <w:autoSpaceDE w:val="0"/>
        <w:autoSpaceDN w:val="0"/>
        <w:adjustRightInd w:val="0"/>
        <w:spacing w:after="0"/>
        <w:jc w:val="both"/>
        <w:rPr>
          <w:rFonts w:ascii="Arial" w:hAnsi="Arial" w:cs="Arial"/>
          <w:sz w:val="18"/>
          <w:szCs w:val="18"/>
          <w:lang w:val="es-CL"/>
        </w:rPr>
      </w:pPr>
      <w:r w:rsidRPr="00865262">
        <w:rPr>
          <w:rFonts w:ascii="Arial" w:hAnsi="Arial" w:cs="Arial"/>
          <w:sz w:val="18"/>
          <w:szCs w:val="18"/>
          <w:lang w:val="es-CL"/>
        </w:rPr>
        <w:t>Tratado sobre la Prohibición de las Armas Nucleares. Naciones Unidas, 2017.</w:t>
      </w:r>
    </w:p>
    <w:p w:rsidR="00865262" w:rsidRPr="00865262" w:rsidRDefault="00865262" w:rsidP="00865262">
      <w:pPr>
        <w:pStyle w:val="Textoindependiente"/>
        <w:widowControl w:val="0"/>
        <w:autoSpaceDE w:val="0"/>
        <w:autoSpaceDN w:val="0"/>
        <w:adjustRightInd w:val="0"/>
        <w:spacing w:after="0"/>
        <w:jc w:val="both"/>
        <w:rPr>
          <w:rFonts w:ascii="Arial" w:hAnsi="Arial" w:cs="Arial"/>
          <w:sz w:val="18"/>
          <w:szCs w:val="18"/>
          <w:lang w:val="es-CL"/>
        </w:rPr>
      </w:pPr>
      <w:r w:rsidRPr="00865262">
        <w:rPr>
          <w:rFonts w:ascii="Arial" w:hAnsi="Arial" w:cs="Arial"/>
          <w:sz w:val="18"/>
          <w:szCs w:val="18"/>
          <w:lang w:val="es-CL"/>
        </w:rPr>
        <w:t>Pre-informe financiero: Ratificación Tratado de Prohibición de Armas Nucleares. Ministerio de Relaciones Exteriores. 11 de abril de 2019.</w:t>
      </w:r>
    </w:p>
    <w:p w:rsidR="00865262" w:rsidRPr="00865262" w:rsidRDefault="00865262" w:rsidP="00865262">
      <w:pPr>
        <w:pStyle w:val="Textoindependiente"/>
        <w:widowControl w:val="0"/>
        <w:autoSpaceDE w:val="0"/>
        <w:autoSpaceDN w:val="0"/>
        <w:adjustRightInd w:val="0"/>
        <w:spacing w:after="0"/>
        <w:jc w:val="both"/>
        <w:rPr>
          <w:rFonts w:ascii="Arial" w:hAnsi="Arial" w:cs="Arial"/>
          <w:sz w:val="18"/>
          <w:szCs w:val="18"/>
          <w:lang w:val="es-CL"/>
        </w:rPr>
      </w:pPr>
      <w:r w:rsidRPr="00865262">
        <w:rPr>
          <w:rFonts w:ascii="Arial" w:hAnsi="Arial" w:cs="Arial"/>
          <w:sz w:val="18"/>
          <w:szCs w:val="18"/>
          <w:lang w:val="es-CL"/>
        </w:rPr>
        <w:t>Estimaciones y Observaciones sobre potencial gasto fiscal ratificación de Chile al Tratado sobre la Prohibición de las Armas Nucleares (TPAN). Dirección de Seguridad Internacional y Humana, Ministerio de Relaciones Exteriores. 17 de julio de 2019.</w:t>
      </w:r>
    </w:p>
    <w:p w:rsidR="00865262" w:rsidRPr="00865262" w:rsidRDefault="00865262" w:rsidP="00865262">
      <w:pPr>
        <w:pStyle w:val="Textonotapie"/>
        <w:rPr>
          <w:rFonts w:ascii="Arial" w:hAnsi="Arial" w:cs="Arial"/>
          <w:sz w:val="18"/>
          <w:szCs w:val="18"/>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046F"/>
    <w:multiLevelType w:val="hybridMultilevel"/>
    <w:tmpl w:val="EC284138"/>
    <w:lvl w:ilvl="0" w:tplc="7B54BA72">
      <w:start w:val="1"/>
      <w:numFmt w:val="upperRoman"/>
      <w:pStyle w:val="Ttulo1"/>
      <w:lvlText w:val="%1."/>
      <w:lvlJc w:val="left"/>
      <w:pPr>
        <w:tabs>
          <w:tab w:val="num" w:pos="3828"/>
        </w:tabs>
        <w:ind w:left="3828" w:hanging="709"/>
      </w:pPr>
      <w:rPr>
        <w:rFonts w:ascii="Courier New" w:hAnsi="Courier New" w:cs="Times New Roman" w:hint="default"/>
        <w:b/>
        <w:i w:val="0"/>
        <w:caps/>
        <w:strike w:val="0"/>
        <w:dstrike w:val="0"/>
        <w:vanish w:val="0"/>
        <w:color w:val="000000"/>
        <w:sz w:val="24"/>
        <w:szCs w:val="24"/>
        <w:vertAlign w:val="baseline"/>
      </w:rPr>
    </w:lvl>
    <w:lvl w:ilvl="1" w:tplc="B1BE4BCC">
      <w:start w:val="1"/>
      <w:numFmt w:val="lowerLetter"/>
      <w:lvlText w:val="%2."/>
      <w:lvlJc w:val="left"/>
      <w:pPr>
        <w:tabs>
          <w:tab w:val="num" w:pos="872"/>
        </w:tabs>
        <w:ind w:left="872" w:hanging="360"/>
      </w:pPr>
      <w:rPr>
        <w:rFonts w:cs="Times New Roman"/>
      </w:rPr>
    </w:lvl>
    <w:lvl w:ilvl="2" w:tplc="417CC640">
      <w:start w:val="1"/>
      <w:numFmt w:val="lowerRoman"/>
      <w:lvlText w:val="%3."/>
      <w:lvlJc w:val="right"/>
      <w:pPr>
        <w:tabs>
          <w:tab w:val="num" w:pos="1592"/>
        </w:tabs>
        <w:ind w:left="1592" w:hanging="180"/>
      </w:pPr>
      <w:rPr>
        <w:rFonts w:cs="Times New Roman"/>
      </w:rPr>
    </w:lvl>
    <w:lvl w:ilvl="3" w:tplc="0BAADA66">
      <w:start w:val="1"/>
      <w:numFmt w:val="decimal"/>
      <w:lvlText w:val="%4."/>
      <w:lvlJc w:val="left"/>
      <w:pPr>
        <w:tabs>
          <w:tab w:val="num" w:pos="2312"/>
        </w:tabs>
        <w:ind w:left="2312" w:hanging="360"/>
      </w:pPr>
      <w:rPr>
        <w:rFonts w:cs="Times New Roman"/>
      </w:rPr>
    </w:lvl>
    <w:lvl w:ilvl="4" w:tplc="F650EE00">
      <w:start w:val="1"/>
      <w:numFmt w:val="lowerLetter"/>
      <w:lvlText w:val="%5."/>
      <w:lvlJc w:val="left"/>
      <w:pPr>
        <w:tabs>
          <w:tab w:val="num" w:pos="3032"/>
        </w:tabs>
        <w:ind w:left="3032" w:hanging="360"/>
      </w:pPr>
      <w:rPr>
        <w:rFonts w:cs="Times New Roman"/>
      </w:rPr>
    </w:lvl>
    <w:lvl w:ilvl="5" w:tplc="0D1648D4" w:tentative="1">
      <w:start w:val="1"/>
      <w:numFmt w:val="lowerRoman"/>
      <w:lvlText w:val="%6."/>
      <w:lvlJc w:val="right"/>
      <w:pPr>
        <w:tabs>
          <w:tab w:val="num" w:pos="3752"/>
        </w:tabs>
        <w:ind w:left="3752" w:hanging="180"/>
      </w:pPr>
      <w:rPr>
        <w:rFonts w:cs="Times New Roman"/>
      </w:rPr>
    </w:lvl>
    <w:lvl w:ilvl="6" w:tplc="7388BEB6" w:tentative="1">
      <w:start w:val="1"/>
      <w:numFmt w:val="decimal"/>
      <w:lvlText w:val="%7."/>
      <w:lvlJc w:val="left"/>
      <w:pPr>
        <w:tabs>
          <w:tab w:val="num" w:pos="4472"/>
        </w:tabs>
        <w:ind w:left="4472" w:hanging="360"/>
      </w:pPr>
      <w:rPr>
        <w:rFonts w:cs="Times New Roman"/>
      </w:rPr>
    </w:lvl>
    <w:lvl w:ilvl="7" w:tplc="DABCF1A0" w:tentative="1">
      <w:start w:val="1"/>
      <w:numFmt w:val="lowerLetter"/>
      <w:lvlText w:val="%8."/>
      <w:lvlJc w:val="left"/>
      <w:pPr>
        <w:tabs>
          <w:tab w:val="num" w:pos="5192"/>
        </w:tabs>
        <w:ind w:left="5192" w:hanging="360"/>
      </w:pPr>
      <w:rPr>
        <w:rFonts w:cs="Times New Roman"/>
      </w:rPr>
    </w:lvl>
    <w:lvl w:ilvl="8" w:tplc="12AA6AE2" w:tentative="1">
      <w:start w:val="1"/>
      <w:numFmt w:val="lowerRoman"/>
      <w:lvlText w:val="%9."/>
      <w:lvlJc w:val="right"/>
      <w:pPr>
        <w:tabs>
          <w:tab w:val="num" w:pos="5912"/>
        </w:tabs>
        <w:ind w:left="5912" w:hanging="180"/>
      </w:pPr>
      <w:rPr>
        <w:rFonts w:cs="Times New Roman"/>
      </w:rPr>
    </w:lvl>
  </w:abstractNum>
  <w:abstractNum w:abstractNumId="1" w15:restartNumberingAfterBreak="0">
    <w:nsid w:val="0FC8189E"/>
    <w:multiLevelType w:val="hybridMultilevel"/>
    <w:tmpl w:val="3CB09940"/>
    <w:lvl w:ilvl="0" w:tplc="B58A0E0C">
      <w:start w:val="1"/>
      <w:numFmt w:val="lowerRoman"/>
      <w:lvlText w:val="%1)"/>
      <w:lvlJc w:val="left"/>
      <w:pPr>
        <w:ind w:left="2421" w:hanging="72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2" w15:restartNumberingAfterBreak="0">
    <w:nsid w:val="1F997061"/>
    <w:multiLevelType w:val="hybridMultilevel"/>
    <w:tmpl w:val="E9A626F2"/>
    <w:lvl w:ilvl="0" w:tplc="93A0DE5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147242B"/>
    <w:multiLevelType w:val="hybridMultilevel"/>
    <w:tmpl w:val="7A5A39E2"/>
    <w:lvl w:ilvl="0" w:tplc="C9E84878">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2B161A5"/>
    <w:multiLevelType w:val="hybridMultilevel"/>
    <w:tmpl w:val="9C947ADC"/>
    <w:lvl w:ilvl="0" w:tplc="FF12051A">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5" w15:restartNumberingAfterBreak="0">
    <w:nsid w:val="33E92F34"/>
    <w:multiLevelType w:val="hybridMultilevel"/>
    <w:tmpl w:val="09AA22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40C6311"/>
    <w:multiLevelType w:val="hybridMultilevel"/>
    <w:tmpl w:val="DAA8FA7A"/>
    <w:lvl w:ilvl="0" w:tplc="9500ACB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20438E"/>
    <w:multiLevelType w:val="hybridMultilevel"/>
    <w:tmpl w:val="ADCE36FC"/>
    <w:lvl w:ilvl="0" w:tplc="FC28141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4537502"/>
    <w:multiLevelType w:val="hybridMultilevel"/>
    <w:tmpl w:val="8312E334"/>
    <w:lvl w:ilvl="0" w:tplc="A41E7FDC">
      <w:start w:val="1"/>
      <w:numFmt w:val="lowerRoman"/>
      <w:lvlText w:val="%1)"/>
      <w:lvlJc w:val="left"/>
      <w:pPr>
        <w:ind w:left="1287" w:hanging="72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9" w15:restartNumberingAfterBreak="0">
    <w:nsid w:val="4739161A"/>
    <w:multiLevelType w:val="multilevel"/>
    <w:tmpl w:val="EF5C1F6A"/>
    <w:lvl w:ilvl="0">
      <w:start w:val="1"/>
      <w:numFmt w:val="decimal"/>
      <w:pStyle w:val="Estilo"/>
      <w:lvlText w:val="%1."/>
      <w:lvlJc w:val="left"/>
      <w:pPr>
        <w:tabs>
          <w:tab w:val="num" w:pos="3195"/>
        </w:tabs>
        <w:ind w:left="2835" w:firstLine="0"/>
      </w:pPr>
      <w:rPr>
        <w:rFonts w:ascii="Courier" w:hAnsi="Courier" w:cs="Times New Roman" w:hint="default"/>
        <w:b/>
        <w:i w:val="0"/>
        <w:caps/>
        <w:strike w:val="0"/>
        <w:dstrike w:val="0"/>
        <w:vanish w:val="0"/>
        <w:webHidden w:val="0"/>
        <w:color w:val="000000"/>
        <w:sz w:val="24"/>
        <w:u w:val="none"/>
        <w:effect w:val="none"/>
        <w:vertAlign w:val="baseline"/>
        <w:specVanish w:val="0"/>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10" w15:restartNumberingAfterBreak="0">
    <w:nsid w:val="54806B10"/>
    <w:multiLevelType w:val="hybridMultilevel"/>
    <w:tmpl w:val="28129FF2"/>
    <w:lvl w:ilvl="0" w:tplc="FFFFFFFF">
      <w:start w:val="1"/>
      <w:numFmt w:val="lowerLetter"/>
      <w:lvlText w:val="%1)"/>
      <w:lvlJc w:val="left"/>
      <w:pPr>
        <w:ind w:left="3271" w:hanging="360"/>
      </w:pPr>
    </w:lvl>
    <w:lvl w:ilvl="1" w:tplc="FFFFFFFF" w:tentative="1">
      <w:start w:val="1"/>
      <w:numFmt w:val="lowerLetter"/>
      <w:lvlText w:val="%2."/>
      <w:lvlJc w:val="left"/>
      <w:pPr>
        <w:ind w:left="3991" w:hanging="360"/>
      </w:pPr>
    </w:lvl>
    <w:lvl w:ilvl="2" w:tplc="FFFFFFFF" w:tentative="1">
      <w:start w:val="1"/>
      <w:numFmt w:val="lowerRoman"/>
      <w:lvlText w:val="%3."/>
      <w:lvlJc w:val="right"/>
      <w:pPr>
        <w:ind w:left="4711" w:hanging="180"/>
      </w:pPr>
    </w:lvl>
    <w:lvl w:ilvl="3" w:tplc="FFFFFFFF" w:tentative="1">
      <w:start w:val="1"/>
      <w:numFmt w:val="decimal"/>
      <w:lvlText w:val="%4."/>
      <w:lvlJc w:val="left"/>
      <w:pPr>
        <w:ind w:left="5431" w:hanging="360"/>
      </w:pPr>
    </w:lvl>
    <w:lvl w:ilvl="4" w:tplc="FFFFFFFF" w:tentative="1">
      <w:start w:val="1"/>
      <w:numFmt w:val="lowerLetter"/>
      <w:lvlText w:val="%5."/>
      <w:lvlJc w:val="left"/>
      <w:pPr>
        <w:ind w:left="6151" w:hanging="360"/>
      </w:pPr>
    </w:lvl>
    <w:lvl w:ilvl="5" w:tplc="FFFFFFFF" w:tentative="1">
      <w:start w:val="1"/>
      <w:numFmt w:val="lowerRoman"/>
      <w:lvlText w:val="%6."/>
      <w:lvlJc w:val="right"/>
      <w:pPr>
        <w:ind w:left="6871" w:hanging="180"/>
      </w:pPr>
    </w:lvl>
    <w:lvl w:ilvl="6" w:tplc="FFFFFFFF" w:tentative="1">
      <w:start w:val="1"/>
      <w:numFmt w:val="decimal"/>
      <w:lvlText w:val="%7."/>
      <w:lvlJc w:val="left"/>
      <w:pPr>
        <w:ind w:left="7591" w:hanging="360"/>
      </w:pPr>
    </w:lvl>
    <w:lvl w:ilvl="7" w:tplc="FFFFFFFF" w:tentative="1">
      <w:start w:val="1"/>
      <w:numFmt w:val="lowerLetter"/>
      <w:lvlText w:val="%8."/>
      <w:lvlJc w:val="left"/>
      <w:pPr>
        <w:ind w:left="8311" w:hanging="360"/>
      </w:pPr>
    </w:lvl>
    <w:lvl w:ilvl="8" w:tplc="FFFFFFFF" w:tentative="1">
      <w:start w:val="1"/>
      <w:numFmt w:val="lowerRoman"/>
      <w:lvlText w:val="%9."/>
      <w:lvlJc w:val="right"/>
      <w:pPr>
        <w:ind w:left="9031" w:hanging="180"/>
      </w:pPr>
    </w:lvl>
  </w:abstractNum>
  <w:abstractNum w:abstractNumId="11" w15:restartNumberingAfterBreak="0">
    <w:nsid w:val="636268BE"/>
    <w:multiLevelType w:val="hybridMultilevel"/>
    <w:tmpl w:val="90D23FBE"/>
    <w:lvl w:ilvl="0" w:tplc="A94078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A2C3D81"/>
    <w:multiLevelType w:val="hybridMultilevel"/>
    <w:tmpl w:val="C66C9256"/>
    <w:lvl w:ilvl="0" w:tplc="70FC04DA">
      <w:start w:val="1"/>
      <w:numFmt w:val="lowerLetter"/>
      <w:lvlText w:val="%1)"/>
      <w:lvlJc w:val="left"/>
      <w:pPr>
        <w:ind w:left="1004" w:hanging="72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7"/>
  </w:num>
  <w:num w:numId="5">
    <w:abstractNumId w:val="12"/>
  </w:num>
  <w:num w:numId="6">
    <w:abstractNumId w:val="10"/>
  </w:num>
  <w:num w:numId="7">
    <w:abstractNumId w:val="4"/>
  </w:num>
  <w:num w:numId="8">
    <w:abstractNumId w:val="1"/>
  </w:num>
  <w:num w:numId="9">
    <w:abstractNumId w:val="3"/>
  </w:num>
  <w:num w:numId="10">
    <w:abstractNumId w:val="2"/>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A0"/>
    <w:rsid w:val="00005DD7"/>
    <w:rsid w:val="00082AF2"/>
    <w:rsid w:val="000A52ED"/>
    <w:rsid w:val="000E055E"/>
    <w:rsid w:val="00115658"/>
    <w:rsid w:val="001225DF"/>
    <w:rsid w:val="001255F7"/>
    <w:rsid w:val="001608E2"/>
    <w:rsid w:val="001709B2"/>
    <w:rsid w:val="0017682E"/>
    <w:rsid w:val="001D6336"/>
    <w:rsid w:val="001F5A85"/>
    <w:rsid w:val="00234F56"/>
    <w:rsid w:val="002827F9"/>
    <w:rsid w:val="002A70AE"/>
    <w:rsid w:val="002B257F"/>
    <w:rsid w:val="00313199"/>
    <w:rsid w:val="0031355B"/>
    <w:rsid w:val="003313AC"/>
    <w:rsid w:val="00345868"/>
    <w:rsid w:val="00350CCD"/>
    <w:rsid w:val="00354DEA"/>
    <w:rsid w:val="003A259F"/>
    <w:rsid w:val="003B3D95"/>
    <w:rsid w:val="003B69A3"/>
    <w:rsid w:val="003E487C"/>
    <w:rsid w:val="003F3C3D"/>
    <w:rsid w:val="00425DC0"/>
    <w:rsid w:val="00430B94"/>
    <w:rsid w:val="00432104"/>
    <w:rsid w:val="0046260B"/>
    <w:rsid w:val="00467115"/>
    <w:rsid w:val="00496282"/>
    <w:rsid w:val="004A4728"/>
    <w:rsid w:val="004E1275"/>
    <w:rsid w:val="00503BE7"/>
    <w:rsid w:val="00574847"/>
    <w:rsid w:val="005C4AAC"/>
    <w:rsid w:val="005D1665"/>
    <w:rsid w:val="006352EC"/>
    <w:rsid w:val="006B066F"/>
    <w:rsid w:val="006E0993"/>
    <w:rsid w:val="00705A09"/>
    <w:rsid w:val="00711D55"/>
    <w:rsid w:val="007652E1"/>
    <w:rsid w:val="007937B9"/>
    <w:rsid w:val="007B1C12"/>
    <w:rsid w:val="007D0A8A"/>
    <w:rsid w:val="008144B7"/>
    <w:rsid w:val="00835C3B"/>
    <w:rsid w:val="00852E4D"/>
    <w:rsid w:val="00865262"/>
    <w:rsid w:val="0087514C"/>
    <w:rsid w:val="008C5E38"/>
    <w:rsid w:val="008C62C7"/>
    <w:rsid w:val="008F70F6"/>
    <w:rsid w:val="009260A1"/>
    <w:rsid w:val="00926371"/>
    <w:rsid w:val="00931FD3"/>
    <w:rsid w:val="00937521"/>
    <w:rsid w:val="00940B9C"/>
    <w:rsid w:val="009610EB"/>
    <w:rsid w:val="009642F9"/>
    <w:rsid w:val="00994538"/>
    <w:rsid w:val="009A7407"/>
    <w:rsid w:val="009B1DAB"/>
    <w:rsid w:val="009C02C3"/>
    <w:rsid w:val="00A97E1E"/>
    <w:rsid w:val="00AC6EDE"/>
    <w:rsid w:val="00B4156C"/>
    <w:rsid w:val="00BA44C3"/>
    <w:rsid w:val="00BA7E74"/>
    <w:rsid w:val="00BB1A92"/>
    <w:rsid w:val="00BB620D"/>
    <w:rsid w:val="00BE164D"/>
    <w:rsid w:val="00BF2FB2"/>
    <w:rsid w:val="00C17084"/>
    <w:rsid w:val="00C314F3"/>
    <w:rsid w:val="00C63E46"/>
    <w:rsid w:val="00C95074"/>
    <w:rsid w:val="00CD2886"/>
    <w:rsid w:val="00CD3897"/>
    <w:rsid w:val="00CF2DA0"/>
    <w:rsid w:val="00D1367B"/>
    <w:rsid w:val="00D21805"/>
    <w:rsid w:val="00D55CAB"/>
    <w:rsid w:val="00D563CC"/>
    <w:rsid w:val="00DE1C86"/>
    <w:rsid w:val="00E07E79"/>
    <w:rsid w:val="00E20EB0"/>
    <w:rsid w:val="00E628EF"/>
    <w:rsid w:val="00E679FE"/>
    <w:rsid w:val="00E86292"/>
    <w:rsid w:val="00EF5FFF"/>
    <w:rsid w:val="00F00FE2"/>
    <w:rsid w:val="00F54CF3"/>
    <w:rsid w:val="00F57898"/>
    <w:rsid w:val="00F76B97"/>
    <w:rsid w:val="00FE74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1FA3F-A0E6-49BC-8DC4-62BF4192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DA0"/>
    <w:pPr>
      <w:spacing w:after="0" w:line="240" w:lineRule="auto"/>
    </w:pPr>
    <w:rPr>
      <w:rFonts w:ascii="CG Times (WN)" w:eastAsia="Times New Roman" w:hAnsi="CG Times (WN)" w:cs="Times New Roman"/>
      <w:sz w:val="20"/>
      <w:szCs w:val="20"/>
      <w:lang w:val="es-ES_tradnl" w:eastAsia="es-ES"/>
    </w:rPr>
  </w:style>
  <w:style w:type="paragraph" w:styleId="Ttulo1">
    <w:name w:val="heading 1"/>
    <w:basedOn w:val="Normal"/>
    <w:next w:val="Normal"/>
    <w:link w:val="Ttulo1Car"/>
    <w:uiPriority w:val="99"/>
    <w:qFormat/>
    <w:rsid w:val="002827F9"/>
    <w:pPr>
      <w:keepNext/>
      <w:numPr>
        <w:numId w:val="3"/>
      </w:numPr>
      <w:tabs>
        <w:tab w:val="num" w:pos="4112"/>
      </w:tabs>
      <w:overflowPunct w:val="0"/>
      <w:autoSpaceDE w:val="0"/>
      <w:autoSpaceDN w:val="0"/>
      <w:adjustRightInd w:val="0"/>
      <w:spacing w:before="360" w:after="240"/>
      <w:ind w:left="4112"/>
      <w:jc w:val="both"/>
      <w:textAlignment w:val="baseline"/>
      <w:outlineLvl w:val="0"/>
    </w:pPr>
    <w:rPr>
      <w:rFonts w:ascii="Courier New" w:hAnsi="Courier New"/>
      <w:b/>
      <w:bCs/>
      <w:kern w:val="32"/>
      <w:sz w:val="24"/>
      <w:szCs w:val="32"/>
    </w:rPr>
  </w:style>
  <w:style w:type="paragraph" w:styleId="Ttulo4">
    <w:name w:val="heading 4"/>
    <w:basedOn w:val="Normal"/>
    <w:next w:val="Normal"/>
    <w:link w:val="Ttulo4Car"/>
    <w:uiPriority w:val="9"/>
    <w:unhideWhenUsed/>
    <w:qFormat/>
    <w:rsid w:val="007937B9"/>
    <w:pPr>
      <w:keepNext/>
      <w:widowControl w:val="0"/>
      <w:autoSpaceDE w:val="0"/>
      <w:autoSpaceDN w:val="0"/>
      <w:adjustRightInd w:val="0"/>
      <w:spacing w:before="240" w:after="60"/>
      <w:outlineLvl w:val="3"/>
    </w:pPr>
    <w:rPr>
      <w:rFonts w:ascii="Calibri" w:hAnsi="Calibri"/>
      <w:b/>
      <w:bCs/>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basedOn w:val="Normal"/>
    <w:next w:val="Sangradetextonormal"/>
    <w:uiPriority w:val="99"/>
    <w:rsid w:val="00345868"/>
    <w:pPr>
      <w:numPr>
        <w:ilvl w:val="8"/>
        <w:numId w:val="1"/>
      </w:numPr>
      <w:tabs>
        <w:tab w:val="num" w:pos="3195"/>
        <w:tab w:val="left" w:pos="3544"/>
      </w:tabs>
      <w:spacing w:before="240" w:after="120"/>
      <w:ind w:left="2835" w:firstLine="0"/>
      <w:jc w:val="both"/>
    </w:pPr>
    <w:rPr>
      <w:rFonts w:ascii="Courier" w:hAnsi="Courier"/>
      <w:spacing w:val="-3"/>
      <w:sz w:val="24"/>
    </w:rPr>
  </w:style>
  <w:style w:type="paragraph" w:styleId="Sangradetextonormal">
    <w:name w:val="Body Text Indent"/>
    <w:basedOn w:val="Normal"/>
    <w:link w:val="SangradetextonormalCar"/>
    <w:uiPriority w:val="99"/>
    <w:semiHidden/>
    <w:unhideWhenUsed/>
    <w:rsid w:val="00345868"/>
    <w:pPr>
      <w:spacing w:after="120"/>
      <w:ind w:left="283"/>
    </w:pPr>
  </w:style>
  <w:style w:type="character" w:customStyle="1" w:styleId="SangradetextonormalCar">
    <w:name w:val="Sangría de texto normal Car"/>
    <w:basedOn w:val="Fuentedeprrafopredeter"/>
    <w:link w:val="Sangradetextonormal"/>
    <w:uiPriority w:val="99"/>
    <w:semiHidden/>
    <w:rsid w:val="00345868"/>
    <w:rPr>
      <w:rFonts w:ascii="CG Times (WN)" w:eastAsia="Times New Roman" w:hAnsi="CG Times (WN)" w:cs="Times New Roman"/>
      <w:sz w:val="20"/>
      <w:szCs w:val="20"/>
      <w:lang w:val="es-ES_tradnl" w:eastAsia="es-ES"/>
    </w:rPr>
  </w:style>
  <w:style w:type="paragraph" w:styleId="Prrafodelista">
    <w:name w:val="List Paragraph"/>
    <w:basedOn w:val="Normal"/>
    <w:link w:val="PrrafodelistaCar"/>
    <w:uiPriority w:val="34"/>
    <w:qFormat/>
    <w:rsid w:val="00705A09"/>
    <w:pPr>
      <w:spacing w:after="160" w:line="259" w:lineRule="auto"/>
      <w:ind w:left="720"/>
      <w:contextualSpacing/>
    </w:pPr>
    <w:rPr>
      <w:rFonts w:ascii="Calibri" w:eastAsia="Calibri" w:hAnsi="Calibri"/>
      <w:sz w:val="22"/>
      <w:szCs w:val="22"/>
      <w:lang w:val="es-CL" w:eastAsia="en-US"/>
    </w:rPr>
  </w:style>
  <w:style w:type="character" w:customStyle="1" w:styleId="Ttulo1Car">
    <w:name w:val="Título 1 Car"/>
    <w:basedOn w:val="Fuentedeprrafopredeter"/>
    <w:link w:val="Ttulo1"/>
    <w:uiPriority w:val="99"/>
    <w:rsid w:val="002827F9"/>
    <w:rPr>
      <w:rFonts w:ascii="Courier New" w:eastAsia="Times New Roman" w:hAnsi="Courier New" w:cs="Times New Roman"/>
      <w:b/>
      <w:bCs/>
      <w:kern w:val="32"/>
      <w:sz w:val="24"/>
      <w:szCs w:val="32"/>
      <w:lang w:val="es-ES_tradnl" w:eastAsia="es-ES"/>
    </w:rPr>
  </w:style>
  <w:style w:type="character" w:customStyle="1" w:styleId="PrrafodelistaCar">
    <w:name w:val="Párrafo de lista Car"/>
    <w:link w:val="Prrafodelista"/>
    <w:uiPriority w:val="34"/>
    <w:rsid w:val="00E679FE"/>
    <w:rPr>
      <w:rFonts w:ascii="Calibri" w:eastAsia="Calibri" w:hAnsi="Calibri" w:cs="Times New Roman"/>
      <w:lang w:val="es-CL"/>
    </w:rPr>
  </w:style>
  <w:style w:type="character" w:customStyle="1" w:styleId="Ttulo4Car">
    <w:name w:val="Título 4 Car"/>
    <w:basedOn w:val="Fuentedeprrafopredeter"/>
    <w:link w:val="Ttulo4"/>
    <w:uiPriority w:val="9"/>
    <w:rsid w:val="007937B9"/>
    <w:rPr>
      <w:rFonts w:ascii="Calibri" w:eastAsia="Times New Roman" w:hAnsi="Calibri" w:cs="Times New Roman"/>
      <w:b/>
      <w:bCs/>
      <w:sz w:val="28"/>
      <w:szCs w:val="28"/>
      <w:lang w:val="x-none" w:eastAsia="x-none"/>
    </w:rPr>
  </w:style>
  <w:style w:type="paragraph" w:styleId="Textonotapie">
    <w:name w:val="footnote text"/>
    <w:basedOn w:val="Normal"/>
    <w:link w:val="TextonotapieCar"/>
    <w:uiPriority w:val="99"/>
    <w:semiHidden/>
    <w:unhideWhenUsed/>
    <w:rsid w:val="00BB620D"/>
  </w:style>
  <w:style w:type="character" w:customStyle="1" w:styleId="TextonotapieCar">
    <w:name w:val="Texto nota pie Car"/>
    <w:basedOn w:val="Fuentedeprrafopredeter"/>
    <w:link w:val="Textonotapie"/>
    <w:uiPriority w:val="99"/>
    <w:semiHidden/>
    <w:rsid w:val="00BB620D"/>
    <w:rPr>
      <w:rFonts w:ascii="CG Times (WN)" w:eastAsia="Times New Roman" w:hAnsi="CG Times (WN)" w:cs="Times New Roman"/>
      <w:sz w:val="20"/>
      <w:szCs w:val="20"/>
      <w:lang w:val="es-ES_tradnl" w:eastAsia="es-ES"/>
    </w:rPr>
  </w:style>
  <w:style w:type="character" w:styleId="Refdenotaalpie">
    <w:name w:val="footnote reference"/>
    <w:basedOn w:val="Fuentedeprrafopredeter"/>
    <w:uiPriority w:val="99"/>
    <w:semiHidden/>
    <w:unhideWhenUsed/>
    <w:rsid w:val="00BB620D"/>
    <w:rPr>
      <w:vertAlign w:val="superscript"/>
    </w:rPr>
  </w:style>
  <w:style w:type="paragraph" w:styleId="Sinespaciado">
    <w:name w:val="No Spacing"/>
    <w:uiPriority w:val="99"/>
    <w:qFormat/>
    <w:rsid w:val="009260A1"/>
    <w:pPr>
      <w:spacing w:after="0" w:line="240" w:lineRule="auto"/>
      <w:jc w:val="both"/>
    </w:pPr>
    <w:rPr>
      <w:rFonts w:ascii="Courier" w:eastAsia="Times New Roman" w:hAnsi="Courier" w:cs="Times New Roman"/>
      <w:sz w:val="24"/>
      <w:szCs w:val="20"/>
      <w:lang w:val="es-ES_tradnl" w:eastAsia="es-ES"/>
    </w:rPr>
  </w:style>
  <w:style w:type="paragraph" w:styleId="Textoindependiente">
    <w:name w:val="Body Text"/>
    <w:basedOn w:val="Normal"/>
    <w:link w:val="TextoindependienteCar"/>
    <w:uiPriority w:val="99"/>
    <w:semiHidden/>
    <w:unhideWhenUsed/>
    <w:rsid w:val="00A97E1E"/>
    <w:pPr>
      <w:spacing w:after="120"/>
    </w:pPr>
  </w:style>
  <w:style w:type="character" w:customStyle="1" w:styleId="TextoindependienteCar">
    <w:name w:val="Texto independiente Car"/>
    <w:basedOn w:val="Fuentedeprrafopredeter"/>
    <w:link w:val="Textoindependiente"/>
    <w:uiPriority w:val="99"/>
    <w:semiHidden/>
    <w:rsid w:val="00A97E1E"/>
    <w:rPr>
      <w:rFonts w:ascii="CG Times (WN)" w:eastAsia="Times New Roman" w:hAnsi="CG Times (W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4093">
      <w:bodyDiv w:val="1"/>
      <w:marLeft w:val="0"/>
      <w:marRight w:val="0"/>
      <w:marTop w:val="0"/>
      <w:marBottom w:val="0"/>
      <w:divBdr>
        <w:top w:val="none" w:sz="0" w:space="0" w:color="auto"/>
        <w:left w:val="none" w:sz="0" w:space="0" w:color="auto"/>
        <w:bottom w:val="none" w:sz="0" w:space="0" w:color="auto"/>
        <w:right w:val="none" w:sz="0" w:space="0" w:color="auto"/>
      </w:divBdr>
    </w:div>
    <w:div w:id="35338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B9BE6-CE9C-4CD7-9515-EDA88D19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2271</Words>
  <Characters>12492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Ignacio Flores Cuneo</dc:creator>
  <cp:lastModifiedBy>Maria Eugenia Silva Ferrer</cp:lastModifiedBy>
  <cp:revision>5</cp:revision>
  <dcterms:created xsi:type="dcterms:W3CDTF">2021-06-23T21:38:00Z</dcterms:created>
  <dcterms:modified xsi:type="dcterms:W3CDTF">2021-06-23T22:26:00Z</dcterms:modified>
</cp:coreProperties>
</file>