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ACF76" w14:textId="722C31B9" w:rsidR="00FE4E7F" w:rsidRDefault="00FE4E7F" w:rsidP="00786292">
      <w:pPr>
        <w:pStyle w:val="Prrafodelista"/>
        <w:spacing w:before="0" w:after="0"/>
        <w:ind w:left="5760"/>
        <w:jc w:val="right"/>
        <w:rPr>
          <w:rFonts w:ascii="Arial" w:hAnsi="Arial" w:cs="Arial"/>
          <w:b/>
          <w:szCs w:val="24"/>
          <w:lang w:val="es-ES"/>
        </w:rPr>
      </w:pPr>
      <w:r>
        <w:rPr>
          <w:rFonts w:ascii="Arial" w:hAnsi="Arial" w:cs="Arial"/>
          <w:b/>
          <w:szCs w:val="24"/>
          <w:lang w:val="es-ES"/>
        </w:rPr>
        <w:t>BOLETIN N° 14.184-10-1</w:t>
      </w:r>
    </w:p>
    <w:p w14:paraId="19A9D2D2" w14:textId="77777777" w:rsidR="00786292" w:rsidRDefault="00786292" w:rsidP="00656D1F">
      <w:pPr>
        <w:pStyle w:val="Prrafodelista"/>
        <w:spacing w:before="0" w:after="0"/>
        <w:ind w:left="0"/>
        <w:jc w:val="center"/>
        <w:rPr>
          <w:rFonts w:ascii="Arial" w:hAnsi="Arial" w:cs="Arial"/>
          <w:b/>
          <w:szCs w:val="24"/>
          <w:lang w:val="es-ES"/>
        </w:rPr>
      </w:pPr>
    </w:p>
    <w:p w14:paraId="2B87E176" w14:textId="77777777" w:rsidR="00FE4E7F" w:rsidRDefault="00FE4E7F" w:rsidP="00656D1F">
      <w:pPr>
        <w:pStyle w:val="Prrafodelista"/>
        <w:spacing w:before="0" w:after="0"/>
        <w:ind w:left="0"/>
        <w:jc w:val="center"/>
        <w:rPr>
          <w:rFonts w:ascii="Arial" w:hAnsi="Arial" w:cs="Arial"/>
          <w:b/>
          <w:szCs w:val="24"/>
          <w:lang w:val="es-ES"/>
        </w:rPr>
      </w:pPr>
    </w:p>
    <w:p w14:paraId="16E14004" w14:textId="77777777" w:rsidR="00FE4E7F" w:rsidRDefault="00FE4E7F"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TRANSPORTE AEREO ENTRE LA REPÚBLICA DE CHILE Y LA REPUBLICA CHECA”, SUSCRITO EN NAIROBI, EL 11 DE DICIEMBRE DE 2018.</w:t>
      </w:r>
      <w:r>
        <w:rPr>
          <w:rStyle w:val="eopscxw198218553bcx0"/>
          <w:rFonts w:ascii="Arial" w:hAnsi="Arial" w:cs="Arial"/>
        </w:rPr>
        <w:t> </w:t>
      </w:r>
    </w:p>
    <w:p w14:paraId="5A618C41" w14:textId="6A6B93F9" w:rsidR="00FE4E7F" w:rsidRDefault="00FE4E7F"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w:t>
      </w:r>
      <w:r w:rsidR="00786292">
        <w:rPr>
          <w:rFonts w:ascii="Arial" w:hAnsi="Arial" w:cs="Arial"/>
          <w:b/>
          <w:szCs w:val="24"/>
          <w:lang w:val="es-ES"/>
        </w:rPr>
        <w:t>______________________________</w:t>
      </w:r>
    </w:p>
    <w:p w14:paraId="6B4E794B" w14:textId="77777777" w:rsidR="00FE4E7F" w:rsidRDefault="00FE4E7F" w:rsidP="00656D1F">
      <w:pPr>
        <w:pStyle w:val="Prrafodelista"/>
        <w:spacing w:before="0" w:after="0"/>
        <w:ind w:left="0"/>
        <w:jc w:val="center"/>
        <w:rPr>
          <w:rFonts w:ascii="Arial" w:hAnsi="Arial" w:cs="Arial"/>
          <w:b/>
          <w:szCs w:val="24"/>
          <w:lang w:val="es-ES"/>
        </w:rPr>
      </w:pPr>
    </w:p>
    <w:p w14:paraId="3C18ACCC" w14:textId="77777777" w:rsidR="00786292" w:rsidRDefault="00786292" w:rsidP="00656D1F">
      <w:pPr>
        <w:pStyle w:val="Prrafodelista"/>
        <w:spacing w:before="0" w:after="0"/>
        <w:ind w:left="0"/>
        <w:jc w:val="center"/>
        <w:rPr>
          <w:rFonts w:ascii="Arial" w:hAnsi="Arial" w:cs="Arial"/>
          <w:b/>
          <w:szCs w:val="24"/>
          <w:lang w:val="es-ES"/>
        </w:rPr>
      </w:pPr>
    </w:p>
    <w:p w14:paraId="02AA1A6E" w14:textId="77777777" w:rsidR="00FE4E7F" w:rsidRDefault="00FE4E7F"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52C48CAE" w14:textId="77777777" w:rsidR="00FE4E7F" w:rsidRDefault="00FE4E7F" w:rsidP="00A17DDF">
      <w:pPr>
        <w:pStyle w:val="Prrafodelista"/>
        <w:spacing w:before="0" w:after="0"/>
        <w:ind w:left="0"/>
        <w:rPr>
          <w:rFonts w:ascii="Arial" w:hAnsi="Arial" w:cs="Arial"/>
          <w:b/>
          <w:szCs w:val="24"/>
          <w:lang w:val="es-ES"/>
        </w:rPr>
      </w:pPr>
    </w:p>
    <w:p w14:paraId="5955DB2F" w14:textId="77777777" w:rsidR="00FE4E7F" w:rsidRPr="00A17DDF" w:rsidRDefault="00FE4E7F"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4DC6811A" w14:textId="77777777" w:rsidR="00FE4E7F" w:rsidRDefault="00FE4E7F" w:rsidP="00656D1F">
      <w:pPr>
        <w:pStyle w:val="Prrafodelista"/>
        <w:spacing w:before="0" w:after="0"/>
        <w:ind w:left="0"/>
        <w:jc w:val="center"/>
        <w:rPr>
          <w:rFonts w:ascii="Arial" w:hAnsi="Arial" w:cs="Arial"/>
          <w:b/>
          <w:szCs w:val="24"/>
          <w:lang w:val="es-ES"/>
        </w:rPr>
      </w:pPr>
    </w:p>
    <w:p w14:paraId="535392EB" w14:textId="77777777" w:rsidR="00FE4E7F" w:rsidRDefault="00FE4E7F" w:rsidP="00A17DDF">
      <w:pPr>
        <w:pStyle w:val="Prrafodelista"/>
        <w:spacing w:before="0" w:after="0"/>
        <w:ind w:left="0"/>
        <w:rPr>
          <w:rFonts w:ascii="Arial" w:hAnsi="Arial" w:cs="Arial"/>
          <w:b/>
          <w:szCs w:val="24"/>
          <w:lang w:val="es-ES"/>
        </w:rPr>
      </w:pPr>
    </w:p>
    <w:p w14:paraId="48381E5B" w14:textId="77777777" w:rsidR="00FE4E7F" w:rsidRDefault="00FE4E7F"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2BF172DC" w14:textId="77777777" w:rsidR="00FE4E7F" w:rsidRDefault="00FE4E7F" w:rsidP="00A17DDF">
      <w:pPr>
        <w:pStyle w:val="Prrafodelista"/>
        <w:spacing w:before="0" w:after="0"/>
        <w:ind w:left="0"/>
        <w:rPr>
          <w:rFonts w:ascii="Arial" w:hAnsi="Arial" w:cs="Arial"/>
          <w:b/>
          <w:szCs w:val="24"/>
          <w:lang w:val="es-ES"/>
        </w:rPr>
      </w:pPr>
    </w:p>
    <w:p w14:paraId="68D027AE" w14:textId="77777777" w:rsidR="00FE4E7F" w:rsidRDefault="00FE4E7F"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148F1C2D" w14:textId="77777777" w:rsidR="00FE4E7F" w:rsidRDefault="00FE4E7F" w:rsidP="00A17DDF">
      <w:pPr>
        <w:pStyle w:val="Prrafodelista"/>
        <w:spacing w:before="0" w:after="0"/>
        <w:ind w:left="0" w:firstLine="1985"/>
        <w:rPr>
          <w:rFonts w:ascii="Arial" w:hAnsi="Arial" w:cs="Arial"/>
          <w:szCs w:val="24"/>
          <w:lang w:val="es-ES"/>
        </w:rPr>
      </w:pPr>
    </w:p>
    <w:p w14:paraId="51389548" w14:textId="77777777" w:rsidR="00FE4E7F" w:rsidRDefault="00FE4E7F" w:rsidP="002F45C0">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TRANSPORTE AEREO ENTRE LA REPÚBLICA DE CHILE Y LA REPUBLICA CHECA”, SUSCRITO EN NAIROBI, EL 11 DE DICIEMBRE DE 2018.</w:t>
      </w:r>
      <w:r>
        <w:rPr>
          <w:rStyle w:val="eopscxw198218553bcx0"/>
          <w:rFonts w:ascii="Arial" w:hAnsi="Arial" w:cs="Arial"/>
        </w:rPr>
        <w:t> </w:t>
      </w:r>
    </w:p>
    <w:p w14:paraId="02C3C812" w14:textId="77777777" w:rsidR="00FE4E7F" w:rsidRDefault="00FE4E7F" w:rsidP="009420B2">
      <w:pPr>
        <w:pStyle w:val="paragraphscxw198218553bcx0"/>
        <w:spacing w:before="0" w:beforeAutospacing="0" w:after="0" w:afterAutospacing="0"/>
        <w:ind w:left="-90" w:firstLine="2075"/>
        <w:jc w:val="both"/>
        <w:textAlignment w:val="baseline"/>
        <w:rPr>
          <w:rFonts w:ascii="Segoe UI" w:hAnsi="Segoe UI" w:cs="Segoe UI"/>
          <w:sz w:val="18"/>
          <w:szCs w:val="18"/>
        </w:rPr>
      </w:pPr>
    </w:p>
    <w:p w14:paraId="2BDF1702" w14:textId="77777777" w:rsidR="00FE4E7F" w:rsidRDefault="00FE4E7F" w:rsidP="000A270D">
      <w:pPr>
        <w:pStyle w:val="Prrafodelista"/>
        <w:spacing w:before="0" w:after="0"/>
        <w:ind w:left="0" w:firstLine="1985"/>
        <w:rPr>
          <w:rFonts w:ascii="Arial" w:hAnsi="Arial" w:cs="Arial"/>
          <w:b/>
          <w:szCs w:val="24"/>
          <w:lang w:val="es-ES"/>
        </w:rPr>
      </w:pPr>
    </w:p>
    <w:p w14:paraId="2882719C" w14:textId="77777777" w:rsidR="00FE4E7F" w:rsidRDefault="00FE4E7F"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2F4D3BE6" w14:textId="77777777" w:rsidR="00FE4E7F" w:rsidRDefault="00FE4E7F" w:rsidP="000A270D">
      <w:pPr>
        <w:pStyle w:val="Prrafodelista"/>
        <w:spacing w:before="0" w:after="0"/>
        <w:ind w:left="0" w:firstLine="1985"/>
        <w:rPr>
          <w:rFonts w:ascii="Arial" w:hAnsi="Arial" w:cs="Arial"/>
          <w:szCs w:val="24"/>
          <w:lang w:val="es-ES"/>
        </w:rPr>
      </w:pPr>
    </w:p>
    <w:p w14:paraId="40FFB24F" w14:textId="3B358953" w:rsidR="00FE4E7F" w:rsidRDefault="00FE4E7F"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w:t>
      </w:r>
      <w:r w:rsidR="0001192A">
        <w:rPr>
          <w:rFonts w:ascii="Arial" w:hAnsi="Arial" w:cs="Arial"/>
          <w:szCs w:val="24"/>
          <w:lang w:val="es-ES"/>
        </w:rPr>
        <w:t xml:space="preserve">A favor votó la </w:t>
      </w:r>
      <w:r w:rsidR="0001192A">
        <w:rPr>
          <w:rFonts w:ascii="Arial" w:hAnsi="Arial" w:cs="Arial"/>
          <w:szCs w:val="24"/>
        </w:rPr>
        <w:t xml:space="preserve">diputada señora </w:t>
      </w:r>
      <w:r w:rsidR="0001192A">
        <w:rPr>
          <w:rFonts w:ascii="Arial" w:hAnsi="Arial" w:cs="Arial"/>
          <w:b/>
          <w:bCs/>
          <w:szCs w:val="24"/>
          <w:lang w:val="es-ES"/>
        </w:rPr>
        <w:t>Muñoz</w:t>
      </w:r>
      <w:r w:rsidR="0001192A">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y </w:t>
      </w:r>
      <w:r w:rsidRPr="000A270D">
        <w:rPr>
          <w:rFonts w:ascii="Arial" w:hAnsi="Arial" w:cs="Arial"/>
          <w:b/>
          <w:szCs w:val="24"/>
          <w:lang w:val="es-ES"/>
        </w:rPr>
        <w:t>Vidal</w:t>
      </w:r>
      <w:r>
        <w:rPr>
          <w:rFonts w:ascii="Arial" w:hAnsi="Arial" w:cs="Arial"/>
          <w:szCs w:val="24"/>
          <w:lang w:val="es-ES"/>
        </w:rPr>
        <w:t>, don Pablo.</w:t>
      </w:r>
    </w:p>
    <w:p w14:paraId="2C684CAE" w14:textId="77777777" w:rsidR="00FE4E7F" w:rsidRDefault="00FE4E7F" w:rsidP="000A270D">
      <w:pPr>
        <w:pStyle w:val="Prrafodelista"/>
        <w:spacing w:before="0" w:after="0"/>
        <w:ind w:left="0" w:firstLine="1985"/>
        <w:rPr>
          <w:rFonts w:ascii="Arial" w:hAnsi="Arial" w:cs="Arial"/>
          <w:szCs w:val="24"/>
          <w:lang w:val="es-ES"/>
        </w:rPr>
      </w:pPr>
    </w:p>
    <w:p w14:paraId="385269BB" w14:textId="77777777" w:rsidR="00FE4E7F" w:rsidRPr="000A270D" w:rsidRDefault="00FE4E7F"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FC39AD">
        <w:rPr>
          <w:rFonts w:ascii="Arial" w:hAnsi="Arial" w:cs="Arial"/>
          <w:b/>
          <w:szCs w:val="24"/>
          <w:lang w:val="es-ES"/>
        </w:rPr>
        <w:t>CALISTO</w:t>
      </w:r>
      <w:r>
        <w:rPr>
          <w:rFonts w:ascii="Arial" w:hAnsi="Arial" w:cs="Arial"/>
          <w:szCs w:val="24"/>
          <w:lang w:val="es-ES"/>
        </w:rPr>
        <w:t>, don Miguel Ángel.</w:t>
      </w:r>
    </w:p>
    <w:p w14:paraId="2064E76E" w14:textId="77777777" w:rsidR="00786292" w:rsidRDefault="00786292" w:rsidP="00656D1F">
      <w:pPr>
        <w:pStyle w:val="Prrafodelista"/>
        <w:spacing w:before="0" w:after="0"/>
        <w:ind w:left="0"/>
        <w:jc w:val="center"/>
        <w:rPr>
          <w:rFonts w:ascii="Arial" w:hAnsi="Arial" w:cs="Arial"/>
          <w:b/>
          <w:szCs w:val="24"/>
          <w:lang w:val="es-ES"/>
        </w:rPr>
      </w:pPr>
    </w:p>
    <w:p w14:paraId="5A0F309D" w14:textId="77777777" w:rsidR="00786292" w:rsidRDefault="00786292" w:rsidP="00656D1F">
      <w:pPr>
        <w:pStyle w:val="Prrafodelista"/>
        <w:spacing w:before="0" w:after="0"/>
        <w:ind w:left="0"/>
        <w:jc w:val="center"/>
        <w:rPr>
          <w:rFonts w:ascii="Arial" w:hAnsi="Arial" w:cs="Arial"/>
          <w:b/>
          <w:szCs w:val="24"/>
          <w:lang w:val="es-ES"/>
        </w:rPr>
      </w:pPr>
    </w:p>
    <w:p w14:paraId="19F81C1A" w14:textId="14CBE710" w:rsidR="00FE4E7F" w:rsidRDefault="00FE4E7F" w:rsidP="00E91215">
      <w:pPr>
        <w:pStyle w:val="paragraphscxw198218553bcx0"/>
        <w:numPr>
          <w:ilvl w:val="0"/>
          <w:numId w:val="23"/>
        </w:numPr>
        <w:spacing w:before="0" w:beforeAutospacing="0" w:after="0" w:afterAutospacing="0"/>
        <w:jc w:val="both"/>
        <w:textAlignment w:val="baseline"/>
        <w:rPr>
          <w:rStyle w:val="eopscxw198218553bcx0"/>
          <w:rFonts w:ascii="Arial" w:hAnsi="Arial" w:cs="Arial"/>
        </w:rPr>
      </w:pPr>
      <w:r>
        <w:rPr>
          <w:rStyle w:val="normaltextrunscxw198218553bcx0"/>
          <w:rFonts w:ascii="Arial" w:hAnsi="Arial" w:cs="Arial"/>
          <w:b/>
          <w:bCs/>
        </w:rPr>
        <w:t>ANTECEDENTES</w:t>
      </w:r>
    </w:p>
    <w:p w14:paraId="654EA2E4" w14:textId="77777777" w:rsidR="003D23B9" w:rsidRDefault="003D23B9" w:rsidP="003D23B9">
      <w:pPr>
        <w:pStyle w:val="paragraphscxw198218553bcx0"/>
        <w:spacing w:before="0" w:beforeAutospacing="0" w:after="0" w:afterAutospacing="0"/>
        <w:ind w:left="630"/>
        <w:jc w:val="both"/>
        <w:textAlignment w:val="baseline"/>
        <w:rPr>
          <w:rFonts w:ascii="Arial" w:hAnsi="Arial" w:cs="Arial"/>
        </w:rPr>
      </w:pPr>
    </w:p>
    <w:p w14:paraId="5B4CE2E3" w14:textId="77777777" w:rsidR="00FE4E7F" w:rsidRDefault="00FE4E7F" w:rsidP="003A40DC">
      <w:pPr>
        <w:spacing w:before="0" w:after="0"/>
        <w:ind w:firstLine="1985"/>
        <w:rPr>
          <w:rFonts w:ascii="Arial" w:hAnsi="Arial" w:cs="Arial"/>
          <w:szCs w:val="24"/>
          <w:lang w:val="es-MX"/>
        </w:rPr>
      </w:pPr>
      <w:r>
        <w:rPr>
          <w:rFonts w:ascii="Arial" w:hAnsi="Arial" w:cs="Arial"/>
          <w:szCs w:val="24"/>
          <w:lang w:val="es-MX"/>
        </w:rPr>
        <w:t>Señala el Mensaje que este Acuerdo c</w:t>
      </w:r>
      <w:r w:rsidRPr="003A40DC">
        <w:rPr>
          <w:rFonts w:ascii="Arial" w:hAnsi="Arial" w:cs="Arial"/>
          <w:szCs w:val="24"/>
          <w:lang w:val="es-MX"/>
        </w:rPr>
        <w:t xml:space="preserve">orresponde a un Acuerdo bilateral de transporte aéreo cuya celebración obedece a la política aerocomercial de </w:t>
      </w:r>
      <w:r w:rsidRPr="003A40DC">
        <w:rPr>
          <w:rFonts w:ascii="Arial" w:hAnsi="Arial" w:cs="Arial"/>
          <w:szCs w:val="24"/>
          <w:lang w:val="es-MX"/>
        </w:rPr>
        <w:lastRenderedPageBreak/>
        <w:t>cielos abiertos impulsada por Chile desde hace varias décadas y que tiene como fin conseguir la mayor apertura con los demás países, en especial en lo relacionado con los derechos de tráfico, libre ingreso a los mercados, libertad tarifaria y mínima intervención de la autoridad.</w:t>
      </w:r>
    </w:p>
    <w:p w14:paraId="2FA90DBC" w14:textId="77777777" w:rsidR="00FE4E7F" w:rsidRPr="003A40DC" w:rsidRDefault="00FE4E7F" w:rsidP="003A40DC">
      <w:pPr>
        <w:spacing w:before="0" w:after="0"/>
        <w:ind w:firstLine="1985"/>
        <w:rPr>
          <w:rFonts w:ascii="Arial" w:hAnsi="Arial" w:cs="Arial"/>
          <w:szCs w:val="24"/>
          <w:lang w:val="es-MX"/>
        </w:rPr>
      </w:pPr>
    </w:p>
    <w:p w14:paraId="0380B506" w14:textId="77777777" w:rsidR="00FE4E7F" w:rsidRPr="003A40DC" w:rsidRDefault="00FE4E7F" w:rsidP="003A40DC">
      <w:pPr>
        <w:pStyle w:val="Ttulo1"/>
        <w:keepLines/>
        <w:numPr>
          <w:ilvl w:val="0"/>
          <w:numId w:val="23"/>
        </w:numPr>
        <w:spacing w:before="0" w:after="0"/>
        <w:rPr>
          <w:rFonts w:ascii="Arial" w:hAnsi="Arial" w:cs="Arial"/>
          <w:sz w:val="24"/>
          <w:szCs w:val="24"/>
          <w:lang w:val="es-MX"/>
        </w:rPr>
      </w:pPr>
      <w:r w:rsidRPr="003A40DC">
        <w:rPr>
          <w:rFonts w:ascii="Arial" w:hAnsi="Arial" w:cs="Arial"/>
          <w:sz w:val="24"/>
          <w:szCs w:val="24"/>
          <w:lang w:val="es-MX"/>
        </w:rPr>
        <w:t>ESTRUCTURA Y CONTENIDO DEL ACUERDO.</w:t>
      </w:r>
    </w:p>
    <w:p w14:paraId="7BAD64D8" w14:textId="77777777" w:rsidR="00FE4E7F" w:rsidRDefault="00FE4E7F" w:rsidP="003A40DC">
      <w:pPr>
        <w:spacing w:before="0" w:after="0"/>
        <w:ind w:firstLine="1985"/>
        <w:rPr>
          <w:rFonts w:ascii="Arial" w:hAnsi="Arial" w:cs="Arial"/>
          <w:szCs w:val="24"/>
          <w:lang w:val="es-MX"/>
        </w:rPr>
      </w:pPr>
    </w:p>
    <w:p w14:paraId="46029F1D"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El presente Acuerdo consta de un Preámbulo, en el cual las Partes dan cuenta de las consideraciones y propósitos que tuvieron a la vista para celebrarlo, y de 20 Artículos, donde se despliegan las normas que conforman su cuerpo principal.</w:t>
      </w:r>
    </w:p>
    <w:p w14:paraId="6D9F040F" w14:textId="77777777" w:rsidR="00FE4E7F" w:rsidRDefault="00FE4E7F" w:rsidP="003A40DC">
      <w:pPr>
        <w:pStyle w:val="Ttulo1"/>
        <w:keepLines/>
        <w:numPr>
          <w:ilvl w:val="0"/>
          <w:numId w:val="0"/>
        </w:numPr>
        <w:spacing w:before="0" w:after="0"/>
        <w:rPr>
          <w:rFonts w:ascii="Arial" w:hAnsi="Arial" w:cs="Arial"/>
          <w:sz w:val="24"/>
          <w:szCs w:val="24"/>
          <w:lang w:val="es-MX"/>
        </w:rPr>
      </w:pPr>
    </w:p>
    <w:p w14:paraId="086B9C34" w14:textId="77777777" w:rsidR="00FE4E7F" w:rsidRDefault="00FE4E7F" w:rsidP="003A40DC">
      <w:pPr>
        <w:pStyle w:val="Ttulo1"/>
        <w:keepLines/>
        <w:numPr>
          <w:ilvl w:val="0"/>
          <w:numId w:val="0"/>
        </w:numPr>
        <w:spacing w:before="0" w:after="0"/>
        <w:ind w:left="1265" w:firstLine="720"/>
        <w:rPr>
          <w:rFonts w:ascii="Arial" w:hAnsi="Arial" w:cs="Arial"/>
          <w:sz w:val="24"/>
          <w:szCs w:val="24"/>
          <w:lang w:val="es-MX"/>
        </w:rPr>
      </w:pPr>
      <w:r w:rsidRPr="003A40DC">
        <w:rPr>
          <w:rFonts w:ascii="Arial" w:hAnsi="Arial" w:cs="Arial"/>
          <w:sz w:val="24"/>
          <w:szCs w:val="24"/>
          <w:lang w:val="es-MX"/>
        </w:rPr>
        <w:t>PREÁMBULO</w:t>
      </w:r>
    </w:p>
    <w:p w14:paraId="235427F9" w14:textId="77777777" w:rsidR="00FE4E7F" w:rsidRDefault="00FE4E7F" w:rsidP="003A40DC">
      <w:pPr>
        <w:spacing w:before="0" w:after="0"/>
        <w:ind w:firstLine="1985"/>
        <w:rPr>
          <w:rFonts w:ascii="Arial" w:hAnsi="Arial" w:cs="Arial"/>
          <w:szCs w:val="24"/>
          <w:lang w:val="es-MX"/>
        </w:rPr>
      </w:pPr>
    </w:p>
    <w:p w14:paraId="6E8E2DF5" w14:textId="77777777" w:rsidR="00FE4E7F" w:rsidRDefault="00FE4E7F" w:rsidP="003A40DC">
      <w:pPr>
        <w:spacing w:before="0" w:after="0"/>
        <w:ind w:firstLine="1985"/>
        <w:rPr>
          <w:rFonts w:ascii="Arial" w:hAnsi="Arial" w:cs="Arial"/>
          <w:szCs w:val="24"/>
          <w:lang w:val="es-MX"/>
        </w:rPr>
      </w:pPr>
      <w:r w:rsidRPr="003A40DC">
        <w:rPr>
          <w:rFonts w:ascii="Arial" w:hAnsi="Arial" w:cs="Arial"/>
          <w:szCs w:val="24"/>
          <w:lang w:val="es-MX"/>
        </w:rPr>
        <w:t>En el Preámbulo las Partes manifiestan que la celebración de este Acuerdo facilitará la expansión del transporte aéreo internacional, para hacer posible que las líneas aéreas ofrezcan a los viajeros y embarcadores una variedad de opciones de servicios a las tarifas más bajas que no sean discriminatorias ni que representen un abuso de una posición dominante, estimulando a las líneas aéreas individuales a establecer e implementar tarifas innovadoras y competitivas.</w:t>
      </w:r>
    </w:p>
    <w:p w14:paraId="5F85FA2D" w14:textId="77777777" w:rsidR="00FE4E7F" w:rsidRPr="003A40DC" w:rsidRDefault="00FE4E7F" w:rsidP="003A40DC">
      <w:pPr>
        <w:spacing w:before="0" w:after="0"/>
        <w:ind w:firstLine="1985"/>
        <w:rPr>
          <w:rFonts w:ascii="Arial" w:hAnsi="Arial" w:cs="Arial"/>
          <w:szCs w:val="24"/>
          <w:lang w:val="es-MX"/>
        </w:rPr>
      </w:pPr>
    </w:p>
    <w:p w14:paraId="31DB7906" w14:textId="77777777" w:rsidR="00FE4E7F" w:rsidRDefault="00FE4E7F" w:rsidP="003A40DC">
      <w:pPr>
        <w:pStyle w:val="Ttulo1"/>
        <w:keepLines/>
        <w:numPr>
          <w:ilvl w:val="0"/>
          <w:numId w:val="0"/>
        </w:numPr>
        <w:spacing w:before="0" w:after="0"/>
        <w:ind w:left="1265" w:firstLine="720"/>
        <w:rPr>
          <w:rFonts w:ascii="Arial" w:hAnsi="Arial" w:cs="Arial"/>
          <w:sz w:val="24"/>
          <w:szCs w:val="24"/>
          <w:lang w:val="es-MX"/>
        </w:rPr>
      </w:pPr>
      <w:r w:rsidRPr="003A40DC">
        <w:rPr>
          <w:rFonts w:ascii="Arial" w:hAnsi="Arial" w:cs="Arial"/>
          <w:sz w:val="24"/>
          <w:szCs w:val="24"/>
          <w:lang w:val="es-MX"/>
        </w:rPr>
        <w:t>PRINCIPALES DISPOSICIONES</w:t>
      </w:r>
    </w:p>
    <w:p w14:paraId="4BBEAB81" w14:textId="77777777" w:rsidR="00FE4E7F" w:rsidRDefault="00FE4E7F" w:rsidP="003A40DC">
      <w:pPr>
        <w:spacing w:before="0" w:after="0"/>
        <w:ind w:firstLine="1985"/>
        <w:rPr>
          <w:rFonts w:ascii="Arial" w:hAnsi="Arial" w:cs="Arial"/>
          <w:szCs w:val="24"/>
          <w:lang w:val="es-MX"/>
        </w:rPr>
      </w:pPr>
    </w:p>
    <w:p w14:paraId="6CC642E9"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 xml:space="preserve">El Artículo 1, titulado “Definiciones”, contiene una serie de términos y conceptos del Acuerdo, con el objeto de facilitar la comprensión e interpretación de las disposiciones del mismo. </w:t>
      </w:r>
    </w:p>
    <w:p w14:paraId="0D01D6B0" w14:textId="77777777" w:rsidR="00FE4E7F" w:rsidRPr="003A40DC" w:rsidRDefault="00FE4E7F" w:rsidP="003A40DC">
      <w:pPr>
        <w:spacing w:before="0" w:after="0"/>
        <w:ind w:firstLine="1985"/>
        <w:rPr>
          <w:rFonts w:ascii="Arial" w:hAnsi="Arial" w:cs="Arial"/>
          <w:szCs w:val="24"/>
          <w:lang w:val="es-MX"/>
        </w:rPr>
      </w:pPr>
    </w:p>
    <w:p w14:paraId="1A95E319"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 xml:space="preserve">El Artículo 2, relativo al “Otorgamiento de Derechos”, contempla los derechos de tráfico de 1ra libertad (sobrevuelo), 2da  libertad (escala técnica), 3ra y 4ta libertades (derecho a prestar servicios regulares y no regulares, combinados de pasajeros, carga y correo o exclusivos de carga, entre los territorios de ambos países); la 5ta libertad (prestar dichos servicios entre los territorios de la contraparte y cualquier tercer país, directamente); y la 6ta libertad (prestar los mismos servicios entre el territorio de la contraparte y cualquier tercer país, pero pasando por su propio territorio). </w:t>
      </w:r>
    </w:p>
    <w:p w14:paraId="033602AA" w14:textId="77777777" w:rsidR="00FE4E7F" w:rsidRPr="003A40DC" w:rsidRDefault="00FE4E7F" w:rsidP="003A40DC">
      <w:pPr>
        <w:spacing w:before="0" w:after="0"/>
        <w:ind w:firstLine="1985"/>
        <w:rPr>
          <w:rFonts w:ascii="Arial" w:hAnsi="Arial" w:cs="Arial"/>
          <w:szCs w:val="24"/>
          <w:lang w:val="es-MX"/>
        </w:rPr>
      </w:pPr>
    </w:p>
    <w:p w14:paraId="4A10D94C"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A su turno, el Artículo 3, que trata la “Designación y Autorización”, contempla el derecho de cada Parte para designar tantas líneas aéreas como desee y para retirar o modificar tales designaciones, las cuales serán transmitidas a la otra Parte, por escrito, mediante la vía diplomática. También se refiere al principio de celeridad administrativa en el otorgamiento de las autorizaciones y mínima demora administrativa.</w:t>
      </w:r>
    </w:p>
    <w:p w14:paraId="036D1288" w14:textId="77777777" w:rsidR="00FE4E7F" w:rsidRPr="003A40DC" w:rsidRDefault="00FE4E7F" w:rsidP="003A40DC">
      <w:pPr>
        <w:spacing w:before="0" w:after="0"/>
        <w:ind w:firstLine="1985"/>
        <w:rPr>
          <w:rFonts w:ascii="Arial" w:hAnsi="Arial" w:cs="Arial"/>
          <w:szCs w:val="24"/>
          <w:lang w:val="es-MX"/>
        </w:rPr>
      </w:pPr>
    </w:p>
    <w:p w14:paraId="0A6C8E54"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Seguidamente, el Artículo 4 referido a la “Revocación, Suspensión o Limitación de Autorización” consagra los requisitos diferenciados respecto de las condiciones que deben cumplir las empresas designadas por cada una de las Partes. En el caso de las empresas designadas por República Checa, se exige que las empresas aéreas se encuentren establecidas en el territorio de la República Checa o que tenga una Licencia de Explotación válida de acuerdo al Derecho de la Unión Europea. Por su parte, las empresas designadas por Chile deben estar legalmente constituidas y tener la oficina principal de sus negocios en el territorio chileno, lo que favorece la inversión extranjera. Asimismo, para ambos Estados, la Parte que designa debe ejercer y mantener el control regulatorio efectivo de la compañía aérea que ha designado o, en caso de República Checa, puede ser ejercido por otro Estado Miembro de la Comunidad Europea responsable por la emisión de su Certificado de Operador Aéreo.</w:t>
      </w:r>
    </w:p>
    <w:p w14:paraId="783EBC7B"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lastRenderedPageBreak/>
        <w:t>A mayor abundamiento, el Artículo agrega que un Estado Parte puede revocar una autorización a una empresa designada cuando la compañía aérea designada por el otro Estado no cumpla con los requisitos señalados precedentemente. Esto no limita los derechos de las Partes para suspender, limitar o imponer condiciones al transporte aéreo en conformidad con las disposiciones de seguridad operacional o “Safety” (Artículo 6) o seguridad de la aviación o “Aviation Security” (Artículo 7).</w:t>
      </w:r>
    </w:p>
    <w:p w14:paraId="19D1A935" w14:textId="77777777" w:rsidR="00FE4E7F" w:rsidRPr="003A40DC" w:rsidRDefault="00FE4E7F" w:rsidP="003A40DC">
      <w:pPr>
        <w:spacing w:before="0" w:after="0"/>
        <w:ind w:firstLine="1985"/>
        <w:rPr>
          <w:rFonts w:ascii="Arial" w:hAnsi="Arial" w:cs="Arial"/>
          <w:szCs w:val="24"/>
          <w:lang w:val="es-MX"/>
        </w:rPr>
      </w:pPr>
    </w:p>
    <w:p w14:paraId="1B551246" w14:textId="125CD731"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 xml:space="preserve">El Artículo 6, denominado “Seguridad Operacional”, indica </w:t>
      </w:r>
      <w:r w:rsidR="0001192A" w:rsidRPr="003A40DC">
        <w:rPr>
          <w:rFonts w:ascii="Arial" w:hAnsi="Arial" w:cs="Arial"/>
          <w:szCs w:val="24"/>
          <w:lang w:val="es-MX"/>
        </w:rPr>
        <w:t>que,</w:t>
      </w:r>
      <w:r w:rsidRPr="003A40DC">
        <w:rPr>
          <w:rFonts w:ascii="Arial" w:hAnsi="Arial" w:cs="Arial"/>
          <w:szCs w:val="24"/>
          <w:lang w:val="es-MX"/>
        </w:rPr>
        <w:t xml:space="preserve"> para efectos de operar los servicios acordados, ambas Partes reconocerán como válidos los certificados de aeronavegabilidad, de idoneidad y las licencias emitidas o validadas por la otra Parte que se encuentren vigentes. Asimismo, las Partes se comprometen a cumplir con las normas de seguridad de vuelo dictadas por la otra Parte y pueden solicitar consultas relativas a las normas de seguridad operacional mantenidas por la otra Parte. En este orden de cosas se reservan el derecho a revocar o modificar inmediatamente la autorización de explotación de la compañía aérea o de suspender un vuelo en particular.</w:t>
      </w:r>
    </w:p>
    <w:p w14:paraId="29AACDDD" w14:textId="77777777" w:rsidR="00FE4E7F" w:rsidRPr="003A40DC" w:rsidRDefault="00FE4E7F" w:rsidP="003A40DC">
      <w:pPr>
        <w:spacing w:before="0" w:after="0"/>
        <w:ind w:firstLine="1985"/>
        <w:rPr>
          <w:rFonts w:ascii="Arial" w:hAnsi="Arial" w:cs="Arial"/>
          <w:szCs w:val="24"/>
          <w:lang w:val="es-MX"/>
        </w:rPr>
      </w:pPr>
    </w:p>
    <w:p w14:paraId="18A8673D"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Conforme al Artículo 7, rotulado “Seguridad de la Aviación”, las Partes reafirman su obligación de proteger, en su relación mutua, la seguridad de la aviación civil contra los actos de interferencia ilícita y a prestarse mutuamente toda la ayuda que sea necesaria en esta materia. Esta última norma se basa en una cláusula modelo de seguridad elaborado por la OACI. Cabe hacer presente que los convenios internacionales acerca de seguridad y actos ilícitos cometidos a bordo de las aeronaves, citados en el Artículo, son instrumentos ratificados por Chile.</w:t>
      </w:r>
    </w:p>
    <w:p w14:paraId="0F8D3B5F" w14:textId="77777777" w:rsidR="00FE4E7F" w:rsidRPr="003A40DC" w:rsidRDefault="00FE4E7F" w:rsidP="003A40DC">
      <w:pPr>
        <w:spacing w:before="0" w:after="0"/>
        <w:ind w:firstLine="1985"/>
        <w:rPr>
          <w:rFonts w:ascii="Arial" w:hAnsi="Arial" w:cs="Arial"/>
          <w:szCs w:val="24"/>
          <w:lang w:val="es-MX"/>
        </w:rPr>
      </w:pPr>
    </w:p>
    <w:p w14:paraId="382B656F"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Respecto a las “Oportunidades Comerciales”, contenidas en el Artículo 8, las Partes se comprometen a otorgar a las líneas aéreas designadas de la otra Parte, el derecho de abrir oficinas y mantener personal en el territorio de la otra Parte; de realizar sus propios servicios en tierra o de seleccionar entre los agentes autorizados; de vender directamente sus servicios de transporte aéreo o hacerlo a través de agentes; y de celebrar acuerdos de cooperación comercial, tales como reserva de capacidad, código compartido, intercambio de aeronaves, arrendamiento de aeronaves y otros, con líneas aéreas de las Partes o de un tercer país, siempre que las líneas aéreas que celebren tales acuerdos cuenten con los derechos de tráfico y de rutas correspondiente y cumplan con los requerimientos aplicables a ese tipo de arreglos. Asimismo, este Artículo incorpora la autorización a las empresas designadas para llegar a acuerdos de transporte intermodal, favoreciendo las conexiones con otros medios de transporte.</w:t>
      </w:r>
    </w:p>
    <w:p w14:paraId="73DF1675" w14:textId="77777777" w:rsidR="00FE4E7F" w:rsidRPr="003A40DC" w:rsidRDefault="00FE4E7F" w:rsidP="003A40DC">
      <w:pPr>
        <w:spacing w:before="0" w:after="0"/>
        <w:ind w:firstLine="1985"/>
        <w:rPr>
          <w:rFonts w:ascii="Arial" w:hAnsi="Arial" w:cs="Arial"/>
          <w:szCs w:val="24"/>
          <w:lang w:val="es-MX"/>
        </w:rPr>
      </w:pPr>
    </w:p>
    <w:p w14:paraId="506D7D1D"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El Artículo 13, que regula las “Tarifas”, prevé la libertad tarifaria, que significa que las líneas aéreas pueden cobrar las tarifas que deseen de acuerdo a sus consideraciones comerciales de mercado, así, la intervención de las Partes en esta materia se limitará a evitar precios o prácticas discriminatorias, precios excesivamente altos o restrictivos por abuso de una posición dominante o artificialmente bajos por subvenciones o ayuda gubernamental directa o indirecta. Una tarifa continuará en vigor salvo que, previas consultas, ambas Partes objeten y lleguen a un acuerdo. Se notificará o registrará ante cada una de las Partes los precios que se cobren desde o hacia su territorio.</w:t>
      </w:r>
    </w:p>
    <w:p w14:paraId="1365B00F" w14:textId="77777777" w:rsidR="00FE4E7F" w:rsidRPr="003A40DC" w:rsidRDefault="00FE4E7F" w:rsidP="003A40DC">
      <w:pPr>
        <w:spacing w:before="0" w:after="0"/>
        <w:ind w:firstLine="1985"/>
        <w:rPr>
          <w:rFonts w:ascii="Arial" w:hAnsi="Arial" w:cs="Arial"/>
          <w:szCs w:val="24"/>
          <w:lang w:val="es-MX"/>
        </w:rPr>
      </w:pPr>
    </w:p>
    <w:p w14:paraId="3F1FDFDA"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El Artículo 14, concerniente a las “Consultas y Enmiendas”, prescribe que las Partes pueden modificar alguna disposición del Acuerdo mediante el mecanismo de consultas entre ambas, enmiendas que entrarán en vigor cuando las mismas se confirmen, por intercambio de notas una vez que todos los procedimientos internos necesarios se han completado por las Partes.</w:t>
      </w:r>
    </w:p>
    <w:p w14:paraId="36F2BC71" w14:textId="1B8B46CF" w:rsidR="00FE4E7F" w:rsidRPr="003A40DC" w:rsidRDefault="00FE4E7F" w:rsidP="003A40DC">
      <w:pPr>
        <w:spacing w:before="0" w:after="0"/>
        <w:ind w:firstLine="1985"/>
        <w:rPr>
          <w:rFonts w:ascii="Arial" w:hAnsi="Arial" w:cs="Arial"/>
          <w:szCs w:val="24"/>
          <w:lang w:val="es-MX"/>
        </w:rPr>
      </w:pPr>
      <w:bookmarkStart w:id="0" w:name="_GoBack"/>
      <w:bookmarkEnd w:id="0"/>
      <w:r w:rsidRPr="003A40DC">
        <w:rPr>
          <w:rFonts w:ascii="Arial" w:hAnsi="Arial" w:cs="Arial"/>
          <w:szCs w:val="24"/>
          <w:lang w:val="es-MX"/>
        </w:rPr>
        <w:lastRenderedPageBreak/>
        <w:t xml:space="preserve">El Artículo 15, que alude a la “Solución de Controversias” establece </w:t>
      </w:r>
      <w:r w:rsidR="0001192A" w:rsidRPr="003A40DC">
        <w:rPr>
          <w:rFonts w:ascii="Arial" w:hAnsi="Arial" w:cs="Arial"/>
          <w:szCs w:val="24"/>
          <w:lang w:val="es-MX"/>
        </w:rPr>
        <w:t>que,</w:t>
      </w:r>
      <w:r w:rsidRPr="003A40DC">
        <w:rPr>
          <w:rFonts w:ascii="Arial" w:hAnsi="Arial" w:cs="Arial"/>
          <w:szCs w:val="24"/>
          <w:lang w:val="es-MX"/>
        </w:rPr>
        <w:t xml:space="preserve"> si surgiere alguna controversia entre las Partes relativa a la interpretación o aplicación del presente Acuerdo, se contempla la consulta entre las autoridades como vía de solución. En caso de persistir la controversia, las Partes pueden recurrir a un panel arbitral para dirimir la controversia. </w:t>
      </w:r>
    </w:p>
    <w:p w14:paraId="1933F9EB" w14:textId="77777777" w:rsidR="00FE4E7F" w:rsidRPr="003A40DC" w:rsidRDefault="00FE4E7F" w:rsidP="003A40DC">
      <w:pPr>
        <w:spacing w:before="0" w:after="0"/>
        <w:ind w:firstLine="1985"/>
        <w:rPr>
          <w:rFonts w:ascii="Arial" w:hAnsi="Arial" w:cs="Arial"/>
          <w:szCs w:val="24"/>
          <w:lang w:val="es-MX"/>
        </w:rPr>
      </w:pPr>
    </w:p>
    <w:p w14:paraId="7A076F0E"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El Artículo 19, consagra el principio de la “No Discriminación”, el cual es aplicable a la totalidad del Acuerdo, protegiendo a las compañías de ambas Partes de cualquier acto discriminatorio con relación a los derechos y obligaciones establecidos en el presente Acuerdo.</w:t>
      </w:r>
    </w:p>
    <w:p w14:paraId="0A3C5F41" w14:textId="77777777" w:rsidR="00FE4E7F" w:rsidRPr="003A40DC" w:rsidRDefault="00FE4E7F" w:rsidP="003A40DC">
      <w:pPr>
        <w:spacing w:before="0" w:after="0"/>
        <w:ind w:firstLine="1985"/>
        <w:rPr>
          <w:rFonts w:ascii="Arial" w:hAnsi="Arial" w:cs="Arial"/>
          <w:szCs w:val="24"/>
          <w:lang w:val="es-MX"/>
        </w:rPr>
      </w:pPr>
    </w:p>
    <w:p w14:paraId="491EFB22" w14:textId="77777777" w:rsidR="00FE4E7F" w:rsidRPr="003A40DC" w:rsidRDefault="00FE4E7F" w:rsidP="003A40DC">
      <w:pPr>
        <w:spacing w:before="0" w:after="0"/>
        <w:ind w:firstLine="1985"/>
        <w:rPr>
          <w:rFonts w:ascii="Arial" w:hAnsi="Arial" w:cs="Arial"/>
          <w:szCs w:val="24"/>
          <w:lang w:val="es-MX"/>
        </w:rPr>
      </w:pPr>
      <w:r w:rsidRPr="003A40DC">
        <w:rPr>
          <w:rFonts w:ascii="Arial" w:hAnsi="Arial" w:cs="Arial"/>
          <w:szCs w:val="24"/>
          <w:lang w:val="es-MX"/>
        </w:rPr>
        <w:t>Las demás disposiciones del presente Acuerdo, relativas a: “Aplicación de Leyes”          (Artículo 5); “Derechos de Aduana” (Artículo 9); “Tránsito Directo” (Artículo 10); “Cargos al Usuario” (Artículo 11); “ Competencia entre Líneas Aéreas” ( Artículo 12); “Terminación” (Artículo 16); “Acuerdo Multilateral” (Artículo 17); “Registro en la OACI” (Artículo 18); y “Entrada en vigor” (Artículo 20), representan cláusulas usuales en esta clase de instrumentos de Servicios Aéreos y corresponden a la aplicación de la normativa internacional amparada en el Convenio de Aviación Civil Internacional y en los usos y costumbres de la actividad aeronáutica.</w:t>
      </w:r>
    </w:p>
    <w:p w14:paraId="44951BDF" w14:textId="77777777" w:rsidR="00FE4E7F" w:rsidRDefault="00FE4E7F"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275B0FA8" w14:textId="77777777" w:rsidR="00FE4E7F" w:rsidRPr="003A40DC" w:rsidRDefault="00FE4E7F" w:rsidP="003A40DC">
      <w:pPr>
        <w:pStyle w:val="paragraphscxw198218553bcx0"/>
        <w:spacing w:before="0" w:beforeAutospacing="0" w:after="0" w:afterAutospacing="0"/>
        <w:jc w:val="both"/>
        <w:textAlignment w:val="baseline"/>
        <w:rPr>
          <w:rFonts w:ascii="Segoe UI" w:hAnsi="Segoe UI" w:cs="Segoe UI"/>
          <w:sz w:val="18"/>
          <w:szCs w:val="18"/>
        </w:rPr>
      </w:pPr>
    </w:p>
    <w:p w14:paraId="6B746B1B" w14:textId="77777777" w:rsidR="00FE4E7F" w:rsidRPr="008D6E69" w:rsidRDefault="00FE4E7F"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6C3DEB29" w14:textId="77777777" w:rsidR="00FE4E7F" w:rsidRPr="008D6E69" w:rsidRDefault="00FE4E7F" w:rsidP="00656D1F">
      <w:pPr>
        <w:tabs>
          <w:tab w:val="left" w:pos="3544"/>
        </w:tabs>
        <w:spacing w:before="0" w:after="0"/>
        <w:ind w:firstLine="1985"/>
        <w:rPr>
          <w:rFonts w:ascii="Arial" w:hAnsi="Arial" w:cs="Arial"/>
          <w:szCs w:val="24"/>
          <w:u w:val="single"/>
        </w:rPr>
      </w:pPr>
    </w:p>
    <w:p w14:paraId="1E736395" w14:textId="492821F4" w:rsidR="00FE4E7F" w:rsidRDefault="00FE4E7F" w:rsidP="00FC39AD">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0001192A">
        <w:rPr>
          <w:rFonts w:ascii="Arial" w:hAnsi="Arial" w:cs="Arial"/>
          <w:bCs/>
          <w:szCs w:val="24"/>
        </w:rPr>
        <w:t>,</w:t>
      </w:r>
      <w:r w:rsidRPr="00735EF5">
        <w:rPr>
          <w:rFonts w:ascii="Arial" w:hAnsi="Arial" w:cs="Arial"/>
          <w:szCs w:val="24"/>
        </w:rPr>
        <w:t xml:space="preserve"> Jefe del Departamento Legal de la JAC.</w:t>
      </w:r>
    </w:p>
    <w:p w14:paraId="4BBFFCF5" w14:textId="77777777" w:rsidR="00FE4E7F" w:rsidRDefault="00FE4E7F" w:rsidP="00FC39AD">
      <w:pPr>
        <w:spacing w:before="0" w:after="0"/>
        <w:ind w:firstLine="1985"/>
        <w:rPr>
          <w:rFonts w:ascii="Arial" w:hAnsi="Arial" w:cs="Arial"/>
          <w:szCs w:val="24"/>
        </w:rPr>
      </w:pPr>
    </w:p>
    <w:p w14:paraId="1F5814D4" w14:textId="77777777" w:rsidR="00FE4E7F" w:rsidRDefault="00FE4E7F" w:rsidP="00FC39AD">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1123C9FB" w14:textId="77777777" w:rsidR="00FE4E7F" w:rsidRDefault="00FE4E7F" w:rsidP="00FC39AD">
      <w:pPr>
        <w:spacing w:before="0" w:after="0"/>
        <w:ind w:firstLine="1985"/>
        <w:rPr>
          <w:rFonts w:ascii="Arial" w:hAnsi="Arial" w:cs="Arial"/>
          <w:szCs w:val="24"/>
        </w:rPr>
      </w:pPr>
    </w:p>
    <w:p w14:paraId="2508682B" w14:textId="77777777" w:rsidR="00FE4E7F" w:rsidRDefault="00FE4E7F" w:rsidP="00FC39AD">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incluyendo no solamente los vuelos directos, sino que también los vuelos con escala y aquellos operados con código compartido. Dado lo anterior, el señor Subsecretario sostuvo que estos instrumentos de políticas aerocomercial son fundamentales para la conectividad de Chile con el resto del mundo. </w:t>
      </w:r>
    </w:p>
    <w:p w14:paraId="4E91061F" w14:textId="77777777" w:rsidR="00FE4E7F" w:rsidRDefault="00FE4E7F" w:rsidP="00FC39AD">
      <w:pPr>
        <w:spacing w:before="0" w:after="0"/>
        <w:ind w:firstLine="1985"/>
        <w:rPr>
          <w:rFonts w:ascii="Arial" w:hAnsi="Arial" w:cs="Arial"/>
          <w:szCs w:val="24"/>
        </w:rPr>
      </w:pPr>
    </w:p>
    <w:p w14:paraId="2CA4BE8F" w14:textId="77777777" w:rsidR="00FE4E7F" w:rsidRDefault="00FE4E7F" w:rsidP="00FC39AD">
      <w:pPr>
        <w:spacing w:before="0" w:after="0"/>
        <w:ind w:firstLine="1985"/>
        <w:rPr>
          <w:rFonts w:ascii="Arial" w:hAnsi="Arial" w:cs="Arial"/>
          <w:szCs w:val="24"/>
        </w:rPr>
      </w:pPr>
      <w:r>
        <w:rPr>
          <w:rFonts w:ascii="Arial" w:hAnsi="Arial" w:cs="Arial"/>
          <w:szCs w:val="24"/>
        </w:rPr>
        <w:t xml:space="preserve">En relación con este Acuerdo, y en la idea general de que viene a reforzar la política de liberalización de transporte aéreo, el señor </w:t>
      </w:r>
      <w:r w:rsidRPr="00B614C8">
        <w:rPr>
          <w:rFonts w:ascii="Arial" w:hAnsi="Arial" w:cs="Arial"/>
          <w:b/>
          <w:szCs w:val="24"/>
        </w:rPr>
        <w:t>Yáñez</w:t>
      </w:r>
      <w:r>
        <w:rPr>
          <w:rFonts w:ascii="Arial" w:hAnsi="Arial" w:cs="Arial"/>
          <w:szCs w:val="24"/>
        </w:rPr>
        <w:t xml:space="preserve"> hizo hincapié en que se amplían las opciones a los pasajeros y exportadores. De igual modo, y para finalizar, destacó que este Acuerdo es con un país de la Unión Europea y de carácter ilimitado en relación con los vuelos semanales que se establecen con países de dicho </w:t>
      </w:r>
      <w:r>
        <w:rPr>
          <w:rFonts w:ascii="Arial" w:hAnsi="Arial" w:cs="Arial"/>
          <w:szCs w:val="24"/>
        </w:rPr>
        <w:lastRenderedPageBreak/>
        <w:t xml:space="preserve">bloque y, por tanto, sientan un precedente importante como base para vuelos similares con otros países miembros de la UE. </w:t>
      </w:r>
    </w:p>
    <w:p w14:paraId="472F51FC" w14:textId="77777777" w:rsidR="00FE4E7F" w:rsidRDefault="00FE4E7F" w:rsidP="0069053A">
      <w:pPr>
        <w:pStyle w:val="Prrafodelista"/>
        <w:spacing w:before="0" w:after="0"/>
        <w:ind w:left="0" w:firstLine="1985"/>
        <w:rPr>
          <w:rFonts w:ascii="Arial" w:hAnsi="Arial" w:cs="Arial"/>
          <w:szCs w:val="24"/>
          <w:lang w:val="es-ES"/>
        </w:rPr>
      </w:pPr>
    </w:p>
    <w:p w14:paraId="7D6908CF" w14:textId="77777777" w:rsidR="00FE4E7F" w:rsidRPr="006C6E72" w:rsidRDefault="00FE4E7F" w:rsidP="00FC39AD">
      <w:pPr>
        <w:spacing w:after="0"/>
        <w:ind w:firstLine="1985"/>
        <w:rPr>
          <w:rFonts w:ascii="Arial" w:hAnsi="Arial" w:cs="Arial"/>
          <w:szCs w:val="24"/>
          <w:lang w:val="es-ES"/>
        </w:rPr>
      </w:pPr>
      <w:r>
        <w:rPr>
          <w:rFonts w:ascii="Arial" w:hAnsi="Arial" w:cs="Arial"/>
          <w:szCs w:val="24"/>
          <w:lang w:val="es-ES"/>
        </w:rPr>
        <w:t xml:space="preserve">Por su parte, la señora </w:t>
      </w:r>
      <w:r w:rsidRPr="00FC39AD">
        <w:rPr>
          <w:rFonts w:ascii="Arial" w:hAnsi="Arial" w:cs="Arial"/>
          <w:b/>
          <w:szCs w:val="24"/>
          <w:lang w:val="es-ES"/>
        </w:rPr>
        <w:t xml:space="preserve">Lee </w:t>
      </w:r>
      <w:r>
        <w:rPr>
          <w:rFonts w:ascii="Arial" w:hAnsi="Arial" w:cs="Arial"/>
          <w:szCs w:val="24"/>
          <w:lang w:val="es-ES"/>
        </w:rPr>
        <w:t>hizo presente que este Acuerdo</w:t>
      </w:r>
      <w:r w:rsidRPr="006C6E72">
        <w:rPr>
          <w:rFonts w:ascii="Arial" w:hAnsi="Arial" w:cs="Arial"/>
          <w:szCs w:val="24"/>
          <w:lang w:val="es-ES"/>
        </w:rPr>
        <w:t xml:space="preserve"> permitiría un número ilimitado de operaciones hacia Europa, a diferencia de las restricciones al número de vuelos semanales que se tienen actualmente con otros países de la Unión Europea. Por lo anterior, podría generar las bases para acuerdos similares con otros países vecinos, incluyendo Alemania, Francia o España, o incluso para un acuerdo global con la Comunidad Europea. </w:t>
      </w:r>
    </w:p>
    <w:p w14:paraId="4183EC5A" w14:textId="77777777" w:rsidR="00FE4E7F" w:rsidRPr="006C6E72" w:rsidRDefault="00FE4E7F" w:rsidP="00FC39AD">
      <w:pPr>
        <w:spacing w:after="0"/>
        <w:ind w:firstLine="2160"/>
        <w:rPr>
          <w:rFonts w:ascii="Arial" w:hAnsi="Arial" w:cs="Arial"/>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704"/>
        <w:gridCol w:w="1297"/>
      </w:tblGrid>
      <w:tr w:rsidR="00FE4E7F" w:rsidRPr="006C6E72" w14:paraId="6F385DA9" w14:textId="77777777" w:rsidTr="00827AFB">
        <w:trPr>
          <w:jc w:val="center"/>
        </w:trPr>
        <w:tc>
          <w:tcPr>
            <w:tcW w:w="1647" w:type="dxa"/>
            <w:vMerge w:val="restart"/>
            <w:vAlign w:val="center"/>
          </w:tcPr>
          <w:p w14:paraId="7D0F1BF9" w14:textId="77777777" w:rsidR="00FE4E7F" w:rsidRPr="00B144C5" w:rsidRDefault="00FE4E7F" w:rsidP="00827AFB">
            <w:pPr>
              <w:pStyle w:val="Sinespaciado"/>
              <w:jc w:val="center"/>
              <w:rPr>
                <w:rFonts w:ascii="Arial" w:hAnsi="Arial" w:cs="Arial"/>
                <w:b/>
                <w:bCs/>
                <w:sz w:val="24"/>
                <w:szCs w:val="24"/>
                <w:lang w:val="es-ES_tradnl"/>
              </w:rPr>
            </w:pPr>
            <w:bookmarkStart w:id="1" w:name="_Hlk70082720"/>
            <w:r w:rsidRPr="00B144C5">
              <w:rPr>
                <w:rFonts w:ascii="Arial" w:hAnsi="Arial" w:cs="Arial"/>
                <w:b/>
                <w:bCs/>
                <w:sz w:val="24"/>
                <w:szCs w:val="24"/>
                <w:lang w:val="es-ES_tradnl"/>
              </w:rPr>
              <w:t>País</w:t>
            </w:r>
          </w:p>
        </w:tc>
        <w:tc>
          <w:tcPr>
            <w:tcW w:w="3001" w:type="dxa"/>
            <w:gridSpan w:val="2"/>
          </w:tcPr>
          <w:p w14:paraId="47B11325" w14:textId="77777777" w:rsidR="00FE4E7F" w:rsidRPr="00B144C5" w:rsidRDefault="00FE4E7F" w:rsidP="00827AFB">
            <w:pPr>
              <w:pStyle w:val="Sinespaciado"/>
              <w:jc w:val="center"/>
              <w:rPr>
                <w:rFonts w:ascii="Arial" w:hAnsi="Arial" w:cs="Arial"/>
                <w:b/>
                <w:bCs/>
                <w:sz w:val="24"/>
                <w:szCs w:val="24"/>
                <w:lang w:val="es-ES_tradnl"/>
              </w:rPr>
            </w:pPr>
            <w:r w:rsidRPr="00B144C5">
              <w:rPr>
                <w:rFonts w:ascii="Arial" w:hAnsi="Arial" w:cs="Arial"/>
                <w:b/>
                <w:bCs/>
                <w:sz w:val="24"/>
                <w:szCs w:val="24"/>
                <w:lang w:val="es-ES_tradnl"/>
              </w:rPr>
              <w:t>N° máx. vuelos semanales</w:t>
            </w:r>
          </w:p>
        </w:tc>
      </w:tr>
      <w:tr w:rsidR="00FE4E7F" w:rsidRPr="006C6E72" w14:paraId="5F4B8F04" w14:textId="77777777" w:rsidTr="00827AFB">
        <w:trPr>
          <w:jc w:val="center"/>
        </w:trPr>
        <w:tc>
          <w:tcPr>
            <w:tcW w:w="1647" w:type="dxa"/>
            <w:vMerge/>
          </w:tcPr>
          <w:p w14:paraId="606E19D3" w14:textId="77777777" w:rsidR="00FE4E7F" w:rsidRPr="00B144C5" w:rsidRDefault="00FE4E7F" w:rsidP="00827AFB">
            <w:pPr>
              <w:pStyle w:val="Sinespaciado"/>
              <w:jc w:val="center"/>
              <w:rPr>
                <w:rFonts w:ascii="Arial" w:hAnsi="Arial" w:cs="Arial"/>
                <w:b/>
                <w:bCs/>
                <w:sz w:val="24"/>
                <w:szCs w:val="24"/>
                <w:lang w:val="es-ES_tradnl"/>
              </w:rPr>
            </w:pPr>
          </w:p>
        </w:tc>
        <w:tc>
          <w:tcPr>
            <w:tcW w:w="1704" w:type="dxa"/>
          </w:tcPr>
          <w:p w14:paraId="7AE1902F" w14:textId="77777777" w:rsidR="00FE4E7F" w:rsidRPr="00B144C5" w:rsidRDefault="00FE4E7F" w:rsidP="00827AFB">
            <w:pPr>
              <w:pStyle w:val="Sinespaciado"/>
              <w:jc w:val="center"/>
              <w:rPr>
                <w:rFonts w:ascii="Arial" w:hAnsi="Arial" w:cs="Arial"/>
                <w:b/>
                <w:bCs/>
                <w:sz w:val="24"/>
                <w:szCs w:val="24"/>
                <w:lang w:val="es-ES_tradnl"/>
              </w:rPr>
            </w:pPr>
            <w:r w:rsidRPr="00B144C5">
              <w:rPr>
                <w:rFonts w:ascii="Arial" w:hAnsi="Arial" w:cs="Arial"/>
                <w:b/>
                <w:bCs/>
                <w:sz w:val="24"/>
                <w:szCs w:val="24"/>
                <w:lang w:val="es-ES_tradnl"/>
              </w:rPr>
              <w:t>3ª y 4ª libertad</w:t>
            </w:r>
          </w:p>
        </w:tc>
        <w:tc>
          <w:tcPr>
            <w:tcW w:w="1297" w:type="dxa"/>
          </w:tcPr>
          <w:p w14:paraId="3A6567CA" w14:textId="77777777" w:rsidR="00FE4E7F" w:rsidRPr="00B144C5" w:rsidRDefault="00FE4E7F" w:rsidP="00827AFB">
            <w:pPr>
              <w:pStyle w:val="Sinespaciado"/>
              <w:jc w:val="center"/>
              <w:rPr>
                <w:rFonts w:ascii="Arial" w:hAnsi="Arial" w:cs="Arial"/>
                <w:b/>
                <w:bCs/>
                <w:sz w:val="24"/>
                <w:szCs w:val="24"/>
                <w:lang w:val="es-ES_tradnl"/>
              </w:rPr>
            </w:pPr>
            <w:r w:rsidRPr="00B144C5">
              <w:rPr>
                <w:rFonts w:ascii="Arial" w:hAnsi="Arial" w:cs="Arial"/>
                <w:b/>
                <w:bCs/>
                <w:sz w:val="24"/>
                <w:szCs w:val="24"/>
                <w:lang w:val="es-ES_tradnl"/>
              </w:rPr>
              <w:t>5ª libertad</w:t>
            </w:r>
          </w:p>
        </w:tc>
      </w:tr>
      <w:tr w:rsidR="00FE4E7F" w:rsidRPr="006C6E72" w14:paraId="3575CDB8" w14:textId="77777777" w:rsidTr="00827AFB">
        <w:trPr>
          <w:jc w:val="center"/>
        </w:trPr>
        <w:tc>
          <w:tcPr>
            <w:tcW w:w="1647" w:type="dxa"/>
          </w:tcPr>
          <w:p w14:paraId="70BA7619" w14:textId="77777777" w:rsidR="00FE4E7F" w:rsidRPr="00B144C5" w:rsidRDefault="00FE4E7F" w:rsidP="00827AFB">
            <w:pPr>
              <w:pStyle w:val="Sinespaciado"/>
              <w:rPr>
                <w:rFonts w:ascii="Arial" w:hAnsi="Arial" w:cs="Arial"/>
                <w:sz w:val="24"/>
                <w:szCs w:val="24"/>
                <w:lang w:val="es-ES_tradnl"/>
              </w:rPr>
            </w:pPr>
            <w:r w:rsidRPr="00B144C5">
              <w:rPr>
                <w:rFonts w:ascii="Arial" w:hAnsi="Arial" w:cs="Arial"/>
                <w:sz w:val="24"/>
                <w:szCs w:val="24"/>
                <w:lang w:val="es-ES_tradnl"/>
              </w:rPr>
              <w:t>Rep. Checa</w:t>
            </w:r>
          </w:p>
        </w:tc>
        <w:tc>
          <w:tcPr>
            <w:tcW w:w="1704" w:type="dxa"/>
          </w:tcPr>
          <w:p w14:paraId="3C51A1A1" w14:textId="77777777" w:rsidR="00FE4E7F" w:rsidRPr="00B144C5" w:rsidRDefault="00FE4E7F" w:rsidP="00827AFB">
            <w:pPr>
              <w:pStyle w:val="Sinespaciado"/>
              <w:jc w:val="center"/>
              <w:rPr>
                <w:rFonts w:ascii="Arial" w:hAnsi="Arial" w:cs="Arial"/>
                <w:sz w:val="24"/>
                <w:szCs w:val="24"/>
                <w:lang w:val="es-ES_tradnl"/>
              </w:rPr>
            </w:pPr>
            <w:r w:rsidRPr="00B144C5">
              <w:rPr>
                <w:rFonts w:ascii="Arial" w:hAnsi="Arial" w:cs="Arial"/>
                <w:sz w:val="24"/>
                <w:szCs w:val="24"/>
                <w:lang w:val="es-ES_tradnl"/>
              </w:rPr>
              <w:t>Ilimitado</w:t>
            </w:r>
          </w:p>
        </w:tc>
        <w:tc>
          <w:tcPr>
            <w:tcW w:w="1297" w:type="dxa"/>
          </w:tcPr>
          <w:p w14:paraId="22B283C4" w14:textId="77777777" w:rsidR="00FE4E7F" w:rsidRPr="00B144C5" w:rsidRDefault="00FE4E7F" w:rsidP="00827AFB">
            <w:pPr>
              <w:pStyle w:val="Sinespaciado"/>
              <w:jc w:val="center"/>
              <w:rPr>
                <w:rFonts w:ascii="Arial" w:hAnsi="Arial" w:cs="Arial"/>
                <w:sz w:val="24"/>
                <w:szCs w:val="24"/>
                <w:lang w:val="es-ES_tradnl"/>
              </w:rPr>
            </w:pPr>
            <w:r w:rsidRPr="00B144C5">
              <w:rPr>
                <w:rFonts w:ascii="Arial" w:hAnsi="Arial" w:cs="Arial"/>
                <w:sz w:val="24"/>
                <w:szCs w:val="24"/>
                <w:lang w:val="es-ES_tradnl"/>
              </w:rPr>
              <w:t>Ilimitado</w:t>
            </w:r>
          </w:p>
        </w:tc>
      </w:tr>
      <w:tr w:rsidR="00FE4E7F" w:rsidRPr="006C6E72" w14:paraId="02D62D89" w14:textId="77777777" w:rsidTr="00827AFB">
        <w:trPr>
          <w:jc w:val="center"/>
        </w:trPr>
        <w:tc>
          <w:tcPr>
            <w:tcW w:w="1647" w:type="dxa"/>
          </w:tcPr>
          <w:p w14:paraId="0361EBAE" w14:textId="77777777" w:rsidR="00FE4E7F" w:rsidRPr="00B144C5" w:rsidRDefault="00FE4E7F" w:rsidP="00827AFB">
            <w:pPr>
              <w:pStyle w:val="Sinespaciado"/>
              <w:rPr>
                <w:rFonts w:ascii="Arial" w:hAnsi="Arial" w:cs="Arial"/>
                <w:sz w:val="24"/>
                <w:szCs w:val="24"/>
                <w:lang w:val="es-ES_tradnl"/>
              </w:rPr>
            </w:pPr>
            <w:r w:rsidRPr="00B144C5">
              <w:rPr>
                <w:rFonts w:ascii="Arial" w:hAnsi="Arial" w:cs="Arial"/>
                <w:sz w:val="24"/>
                <w:szCs w:val="24"/>
                <w:lang w:val="es-ES_tradnl"/>
              </w:rPr>
              <w:t>Francia</w:t>
            </w:r>
          </w:p>
        </w:tc>
        <w:tc>
          <w:tcPr>
            <w:tcW w:w="3001" w:type="dxa"/>
            <w:gridSpan w:val="2"/>
          </w:tcPr>
          <w:p w14:paraId="5E9B31E6" w14:textId="77777777" w:rsidR="00FE4E7F" w:rsidRPr="00B144C5" w:rsidRDefault="00FE4E7F" w:rsidP="00827AFB">
            <w:pPr>
              <w:pStyle w:val="Sinespaciado"/>
              <w:jc w:val="center"/>
              <w:rPr>
                <w:rFonts w:ascii="Arial" w:hAnsi="Arial" w:cs="Arial"/>
                <w:sz w:val="24"/>
                <w:szCs w:val="24"/>
                <w:lang w:val="es-ES_tradnl"/>
              </w:rPr>
            </w:pPr>
            <w:r w:rsidRPr="00B144C5">
              <w:rPr>
                <w:rFonts w:ascii="Arial" w:hAnsi="Arial" w:cs="Arial"/>
                <w:sz w:val="24"/>
                <w:szCs w:val="24"/>
                <w:lang w:val="es-ES_tradnl"/>
              </w:rPr>
              <w:t>7 en total</w:t>
            </w:r>
          </w:p>
        </w:tc>
      </w:tr>
      <w:tr w:rsidR="00FE4E7F" w:rsidRPr="006C6E72" w14:paraId="4CDA2AFD" w14:textId="77777777" w:rsidTr="00827AFB">
        <w:trPr>
          <w:jc w:val="center"/>
        </w:trPr>
        <w:tc>
          <w:tcPr>
            <w:tcW w:w="1647" w:type="dxa"/>
          </w:tcPr>
          <w:p w14:paraId="6D9D803D" w14:textId="77777777" w:rsidR="00FE4E7F" w:rsidRPr="00B144C5" w:rsidRDefault="00FE4E7F" w:rsidP="00827AFB">
            <w:pPr>
              <w:pStyle w:val="Sinespaciado"/>
              <w:rPr>
                <w:rFonts w:ascii="Arial" w:hAnsi="Arial" w:cs="Arial"/>
                <w:sz w:val="24"/>
                <w:szCs w:val="24"/>
                <w:lang w:val="es-ES_tradnl"/>
              </w:rPr>
            </w:pPr>
            <w:r w:rsidRPr="00B144C5">
              <w:rPr>
                <w:rFonts w:ascii="Arial" w:hAnsi="Arial" w:cs="Arial"/>
                <w:sz w:val="24"/>
                <w:szCs w:val="24"/>
                <w:lang w:val="es-ES_tradnl"/>
              </w:rPr>
              <w:t>España</w:t>
            </w:r>
          </w:p>
        </w:tc>
        <w:tc>
          <w:tcPr>
            <w:tcW w:w="1704" w:type="dxa"/>
          </w:tcPr>
          <w:p w14:paraId="4E4D8917" w14:textId="77777777" w:rsidR="00FE4E7F" w:rsidRPr="00B144C5" w:rsidRDefault="00FE4E7F" w:rsidP="00827AFB">
            <w:pPr>
              <w:pStyle w:val="Sinespaciado"/>
              <w:jc w:val="center"/>
              <w:rPr>
                <w:rFonts w:ascii="Arial" w:hAnsi="Arial" w:cs="Arial"/>
                <w:sz w:val="24"/>
                <w:szCs w:val="24"/>
                <w:lang w:val="es-ES_tradnl"/>
              </w:rPr>
            </w:pPr>
            <w:r w:rsidRPr="00B144C5">
              <w:rPr>
                <w:rFonts w:ascii="Arial" w:hAnsi="Arial" w:cs="Arial"/>
                <w:sz w:val="24"/>
                <w:szCs w:val="24"/>
                <w:lang w:val="es-ES_tradnl"/>
              </w:rPr>
              <w:t>Ilimitado</w:t>
            </w:r>
          </w:p>
        </w:tc>
        <w:tc>
          <w:tcPr>
            <w:tcW w:w="1297" w:type="dxa"/>
          </w:tcPr>
          <w:p w14:paraId="0F911B8A" w14:textId="77777777" w:rsidR="00FE4E7F" w:rsidRPr="00B144C5" w:rsidRDefault="00FE4E7F" w:rsidP="00827AFB">
            <w:pPr>
              <w:pStyle w:val="Sinespaciado"/>
              <w:jc w:val="center"/>
              <w:rPr>
                <w:rFonts w:ascii="Arial" w:hAnsi="Arial" w:cs="Arial"/>
                <w:sz w:val="24"/>
                <w:szCs w:val="24"/>
                <w:lang w:val="es-ES_tradnl"/>
              </w:rPr>
            </w:pPr>
            <w:r w:rsidRPr="00B144C5">
              <w:rPr>
                <w:rFonts w:ascii="Arial" w:hAnsi="Arial" w:cs="Arial"/>
                <w:sz w:val="24"/>
                <w:szCs w:val="24"/>
                <w:lang w:val="es-ES_tradnl"/>
              </w:rPr>
              <w:t>21</w:t>
            </w:r>
          </w:p>
        </w:tc>
      </w:tr>
      <w:tr w:rsidR="00FE4E7F" w:rsidRPr="006C6E72" w14:paraId="35A28F71" w14:textId="77777777" w:rsidTr="00827AFB">
        <w:trPr>
          <w:jc w:val="center"/>
        </w:trPr>
        <w:tc>
          <w:tcPr>
            <w:tcW w:w="1647" w:type="dxa"/>
          </w:tcPr>
          <w:p w14:paraId="68B00C0A" w14:textId="77777777" w:rsidR="00FE4E7F" w:rsidRPr="00B144C5" w:rsidRDefault="00FE4E7F" w:rsidP="00827AFB">
            <w:pPr>
              <w:pStyle w:val="Sinespaciado"/>
              <w:rPr>
                <w:rFonts w:ascii="Arial" w:hAnsi="Arial" w:cs="Arial"/>
                <w:sz w:val="24"/>
                <w:szCs w:val="24"/>
                <w:lang w:val="es-ES_tradnl"/>
              </w:rPr>
            </w:pPr>
            <w:r w:rsidRPr="00B144C5">
              <w:rPr>
                <w:rFonts w:ascii="Arial" w:hAnsi="Arial" w:cs="Arial"/>
                <w:sz w:val="24"/>
                <w:szCs w:val="24"/>
                <w:lang w:val="es-ES_tradnl"/>
              </w:rPr>
              <w:t>Alemania</w:t>
            </w:r>
          </w:p>
        </w:tc>
        <w:tc>
          <w:tcPr>
            <w:tcW w:w="3001" w:type="dxa"/>
            <w:gridSpan w:val="2"/>
          </w:tcPr>
          <w:p w14:paraId="44CADD8F" w14:textId="77777777" w:rsidR="00FE4E7F" w:rsidRPr="00B144C5" w:rsidRDefault="00FE4E7F" w:rsidP="00827AFB">
            <w:pPr>
              <w:pStyle w:val="Sinespaciado"/>
              <w:jc w:val="center"/>
              <w:rPr>
                <w:rFonts w:ascii="Arial" w:hAnsi="Arial" w:cs="Arial"/>
                <w:sz w:val="24"/>
                <w:szCs w:val="24"/>
                <w:lang w:val="es-ES_tradnl"/>
              </w:rPr>
            </w:pPr>
            <w:r w:rsidRPr="00B144C5">
              <w:rPr>
                <w:rFonts w:ascii="Arial" w:hAnsi="Arial" w:cs="Arial"/>
                <w:sz w:val="24"/>
                <w:szCs w:val="24"/>
                <w:lang w:val="es-ES_tradnl"/>
              </w:rPr>
              <w:t>10 en total</w:t>
            </w:r>
          </w:p>
        </w:tc>
      </w:tr>
      <w:bookmarkEnd w:id="1"/>
    </w:tbl>
    <w:p w14:paraId="3865A962" w14:textId="77777777" w:rsidR="00FE4E7F" w:rsidRPr="006C6E72" w:rsidRDefault="00FE4E7F" w:rsidP="00FC39AD">
      <w:pPr>
        <w:spacing w:after="0"/>
        <w:ind w:firstLine="2160"/>
        <w:rPr>
          <w:rFonts w:ascii="Arial" w:hAnsi="Arial" w:cs="Arial"/>
          <w:szCs w:val="24"/>
          <w:lang w:val="es-ES"/>
        </w:rPr>
      </w:pPr>
    </w:p>
    <w:p w14:paraId="2F1FEB72" w14:textId="77777777" w:rsidR="00FE4E7F" w:rsidRPr="006C6E72" w:rsidRDefault="00FE4E7F" w:rsidP="00FC39AD">
      <w:pPr>
        <w:spacing w:after="0"/>
        <w:ind w:firstLine="2160"/>
        <w:rPr>
          <w:rFonts w:ascii="Arial" w:hAnsi="Arial" w:cs="Arial"/>
          <w:szCs w:val="24"/>
          <w:lang w:val="es-ES"/>
        </w:rPr>
      </w:pPr>
      <w:r w:rsidRPr="006C6E72">
        <w:rPr>
          <w:rFonts w:ascii="Arial" w:hAnsi="Arial" w:cs="Arial"/>
          <w:szCs w:val="24"/>
          <w:lang w:val="es-ES"/>
        </w:rPr>
        <w:t>El acuerdo alcanzado con República Checa</w:t>
      </w:r>
      <w:r>
        <w:rPr>
          <w:rFonts w:ascii="Arial" w:hAnsi="Arial" w:cs="Arial"/>
          <w:szCs w:val="24"/>
          <w:lang w:val="es-ES"/>
        </w:rPr>
        <w:t xml:space="preserve">, agregó, </w:t>
      </w:r>
      <w:r w:rsidRPr="006C6E72">
        <w:rPr>
          <w:rFonts w:ascii="Arial" w:hAnsi="Arial" w:cs="Arial"/>
          <w:szCs w:val="24"/>
          <w:lang w:val="es-ES"/>
        </w:rPr>
        <w:t>contempla los derechos de tráfico de 1ra libertad, 2da libertad, 3ra y 4ta libertades; 5ta libertad; y 6ta libertad. Asimismo, el Acuerdo no impone limitaciones a los servicios aéreos en cuanto a rutas, frecuencias ni tipo de aeronave, sea propio o arrendado, los que pueden prestarse con la mayor flexibilidad de operación.</w:t>
      </w:r>
    </w:p>
    <w:p w14:paraId="76983BE5" w14:textId="77777777" w:rsidR="00FE4E7F" w:rsidRDefault="00FE4E7F" w:rsidP="00FC39AD">
      <w:pPr>
        <w:spacing w:after="0"/>
        <w:ind w:firstLine="2160"/>
        <w:rPr>
          <w:rFonts w:ascii="Arial" w:hAnsi="Arial" w:cs="Arial"/>
          <w:szCs w:val="24"/>
          <w:lang w:val="es-ES"/>
        </w:rPr>
      </w:pPr>
      <w:r w:rsidRPr="006C6E72">
        <w:rPr>
          <w:rFonts w:ascii="Arial" w:hAnsi="Arial" w:cs="Arial"/>
          <w:szCs w:val="24"/>
          <w:lang w:val="es-ES"/>
        </w:rPr>
        <w:t xml:space="preserve">Por consiguiente, </w:t>
      </w:r>
      <w:r>
        <w:rPr>
          <w:rFonts w:ascii="Arial" w:hAnsi="Arial" w:cs="Arial"/>
          <w:szCs w:val="24"/>
          <w:lang w:val="es-ES"/>
        </w:rPr>
        <w:t xml:space="preserve">señaló la expositora, a su juicio, </w:t>
      </w:r>
      <w:r w:rsidRPr="006C6E72">
        <w:rPr>
          <w:rFonts w:ascii="Arial" w:hAnsi="Arial" w:cs="Arial"/>
          <w:szCs w:val="24"/>
          <w:lang w:val="es-ES"/>
        </w:rPr>
        <w:t>debería ratificarse el acuerdo que abre los cielos para las líneas aéreas de Chile y República Checa, con derechos sobre terceros países (5ª y 6ª libertad), sin límite geográfico.</w:t>
      </w:r>
    </w:p>
    <w:p w14:paraId="493EA4F8" w14:textId="77777777" w:rsidR="00FE4E7F" w:rsidRPr="00FC39AD" w:rsidRDefault="00FE4E7F" w:rsidP="0069053A">
      <w:pPr>
        <w:pStyle w:val="Prrafodelista"/>
        <w:spacing w:before="0" w:after="0"/>
        <w:ind w:left="0" w:firstLine="1985"/>
        <w:rPr>
          <w:rFonts w:ascii="Arial" w:hAnsi="Arial" w:cs="Arial"/>
          <w:szCs w:val="24"/>
          <w:lang w:val="es-ES"/>
        </w:rPr>
      </w:pPr>
    </w:p>
    <w:p w14:paraId="034BA3C7" w14:textId="77777777" w:rsidR="00FE4E7F" w:rsidRDefault="00FE4E7F"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07D6A911" w14:textId="77777777" w:rsidR="00FE4E7F" w:rsidRDefault="00FE4E7F" w:rsidP="0069053A">
      <w:pPr>
        <w:pStyle w:val="Prrafodelista"/>
        <w:spacing w:before="0" w:after="0"/>
        <w:ind w:left="0" w:firstLine="1985"/>
        <w:rPr>
          <w:rFonts w:ascii="Arial" w:hAnsi="Arial" w:cs="Arial"/>
          <w:szCs w:val="24"/>
          <w:lang w:val="es-ES"/>
        </w:rPr>
      </w:pPr>
    </w:p>
    <w:p w14:paraId="5120A541" w14:textId="28C3F5C7" w:rsidR="00FE4E7F" w:rsidRDefault="00FE4E7F" w:rsidP="0069053A">
      <w:pPr>
        <w:pStyle w:val="Prrafodelista"/>
        <w:spacing w:before="0" w:after="0"/>
        <w:ind w:left="0" w:firstLine="1985"/>
        <w:rPr>
          <w:rFonts w:ascii="Arial" w:hAnsi="Arial" w:cs="Arial"/>
          <w:szCs w:val="24"/>
          <w:lang w:val="es-ES"/>
        </w:rPr>
      </w:pPr>
      <w:r>
        <w:rPr>
          <w:rFonts w:ascii="Arial" w:hAnsi="Arial" w:cs="Arial"/>
          <w:szCs w:val="24"/>
          <w:lang w:val="es-ES"/>
        </w:rPr>
        <w:t>(</w:t>
      </w:r>
      <w:r w:rsidR="0001192A">
        <w:rPr>
          <w:rFonts w:ascii="Arial" w:hAnsi="Arial" w:cs="Arial"/>
          <w:szCs w:val="24"/>
          <w:lang w:val="es-ES"/>
        </w:rPr>
        <w:t>A</w:t>
      </w:r>
      <w:r>
        <w:rPr>
          <w:rFonts w:ascii="Arial" w:hAnsi="Arial" w:cs="Arial"/>
          <w:szCs w:val="24"/>
          <w:lang w:val="es-ES"/>
        </w:rPr>
        <w:t xml:space="preserve"> favor</w:t>
      </w:r>
      <w:r w:rsidR="0001192A">
        <w:rPr>
          <w:rFonts w:ascii="Arial" w:hAnsi="Arial" w:cs="Arial"/>
          <w:szCs w:val="24"/>
          <w:lang w:val="es-ES"/>
        </w:rPr>
        <w:t xml:space="preserve"> votó la </w:t>
      </w:r>
      <w:r w:rsidR="0001192A">
        <w:rPr>
          <w:rFonts w:ascii="Arial" w:hAnsi="Arial" w:cs="Arial"/>
          <w:szCs w:val="24"/>
        </w:rPr>
        <w:t xml:space="preserve">diputada señora </w:t>
      </w:r>
      <w:r w:rsidR="0001192A">
        <w:rPr>
          <w:rFonts w:ascii="Arial" w:hAnsi="Arial" w:cs="Arial"/>
          <w:b/>
          <w:bCs/>
          <w:szCs w:val="24"/>
          <w:lang w:val="es-ES"/>
        </w:rPr>
        <w:t>Muñoz</w:t>
      </w:r>
      <w:r w:rsidR="0001192A">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y </w:t>
      </w:r>
      <w:r w:rsidRPr="000A270D">
        <w:rPr>
          <w:rFonts w:ascii="Arial" w:hAnsi="Arial" w:cs="Arial"/>
          <w:b/>
          <w:szCs w:val="24"/>
          <w:lang w:val="es-ES"/>
        </w:rPr>
        <w:t>Vidal</w:t>
      </w:r>
      <w:r>
        <w:rPr>
          <w:rFonts w:ascii="Arial" w:hAnsi="Arial" w:cs="Arial"/>
          <w:szCs w:val="24"/>
          <w:lang w:val="es-ES"/>
        </w:rPr>
        <w:t>, don Pablo).</w:t>
      </w:r>
    </w:p>
    <w:p w14:paraId="6C70824C" w14:textId="77777777" w:rsidR="00FE4E7F" w:rsidRDefault="00FE4E7F" w:rsidP="001D7796">
      <w:pPr>
        <w:spacing w:before="0" w:after="0"/>
        <w:ind w:firstLine="1985"/>
        <w:rPr>
          <w:rFonts w:ascii="Arial" w:hAnsi="Arial" w:cs="Arial"/>
          <w:szCs w:val="24"/>
        </w:rPr>
      </w:pPr>
    </w:p>
    <w:p w14:paraId="23098B6C" w14:textId="77777777" w:rsidR="00786292" w:rsidRDefault="00786292" w:rsidP="001D7796">
      <w:pPr>
        <w:spacing w:before="0" w:after="0"/>
        <w:ind w:firstLine="1985"/>
        <w:rPr>
          <w:rFonts w:ascii="Arial" w:hAnsi="Arial" w:cs="Arial"/>
          <w:szCs w:val="24"/>
        </w:rPr>
      </w:pPr>
    </w:p>
    <w:p w14:paraId="40366C80" w14:textId="77777777" w:rsidR="00786292" w:rsidRDefault="00786292" w:rsidP="001D7796">
      <w:pPr>
        <w:spacing w:before="0" w:after="0"/>
        <w:ind w:firstLine="1985"/>
        <w:rPr>
          <w:rFonts w:ascii="Arial" w:hAnsi="Arial" w:cs="Arial"/>
          <w:szCs w:val="24"/>
        </w:rPr>
      </w:pPr>
    </w:p>
    <w:p w14:paraId="02ED422C" w14:textId="77777777" w:rsidR="00786292" w:rsidRDefault="00786292" w:rsidP="001D7796">
      <w:pPr>
        <w:spacing w:before="0" w:after="0"/>
        <w:ind w:firstLine="1985"/>
        <w:rPr>
          <w:rFonts w:ascii="Arial" w:hAnsi="Arial" w:cs="Arial"/>
          <w:szCs w:val="24"/>
        </w:rPr>
      </w:pPr>
    </w:p>
    <w:p w14:paraId="33438A68" w14:textId="77777777" w:rsidR="00FE4E7F" w:rsidRDefault="00FE4E7F"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412187BB" w14:textId="77777777" w:rsidR="00FE4E7F" w:rsidRPr="008D6E69" w:rsidRDefault="00FE4E7F" w:rsidP="00656D1F">
      <w:pPr>
        <w:pStyle w:val="Sangra2detindependiente"/>
        <w:spacing w:before="0" w:after="0"/>
        <w:ind w:left="0" w:firstLine="1985"/>
        <w:rPr>
          <w:rFonts w:ascii="Arial" w:hAnsi="Arial" w:cs="Arial"/>
          <w:b/>
          <w:szCs w:val="24"/>
          <w:lang w:val="es-ES"/>
        </w:rPr>
      </w:pPr>
    </w:p>
    <w:p w14:paraId="3E60E381" w14:textId="77777777" w:rsidR="00FE4E7F" w:rsidRPr="009910F1" w:rsidRDefault="00FE4E7F"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2604AC26" w14:textId="77777777" w:rsidR="00FE4E7F" w:rsidRPr="009910F1" w:rsidRDefault="00FE4E7F" w:rsidP="00656D1F">
      <w:pPr>
        <w:pStyle w:val="Sangra2detindependiente"/>
        <w:spacing w:before="0" w:after="0"/>
        <w:ind w:left="0" w:firstLine="1985"/>
        <w:rPr>
          <w:rFonts w:ascii="Arial" w:hAnsi="Arial" w:cs="Arial"/>
          <w:sz w:val="24"/>
          <w:szCs w:val="24"/>
          <w:lang w:val="es-CL"/>
        </w:rPr>
      </w:pPr>
    </w:p>
    <w:p w14:paraId="1C4CF0F1" w14:textId="77777777" w:rsidR="00FE4E7F" w:rsidRPr="009910F1" w:rsidRDefault="00FE4E7F"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lastRenderedPageBreak/>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4EC41DCC" w14:textId="77777777" w:rsidR="00FE4E7F" w:rsidRDefault="00FE4E7F" w:rsidP="00445A11">
      <w:pPr>
        <w:pStyle w:val="Sangra2detindependiente"/>
        <w:spacing w:before="0" w:after="0"/>
        <w:ind w:left="0" w:firstLine="0"/>
        <w:rPr>
          <w:rFonts w:ascii="Arial" w:hAnsi="Arial" w:cs="Arial"/>
          <w:szCs w:val="24"/>
          <w:lang w:val="es-CL"/>
        </w:rPr>
      </w:pPr>
    </w:p>
    <w:p w14:paraId="54B8098E" w14:textId="77777777" w:rsidR="00FE4E7F" w:rsidRDefault="00FE4E7F" w:rsidP="00445A11">
      <w:pPr>
        <w:pStyle w:val="Sangra2detindependiente"/>
        <w:spacing w:before="0" w:after="0"/>
        <w:ind w:left="0" w:firstLine="0"/>
        <w:rPr>
          <w:rFonts w:ascii="Arial" w:hAnsi="Arial" w:cs="Arial"/>
          <w:szCs w:val="24"/>
          <w:lang w:val="es-CL"/>
        </w:rPr>
      </w:pPr>
    </w:p>
    <w:p w14:paraId="33535C63" w14:textId="77777777" w:rsidR="00FE4E7F" w:rsidRDefault="00FE4E7F" w:rsidP="00445A11">
      <w:pPr>
        <w:pStyle w:val="Sangra2detindependiente"/>
        <w:spacing w:before="0" w:after="0"/>
        <w:ind w:left="0" w:firstLine="0"/>
        <w:rPr>
          <w:rFonts w:ascii="Arial" w:hAnsi="Arial" w:cs="Arial"/>
          <w:szCs w:val="24"/>
          <w:lang w:val="es-CL"/>
        </w:rPr>
      </w:pPr>
    </w:p>
    <w:p w14:paraId="200C069A" w14:textId="77777777" w:rsidR="00FE4E7F" w:rsidRDefault="00FE4E7F" w:rsidP="00445A11">
      <w:pPr>
        <w:pStyle w:val="Sangra2detindependiente"/>
        <w:spacing w:before="0" w:after="0"/>
        <w:ind w:left="0" w:firstLine="0"/>
        <w:rPr>
          <w:rFonts w:ascii="Arial" w:hAnsi="Arial" w:cs="Arial"/>
          <w:szCs w:val="24"/>
          <w:lang w:val="es-CL"/>
        </w:rPr>
      </w:pPr>
    </w:p>
    <w:p w14:paraId="0866041C" w14:textId="77777777" w:rsidR="00FE4E7F" w:rsidRPr="009420B2" w:rsidRDefault="00FE4E7F" w:rsidP="00445A11">
      <w:pPr>
        <w:pStyle w:val="Sangra2detindependiente"/>
        <w:spacing w:before="0" w:after="0"/>
        <w:ind w:left="0" w:firstLine="0"/>
        <w:jc w:val="center"/>
        <w:rPr>
          <w:rFonts w:ascii="Arial" w:hAnsi="Arial" w:cs="Arial"/>
          <w:b/>
          <w:sz w:val="24"/>
          <w:szCs w:val="24"/>
          <w:lang w:val="es-CL"/>
        </w:rPr>
      </w:pPr>
      <w:r w:rsidRPr="009420B2">
        <w:rPr>
          <w:rFonts w:ascii="Arial" w:hAnsi="Arial" w:cs="Arial"/>
          <w:b/>
          <w:sz w:val="24"/>
          <w:szCs w:val="24"/>
          <w:lang w:val="es-CL"/>
        </w:rPr>
        <w:t>P R O Y E C T O   D E   A C U E R D O</w:t>
      </w:r>
    </w:p>
    <w:p w14:paraId="4CB8688F" w14:textId="77777777" w:rsidR="00FE4E7F" w:rsidRDefault="00FE4E7F" w:rsidP="00656D1F">
      <w:pPr>
        <w:pStyle w:val="Sangra2detindependiente"/>
        <w:spacing w:before="0" w:after="0"/>
        <w:ind w:left="0" w:firstLine="1985"/>
        <w:rPr>
          <w:rFonts w:ascii="Arial" w:hAnsi="Arial" w:cs="Arial"/>
          <w:szCs w:val="24"/>
          <w:lang w:val="es-CL"/>
        </w:rPr>
      </w:pPr>
    </w:p>
    <w:p w14:paraId="59900D3D" w14:textId="77777777" w:rsidR="00FE4E7F" w:rsidRPr="00445A11" w:rsidRDefault="00FE4E7F" w:rsidP="00656D1F">
      <w:pPr>
        <w:spacing w:before="0" w:after="0"/>
        <w:ind w:firstLine="1985"/>
        <w:jc w:val="center"/>
        <w:rPr>
          <w:rFonts w:ascii="Arial" w:hAnsi="Arial" w:cs="Arial"/>
          <w:b/>
          <w:spacing w:val="-3"/>
          <w:szCs w:val="24"/>
          <w:lang w:val="es-CL"/>
        </w:rPr>
      </w:pPr>
    </w:p>
    <w:p w14:paraId="0658CE75" w14:textId="77777777" w:rsidR="00FE4E7F" w:rsidRDefault="00FE4E7F" w:rsidP="009910F1">
      <w:pPr>
        <w:pStyle w:val="paragraphscxw198218553bcx0"/>
        <w:spacing w:before="0" w:beforeAutospacing="0" w:after="0" w:afterAutospacing="0"/>
        <w:ind w:left="-90" w:firstLine="2075"/>
        <w:jc w:val="both"/>
        <w:textAlignment w:val="baseline"/>
        <w:rPr>
          <w:rFonts w:ascii="Arial" w:hAnsi="Arial" w:cs="Arial"/>
          <w:b/>
        </w:rPr>
      </w:pPr>
    </w:p>
    <w:p w14:paraId="17F50432" w14:textId="77777777" w:rsidR="00FE4E7F" w:rsidRDefault="00FE4E7F"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Acuerdo de Transporte Aéreo entre la República de Chile y la República Checa”, suscrito en Nairobi, el 11 de diciembre de </w:t>
      </w:r>
      <w:smartTag w:uri="urn:schemas-microsoft-com:office:smarttags" w:element="metricconverter">
        <w:smartTagPr>
          <w:attr w:name="ProductID" w:val="2018”"/>
        </w:smartTagPr>
        <w:r>
          <w:rPr>
            <w:rStyle w:val="normaltextrunscxw198218553bcx0"/>
            <w:rFonts w:ascii="Arial" w:hAnsi="Arial" w:cs="Arial"/>
            <w:b/>
            <w:bCs/>
          </w:rPr>
          <w:t>2018”</w:t>
        </w:r>
      </w:smartTag>
      <w:r>
        <w:rPr>
          <w:rStyle w:val="normaltextrunscxw198218553bcx0"/>
          <w:rFonts w:ascii="Arial" w:hAnsi="Arial" w:cs="Arial"/>
          <w:b/>
          <w:bCs/>
        </w:rPr>
        <w:t>.</w:t>
      </w:r>
      <w:r>
        <w:rPr>
          <w:rStyle w:val="eopscxw198218553bcx0"/>
          <w:rFonts w:ascii="Arial" w:hAnsi="Arial" w:cs="Arial"/>
        </w:rPr>
        <w:t> </w:t>
      </w:r>
    </w:p>
    <w:p w14:paraId="2DAEB3A7" w14:textId="77777777" w:rsidR="00FE4E7F" w:rsidRDefault="00FE4E7F" w:rsidP="00445A11">
      <w:pPr>
        <w:tabs>
          <w:tab w:val="left" w:pos="2268"/>
        </w:tabs>
        <w:autoSpaceDE w:val="0"/>
        <w:autoSpaceDN w:val="0"/>
        <w:adjustRightInd w:val="0"/>
        <w:spacing w:before="0" w:after="0"/>
        <w:ind w:right="20"/>
        <w:rPr>
          <w:rFonts w:ascii="Arial" w:hAnsi="Arial" w:cs="Arial"/>
          <w:szCs w:val="24"/>
        </w:rPr>
      </w:pPr>
    </w:p>
    <w:p w14:paraId="222EDE11" w14:textId="77777777" w:rsidR="00FE4E7F" w:rsidRPr="00445A11" w:rsidRDefault="00FE4E7F"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7B0A0831" w14:textId="77777777" w:rsidR="00FE4E7F" w:rsidRDefault="00FE4E7F" w:rsidP="00445A11">
      <w:pPr>
        <w:tabs>
          <w:tab w:val="left" w:pos="2268"/>
        </w:tabs>
        <w:autoSpaceDE w:val="0"/>
        <w:autoSpaceDN w:val="0"/>
        <w:adjustRightInd w:val="0"/>
        <w:spacing w:before="0" w:after="0"/>
        <w:ind w:right="20"/>
        <w:rPr>
          <w:rFonts w:ascii="Arial" w:hAnsi="Arial" w:cs="Arial"/>
          <w:szCs w:val="24"/>
        </w:rPr>
      </w:pPr>
    </w:p>
    <w:p w14:paraId="4AE92DB8" w14:textId="77777777" w:rsidR="00FE4E7F" w:rsidRDefault="00FE4E7F" w:rsidP="00445A11">
      <w:pPr>
        <w:tabs>
          <w:tab w:val="left" w:pos="2268"/>
        </w:tabs>
        <w:autoSpaceDE w:val="0"/>
        <w:autoSpaceDN w:val="0"/>
        <w:adjustRightInd w:val="0"/>
        <w:spacing w:before="0" w:after="0"/>
        <w:ind w:right="20"/>
        <w:rPr>
          <w:rFonts w:ascii="Arial" w:hAnsi="Arial" w:cs="Arial"/>
          <w:szCs w:val="24"/>
        </w:rPr>
      </w:pPr>
    </w:p>
    <w:p w14:paraId="6E8BD7AA" w14:textId="03898B11" w:rsidR="00FE4E7F" w:rsidRDefault="00FE4E7F"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01192A">
        <w:rPr>
          <w:rFonts w:ascii="Arial" w:hAnsi="Arial" w:cs="Arial"/>
          <w:szCs w:val="24"/>
        </w:rPr>
        <w:t xml:space="preserve"> la diputada señora </w:t>
      </w:r>
      <w:r w:rsidR="0001192A">
        <w:rPr>
          <w:rFonts w:ascii="Arial" w:hAnsi="Arial" w:cs="Arial"/>
          <w:b/>
          <w:bCs/>
          <w:szCs w:val="24"/>
          <w:lang w:val="es-ES"/>
        </w:rPr>
        <w:t>Muñoz</w:t>
      </w:r>
      <w:r w:rsidR="0001192A">
        <w:rPr>
          <w:rFonts w:ascii="Arial" w:hAnsi="Arial" w:cs="Arial"/>
          <w:szCs w:val="24"/>
          <w:lang w:val="es-ES"/>
        </w:rPr>
        <w:t>, doña Francesca y de</w:t>
      </w:r>
      <w:r>
        <w:rPr>
          <w:rFonts w:ascii="Arial" w:hAnsi="Arial" w:cs="Arial"/>
          <w:szCs w:val="24"/>
        </w:rPr>
        <w:t xml:space="preserv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don Cristhi</w:t>
      </w:r>
      <w:r w:rsidR="0001192A">
        <w:rPr>
          <w:rFonts w:ascii="Arial" w:hAnsi="Arial" w:cs="Arial"/>
          <w:szCs w:val="24"/>
          <w:lang w:val="es-ES"/>
        </w:rPr>
        <w:t>a</w:t>
      </w:r>
      <w:r>
        <w:rPr>
          <w:rFonts w:ascii="Arial" w:hAnsi="Arial" w:cs="Arial"/>
          <w:szCs w:val="24"/>
          <w:lang w:val="es-ES"/>
        </w:rPr>
        <w:t xml:space="preserve">n; </w:t>
      </w:r>
      <w:r w:rsidRPr="00666847">
        <w:rPr>
          <w:rFonts w:ascii="Arial" w:hAnsi="Arial" w:cs="Arial"/>
          <w:b/>
          <w:szCs w:val="24"/>
          <w:lang w:val="es-ES"/>
        </w:rPr>
        <w:t>Schalper</w:t>
      </w:r>
      <w:r>
        <w:rPr>
          <w:rFonts w:ascii="Arial" w:hAnsi="Arial" w:cs="Arial"/>
          <w:szCs w:val="24"/>
          <w:lang w:val="es-ES"/>
        </w:rPr>
        <w:t>, don Diego</w:t>
      </w:r>
      <w:r w:rsidR="0001192A">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05DD7D36" w14:textId="77777777" w:rsidR="00FE4E7F" w:rsidRDefault="00FE4E7F" w:rsidP="00094570">
      <w:pPr>
        <w:pStyle w:val="Prrafodelista"/>
        <w:spacing w:before="0" w:after="0"/>
        <w:ind w:left="0" w:firstLine="1985"/>
        <w:rPr>
          <w:rFonts w:ascii="Arial" w:hAnsi="Arial" w:cs="Arial"/>
          <w:szCs w:val="24"/>
          <w:lang w:val="es-ES"/>
        </w:rPr>
      </w:pPr>
    </w:p>
    <w:p w14:paraId="1D193C30" w14:textId="77777777" w:rsidR="00FE4E7F" w:rsidRDefault="00FE4E7F"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FC39AD">
        <w:rPr>
          <w:rFonts w:ascii="Arial" w:hAnsi="Arial" w:cs="Arial"/>
          <w:b/>
          <w:szCs w:val="24"/>
          <w:lang w:val="es-ES"/>
        </w:rPr>
        <w:t>CALISTO</w:t>
      </w:r>
      <w:r>
        <w:rPr>
          <w:rFonts w:ascii="Arial" w:hAnsi="Arial" w:cs="Arial"/>
          <w:szCs w:val="24"/>
          <w:lang w:val="es-ES"/>
        </w:rPr>
        <w:t>, don Miguel Ángel.</w:t>
      </w:r>
    </w:p>
    <w:p w14:paraId="6C26C06C" w14:textId="77777777" w:rsidR="00FE4E7F" w:rsidRDefault="00FE4E7F" w:rsidP="00094570">
      <w:pPr>
        <w:pStyle w:val="Prrafodelista"/>
        <w:spacing w:before="0" w:after="0"/>
        <w:ind w:left="0" w:firstLine="1985"/>
        <w:rPr>
          <w:rFonts w:ascii="Arial" w:hAnsi="Arial" w:cs="Arial"/>
          <w:szCs w:val="24"/>
          <w:lang w:val="es-ES"/>
        </w:rPr>
      </w:pPr>
    </w:p>
    <w:p w14:paraId="25B0D7E9" w14:textId="77777777" w:rsidR="00FE4E7F" w:rsidRDefault="00FE4E7F" w:rsidP="00094570">
      <w:pPr>
        <w:pStyle w:val="Prrafodelista"/>
        <w:spacing w:before="0" w:after="0"/>
        <w:ind w:left="0" w:firstLine="1985"/>
        <w:rPr>
          <w:rFonts w:ascii="Arial" w:hAnsi="Arial" w:cs="Arial"/>
          <w:szCs w:val="24"/>
          <w:lang w:val="es-ES"/>
        </w:rPr>
      </w:pPr>
    </w:p>
    <w:p w14:paraId="0C57D60C" w14:textId="77777777" w:rsidR="00FE4E7F" w:rsidRDefault="00FE4E7F" w:rsidP="00094570">
      <w:pPr>
        <w:pStyle w:val="Prrafodelista"/>
        <w:spacing w:before="0" w:after="0"/>
        <w:ind w:left="0" w:firstLine="1985"/>
        <w:rPr>
          <w:rFonts w:ascii="Arial" w:hAnsi="Arial" w:cs="Arial"/>
          <w:b/>
          <w:szCs w:val="24"/>
          <w:lang w:val="es-ES"/>
        </w:rPr>
      </w:pPr>
    </w:p>
    <w:p w14:paraId="20BB3A04" w14:textId="77777777" w:rsidR="00FE4E7F" w:rsidRDefault="00FE4E7F"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49AD7302" w14:textId="77777777" w:rsidR="00FE4E7F" w:rsidRDefault="00FE4E7F" w:rsidP="00094570">
      <w:pPr>
        <w:pStyle w:val="Prrafodelista"/>
        <w:spacing w:before="0" w:after="0"/>
        <w:ind w:left="0" w:firstLine="1985"/>
        <w:rPr>
          <w:rFonts w:ascii="Arial" w:hAnsi="Arial" w:cs="Arial"/>
          <w:szCs w:val="24"/>
          <w:lang w:val="es-ES"/>
        </w:rPr>
      </w:pPr>
    </w:p>
    <w:p w14:paraId="1E21FF7A" w14:textId="77777777" w:rsidR="00FE4E7F" w:rsidRDefault="00FE4E7F" w:rsidP="00094570">
      <w:pPr>
        <w:pStyle w:val="Prrafodelista"/>
        <w:spacing w:before="0" w:after="0"/>
        <w:ind w:left="0" w:firstLine="1985"/>
        <w:rPr>
          <w:rFonts w:ascii="Arial" w:hAnsi="Arial" w:cs="Arial"/>
          <w:szCs w:val="24"/>
          <w:lang w:val="es-ES"/>
        </w:rPr>
      </w:pPr>
    </w:p>
    <w:p w14:paraId="1952A671" w14:textId="77777777" w:rsidR="00FE4E7F" w:rsidRDefault="00FE4E7F" w:rsidP="00094570">
      <w:pPr>
        <w:pStyle w:val="Prrafodelista"/>
        <w:spacing w:before="0" w:after="0"/>
        <w:ind w:left="0" w:firstLine="1985"/>
        <w:rPr>
          <w:rFonts w:ascii="Arial" w:hAnsi="Arial" w:cs="Arial"/>
          <w:szCs w:val="24"/>
          <w:lang w:val="es-ES"/>
        </w:rPr>
      </w:pPr>
    </w:p>
    <w:p w14:paraId="12C7FC98" w14:textId="77777777" w:rsidR="00FE4E7F" w:rsidRDefault="00FE4E7F" w:rsidP="00094570">
      <w:pPr>
        <w:pStyle w:val="Prrafodelista"/>
        <w:spacing w:before="0" w:after="0"/>
        <w:ind w:left="0" w:firstLine="1985"/>
        <w:rPr>
          <w:rFonts w:ascii="Arial" w:hAnsi="Arial" w:cs="Arial"/>
          <w:szCs w:val="24"/>
          <w:lang w:val="es-ES"/>
        </w:rPr>
      </w:pPr>
    </w:p>
    <w:p w14:paraId="1D3207E5" w14:textId="77777777" w:rsidR="00FE4E7F" w:rsidRDefault="00FE4E7F" w:rsidP="00094570">
      <w:pPr>
        <w:pStyle w:val="Prrafodelista"/>
        <w:spacing w:before="0" w:after="0"/>
        <w:ind w:left="0" w:firstLine="1985"/>
        <w:rPr>
          <w:rFonts w:ascii="Arial" w:hAnsi="Arial" w:cs="Arial"/>
          <w:szCs w:val="24"/>
          <w:lang w:val="es-ES"/>
        </w:rPr>
      </w:pPr>
    </w:p>
    <w:p w14:paraId="2365AA45" w14:textId="77777777" w:rsidR="00FE4E7F" w:rsidRPr="00094570" w:rsidRDefault="00FE4E7F"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0E41D6E3" w14:textId="77777777" w:rsidR="00FE4E7F" w:rsidRPr="004513AB" w:rsidRDefault="00FE4E7F"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FE4E7F" w:rsidRPr="004513AB" w:rsidSect="003D23B9">
      <w:headerReference w:type="default" r:id="rId10"/>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B8831" w14:textId="77777777" w:rsidR="008835AD" w:rsidRDefault="008835AD">
      <w:pPr>
        <w:spacing w:line="20" w:lineRule="exact"/>
      </w:pPr>
    </w:p>
  </w:endnote>
  <w:endnote w:type="continuationSeparator" w:id="0">
    <w:p w14:paraId="490397ED" w14:textId="77777777" w:rsidR="008835AD" w:rsidRDefault="008835AD">
      <w:r>
        <w:t xml:space="preserve"> </w:t>
      </w:r>
    </w:p>
  </w:endnote>
  <w:endnote w:type="continuationNotice" w:id="1">
    <w:p w14:paraId="4A8A1BA1" w14:textId="77777777" w:rsidR="008835AD" w:rsidRDefault="008835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9DBCE" w14:textId="77777777" w:rsidR="008835AD" w:rsidRDefault="008835AD">
      <w:r>
        <w:separator/>
      </w:r>
    </w:p>
  </w:footnote>
  <w:footnote w:type="continuationSeparator" w:id="0">
    <w:p w14:paraId="046D18BB" w14:textId="77777777" w:rsidR="008835AD" w:rsidRDefault="00883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95A38" w14:textId="77777777" w:rsidR="00FE4E7F" w:rsidRDefault="008835AD">
    <w:pPr>
      <w:pStyle w:val="Encabezado"/>
      <w:jc w:val="center"/>
    </w:pPr>
    <w:r>
      <w:fldChar w:fldCharType="begin"/>
    </w:r>
    <w:r>
      <w:instrText>PAGE   \* MERGEFORMAT</w:instrText>
    </w:r>
    <w:r>
      <w:fldChar w:fldCharType="separate"/>
    </w:r>
    <w:r w:rsidR="003D23B9" w:rsidRPr="003D23B9">
      <w:rPr>
        <w:noProof/>
        <w:lang w:val="es-ES"/>
      </w:rPr>
      <w:t>6</w:t>
    </w:r>
    <w:r>
      <w:rPr>
        <w:noProof/>
        <w:lang w:val="es-ES"/>
      </w:rPr>
      <w:fldChar w:fldCharType="end"/>
    </w:r>
  </w:p>
  <w:p w14:paraId="10871F64" w14:textId="77777777" w:rsidR="00FE4E7F" w:rsidRDefault="00FE4E7F">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9"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1"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5"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6"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7"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1"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4"/>
  </w:num>
  <w:num w:numId="2">
    <w:abstractNumId w:val="2"/>
  </w:num>
  <w:num w:numId="3">
    <w:abstractNumId w:val="8"/>
  </w:num>
  <w:num w:numId="4">
    <w:abstractNumId w:val="7"/>
  </w:num>
  <w:num w:numId="5">
    <w:abstractNumId w:val="15"/>
  </w:num>
  <w:num w:numId="6">
    <w:abstractNumId w:val="10"/>
  </w:num>
  <w:num w:numId="7">
    <w:abstractNumId w:val="9"/>
  </w:num>
  <w:num w:numId="8">
    <w:abstractNumId w:val="19"/>
  </w:num>
  <w:num w:numId="9">
    <w:abstractNumId w:val="13"/>
  </w:num>
  <w:num w:numId="10">
    <w:abstractNumId w:val="0"/>
  </w:num>
  <w:num w:numId="11">
    <w:abstractNumId w:val="16"/>
  </w:num>
  <w:num w:numId="12">
    <w:abstractNumId w:val="5"/>
  </w:num>
  <w:num w:numId="13">
    <w:abstractNumId w:val="17"/>
  </w:num>
  <w:num w:numId="14">
    <w:abstractNumId w:val="11"/>
  </w:num>
  <w:num w:numId="15">
    <w:abstractNumId w:val="4"/>
  </w:num>
  <w:num w:numId="16">
    <w:abstractNumId w:val="3"/>
  </w:num>
  <w:num w:numId="17">
    <w:abstractNumId w:val="15"/>
  </w:num>
  <w:num w:numId="18">
    <w:abstractNumId w:val="15"/>
  </w:num>
  <w:num w:numId="19">
    <w:abstractNumId w:val="12"/>
  </w:num>
  <w:num w:numId="20">
    <w:abstractNumId w:val="6"/>
  </w:num>
  <w:num w:numId="21">
    <w:abstractNumId w:val="18"/>
  </w:num>
  <w:num w:numId="22">
    <w:abstractNumId w:val="1"/>
  </w:num>
  <w:num w:numId="23">
    <w:abstractNumId w:val="21"/>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1192A"/>
    <w:rsid w:val="00033645"/>
    <w:rsid w:val="00062250"/>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0299E"/>
    <w:rsid w:val="00132963"/>
    <w:rsid w:val="001351B2"/>
    <w:rsid w:val="001579F3"/>
    <w:rsid w:val="0016631E"/>
    <w:rsid w:val="00173D5C"/>
    <w:rsid w:val="00180EB6"/>
    <w:rsid w:val="001926A9"/>
    <w:rsid w:val="001950E6"/>
    <w:rsid w:val="001A5559"/>
    <w:rsid w:val="001D2F8F"/>
    <w:rsid w:val="001D3620"/>
    <w:rsid w:val="001D7796"/>
    <w:rsid w:val="001E4534"/>
    <w:rsid w:val="001E5DEF"/>
    <w:rsid w:val="001F00E8"/>
    <w:rsid w:val="001F2D0C"/>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72A5"/>
    <w:rsid w:val="00287557"/>
    <w:rsid w:val="00290101"/>
    <w:rsid w:val="002914E3"/>
    <w:rsid w:val="002955AE"/>
    <w:rsid w:val="002C31BC"/>
    <w:rsid w:val="002D40D3"/>
    <w:rsid w:val="002D5E7A"/>
    <w:rsid w:val="002E03D5"/>
    <w:rsid w:val="002E36DE"/>
    <w:rsid w:val="002F45C0"/>
    <w:rsid w:val="002F7B27"/>
    <w:rsid w:val="0030129C"/>
    <w:rsid w:val="00306D21"/>
    <w:rsid w:val="00307798"/>
    <w:rsid w:val="003268F1"/>
    <w:rsid w:val="00333D02"/>
    <w:rsid w:val="00334404"/>
    <w:rsid w:val="00343E67"/>
    <w:rsid w:val="00346DA6"/>
    <w:rsid w:val="00350FA2"/>
    <w:rsid w:val="00352032"/>
    <w:rsid w:val="00356556"/>
    <w:rsid w:val="00360B1A"/>
    <w:rsid w:val="00362F4C"/>
    <w:rsid w:val="00363077"/>
    <w:rsid w:val="00373053"/>
    <w:rsid w:val="00376D70"/>
    <w:rsid w:val="003813D6"/>
    <w:rsid w:val="00387C49"/>
    <w:rsid w:val="0039203C"/>
    <w:rsid w:val="00396063"/>
    <w:rsid w:val="003A05A9"/>
    <w:rsid w:val="003A40DC"/>
    <w:rsid w:val="003B3AB3"/>
    <w:rsid w:val="003C635B"/>
    <w:rsid w:val="003C6ACD"/>
    <w:rsid w:val="003D1AC0"/>
    <w:rsid w:val="003D23B9"/>
    <w:rsid w:val="003D59DA"/>
    <w:rsid w:val="003E12B1"/>
    <w:rsid w:val="003E361F"/>
    <w:rsid w:val="003E51DC"/>
    <w:rsid w:val="00400E8D"/>
    <w:rsid w:val="00411AD9"/>
    <w:rsid w:val="00412962"/>
    <w:rsid w:val="004136FE"/>
    <w:rsid w:val="00413C42"/>
    <w:rsid w:val="004155DF"/>
    <w:rsid w:val="0042683F"/>
    <w:rsid w:val="004357ED"/>
    <w:rsid w:val="00445A11"/>
    <w:rsid w:val="004513AB"/>
    <w:rsid w:val="00454F45"/>
    <w:rsid w:val="0049519C"/>
    <w:rsid w:val="004A6AF4"/>
    <w:rsid w:val="004B7B53"/>
    <w:rsid w:val="004C25CE"/>
    <w:rsid w:val="004C4C0F"/>
    <w:rsid w:val="004D15B1"/>
    <w:rsid w:val="004E5C9F"/>
    <w:rsid w:val="004F63F0"/>
    <w:rsid w:val="004F664B"/>
    <w:rsid w:val="004F6BE9"/>
    <w:rsid w:val="00501D73"/>
    <w:rsid w:val="0051558A"/>
    <w:rsid w:val="00520BAA"/>
    <w:rsid w:val="00522361"/>
    <w:rsid w:val="00523A15"/>
    <w:rsid w:val="00525611"/>
    <w:rsid w:val="005259E7"/>
    <w:rsid w:val="00535E58"/>
    <w:rsid w:val="005637CF"/>
    <w:rsid w:val="00573D77"/>
    <w:rsid w:val="005824B2"/>
    <w:rsid w:val="00582DAC"/>
    <w:rsid w:val="00590332"/>
    <w:rsid w:val="005A519E"/>
    <w:rsid w:val="005A5A18"/>
    <w:rsid w:val="005C0705"/>
    <w:rsid w:val="005C1948"/>
    <w:rsid w:val="005D368B"/>
    <w:rsid w:val="005E0C4B"/>
    <w:rsid w:val="005E70DB"/>
    <w:rsid w:val="005F2ED5"/>
    <w:rsid w:val="005F4A9B"/>
    <w:rsid w:val="005F734B"/>
    <w:rsid w:val="00604CC0"/>
    <w:rsid w:val="006177DC"/>
    <w:rsid w:val="0065398D"/>
    <w:rsid w:val="00653F28"/>
    <w:rsid w:val="00656D1F"/>
    <w:rsid w:val="006642D9"/>
    <w:rsid w:val="00666847"/>
    <w:rsid w:val="0069053A"/>
    <w:rsid w:val="00691D59"/>
    <w:rsid w:val="0069477E"/>
    <w:rsid w:val="00697F7D"/>
    <w:rsid w:val="006A29C8"/>
    <w:rsid w:val="006A612D"/>
    <w:rsid w:val="006C6E72"/>
    <w:rsid w:val="006D1B77"/>
    <w:rsid w:val="006D394F"/>
    <w:rsid w:val="007141DF"/>
    <w:rsid w:val="00714E90"/>
    <w:rsid w:val="00715479"/>
    <w:rsid w:val="00720006"/>
    <w:rsid w:val="00735EF5"/>
    <w:rsid w:val="00752122"/>
    <w:rsid w:val="00766B11"/>
    <w:rsid w:val="0077571A"/>
    <w:rsid w:val="00776102"/>
    <w:rsid w:val="007860CA"/>
    <w:rsid w:val="00786292"/>
    <w:rsid w:val="007A12E0"/>
    <w:rsid w:val="007A1FAF"/>
    <w:rsid w:val="007A4D17"/>
    <w:rsid w:val="007B4215"/>
    <w:rsid w:val="007B6A1D"/>
    <w:rsid w:val="007D2141"/>
    <w:rsid w:val="007E2C54"/>
    <w:rsid w:val="007E36E7"/>
    <w:rsid w:val="007F2DFE"/>
    <w:rsid w:val="008256D4"/>
    <w:rsid w:val="00827AFB"/>
    <w:rsid w:val="00845A01"/>
    <w:rsid w:val="00864C20"/>
    <w:rsid w:val="008714B7"/>
    <w:rsid w:val="0087698C"/>
    <w:rsid w:val="00882279"/>
    <w:rsid w:val="008835AD"/>
    <w:rsid w:val="00896AA7"/>
    <w:rsid w:val="008B5817"/>
    <w:rsid w:val="008C37C3"/>
    <w:rsid w:val="008D6E69"/>
    <w:rsid w:val="008E25B4"/>
    <w:rsid w:val="008E323D"/>
    <w:rsid w:val="00902F59"/>
    <w:rsid w:val="0092014D"/>
    <w:rsid w:val="00930EBB"/>
    <w:rsid w:val="00937E42"/>
    <w:rsid w:val="009420B2"/>
    <w:rsid w:val="009578B4"/>
    <w:rsid w:val="00965316"/>
    <w:rsid w:val="009708C1"/>
    <w:rsid w:val="00987180"/>
    <w:rsid w:val="009910F1"/>
    <w:rsid w:val="0099173E"/>
    <w:rsid w:val="009A64BC"/>
    <w:rsid w:val="009B2434"/>
    <w:rsid w:val="009B2AA0"/>
    <w:rsid w:val="009C51A3"/>
    <w:rsid w:val="009D1FBA"/>
    <w:rsid w:val="009D3FE6"/>
    <w:rsid w:val="00A06DB2"/>
    <w:rsid w:val="00A13EA9"/>
    <w:rsid w:val="00A17DDF"/>
    <w:rsid w:val="00A24942"/>
    <w:rsid w:val="00A4084D"/>
    <w:rsid w:val="00A41B75"/>
    <w:rsid w:val="00A43571"/>
    <w:rsid w:val="00A60C7B"/>
    <w:rsid w:val="00A67EAE"/>
    <w:rsid w:val="00A70BA8"/>
    <w:rsid w:val="00A76C17"/>
    <w:rsid w:val="00A8266D"/>
    <w:rsid w:val="00A91A45"/>
    <w:rsid w:val="00AC29D3"/>
    <w:rsid w:val="00AC694B"/>
    <w:rsid w:val="00AF4FFF"/>
    <w:rsid w:val="00AF5FF1"/>
    <w:rsid w:val="00B02A86"/>
    <w:rsid w:val="00B11211"/>
    <w:rsid w:val="00B144C5"/>
    <w:rsid w:val="00B471FA"/>
    <w:rsid w:val="00B47424"/>
    <w:rsid w:val="00B52383"/>
    <w:rsid w:val="00B54A31"/>
    <w:rsid w:val="00B614C8"/>
    <w:rsid w:val="00B713A3"/>
    <w:rsid w:val="00B71573"/>
    <w:rsid w:val="00B851C0"/>
    <w:rsid w:val="00B87BA5"/>
    <w:rsid w:val="00BB3041"/>
    <w:rsid w:val="00BB4321"/>
    <w:rsid w:val="00BC1004"/>
    <w:rsid w:val="00BC3634"/>
    <w:rsid w:val="00BC5F7D"/>
    <w:rsid w:val="00BD1A87"/>
    <w:rsid w:val="00BF0585"/>
    <w:rsid w:val="00BF5FEE"/>
    <w:rsid w:val="00BF7B0A"/>
    <w:rsid w:val="00C07AC4"/>
    <w:rsid w:val="00C14059"/>
    <w:rsid w:val="00C1627C"/>
    <w:rsid w:val="00C2102C"/>
    <w:rsid w:val="00C22E73"/>
    <w:rsid w:val="00C27233"/>
    <w:rsid w:val="00C4088E"/>
    <w:rsid w:val="00C75171"/>
    <w:rsid w:val="00C76DDE"/>
    <w:rsid w:val="00C867FB"/>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D5274"/>
    <w:rsid w:val="00DF1758"/>
    <w:rsid w:val="00DF256C"/>
    <w:rsid w:val="00E01FCA"/>
    <w:rsid w:val="00E021CF"/>
    <w:rsid w:val="00E20687"/>
    <w:rsid w:val="00E24E75"/>
    <w:rsid w:val="00E26247"/>
    <w:rsid w:val="00E34BA4"/>
    <w:rsid w:val="00E41373"/>
    <w:rsid w:val="00E44BB5"/>
    <w:rsid w:val="00E61133"/>
    <w:rsid w:val="00E71607"/>
    <w:rsid w:val="00E73F73"/>
    <w:rsid w:val="00E86575"/>
    <w:rsid w:val="00E91215"/>
    <w:rsid w:val="00EC7F3C"/>
    <w:rsid w:val="00ED1883"/>
    <w:rsid w:val="00ED5FB3"/>
    <w:rsid w:val="00EF71B0"/>
    <w:rsid w:val="00F27766"/>
    <w:rsid w:val="00F34707"/>
    <w:rsid w:val="00F46AB7"/>
    <w:rsid w:val="00F527B3"/>
    <w:rsid w:val="00F56D14"/>
    <w:rsid w:val="00F602ED"/>
    <w:rsid w:val="00F60CBC"/>
    <w:rsid w:val="00F74EED"/>
    <w:rsid w:val="00F81D2B"/>
    <w:rsid w:val="00F86BEF"/>
    <w:rsid w:val="00F93ECA"/>
    <w:rsid w:val="00F97CF3"/>
    <w:rsid w:val="00FB27CE"/>
    <w:rsid w:val="00FC39AD"/>
    <w:rsid w:val="00FD3BE8"/>
    <w:rsid w:val="00FE155F"/>
    <w:rsid w:val="00FE2E09"/>
    <w:rsid w:val="00FE4557"/>
    <w:rsid w:val="00FE4E7F"/>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E95002D"/>
  <w15:docId w15:val="{36925666-24CE-4FC6-AB07-E4031AE9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styleId="Sinespaciado">
    <w:name w:val="No Spacing"/>
    <w:uiPriority w:val="99"/>
    <w:qFormat/>
    <w:rsid w:val="00FC39AD"/>
    <w:pPr>
      <w:jc w:val="both"/>
    </w:pPr>
    <w:rPr>
      <w:rFonts w:ascii="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12405">
      <w:marLeft w:val="0"/>
      <w:marRight w:val="0"/>
      <w:marTop w:val="0"/>
      <w:marBottom w:val="0"/>
      <w:divBdr>
        <w:top w:val="none" w:sz="0" w:space="0" w:color="auto"/>
        <w:left w:val="none" w:sz="0" w:space="0" w:color="auto"/>
        <w:bottom w:val="none" w:sz="0" w:space="0" w:color="auto"/>
        <w:right w:val="none" w:sz="0" w:space="0" w:color="auto"/>
      </w:divBdr>
    </w:div>
    <w:div w:id="1010912406">
      <w:marLeft w:val="0"/>
      <w:marRight w:val="0"/>
      <w:marTop w:val="0"/>
      <w:marBottom w:val="0"/>
      <w:divBdr>
        <w:top w:val="none" w:sz="0" w:space="0" w:color="auto"/>
        <w:left w:val="none" w:sz="0" w:space="0" w:color="auto"/>
        <w:bottom w:val="none" w:sz="0" w:space="0" w:color="auto"/>
        <w:right w:val="none" w:sz="0" w:space="0" w:color="auto"/>
      </w:divBdr>
    </w:div>
    <w:div w:id="1010912407">
      <w:marLeft w:val="0"/>
      <w:marRight w:val="0"/>
      <w:marTop w:val="0"/>
      <w:marBottom w:val="0"/>
      <w:divBdr>
        <w:top w:val="none" w:sz="0" w:space="0" w:color="auto"/>
        <w:left w:val="none" w:sz="0" w:space="0" w:color="auto"/>
        <w:bottom w:val="none" w:sz="0" w:space="0" w:color="auto"/>
        <w:right w:val="none" w:sz="0" w:space="0" w:color="auto"/>
      </w:divBdr>
    </w:div>
    <w:div w:id="1010912408">
      <w:marLeft w:val="0"/>
      <w:marRight w:val="0"/>
      <w:marTop w:val="0"/>
      <w:marBottom w:val="0"/>
      <w:divBdr>
        <w:top w:val="none" w:sz="0" w:space="0" w:color="auto"/>
        <w:left w:val="none" w:sz="0" w:space="0" w:color="auto"/>
        <w:bottom w:val="none" w:sz="0" w:space="0" w:color="auto"/>
        <w:right w:val="none" w:sz="0" w:space="0" w:color="auto"/>
      </w:divBdr>
    </w:div>
    <w:div w:id="1010912409">
      <w:marLeft w:val="0"/>
      <w:marRight w:val="0"/>
      <w:marTop w:val="0"/>
      <w:marBottom w:val="0"/>
      <w:divBdr>
        <w:top w:val="none" w:sz="0" w:space="0" w:color="auto"/>
        <w:left w:val="none" w:sz="0" w:space="0" w:color="auto"/>
        <w:bottom w:val="none" w:sz="0" w:space="0" w:color="auto"/>
        <w:right w:val="none" w:sz="0" w:space="0" w:color="auto"/>
      </w:divBdr>
    </w:div>
    <w:div w:id="1010912410">
      <w:marLeft w:val="0"/>
      <w:marRight w:val="0"/>
      <w:marTop w:val="0"/>
      <w:marBottom w:val="0"/>
      <w:divBdr>
        <w:top w:val="none" w:sz="0" w:space="0" w:color="auto"/>
        <w:left w:val="none" w:sz="0" w:space="0" w:color="auto"/>
        <w:bottom w:val="none" w:sz="0" w:space="0" w:color="auto"/>
        <w:right w:val="none" w:sz="0" w:space="0" w:color="auto"/>
      </w:divBdr>
    </w:div>
    <w:div w:id="1010912411">
      <w:marLeft w:val="0"/>
      <w:marRight w:val="0"/>
      <w:marTop w:val="0"/>
      <w:marBottom w:val="0"/>
      <w:divBdr>
        <w:top w:val="none" w:sz="0" w:space="0" w:color="auto"/>
        <w:left w:val="none" w:sz="0" w:space="0" w:color="auto"/>
        <w:bottom w:val="none" w:sz="0" w:space="0" w:color="auto"/>
        <w:right w:val="none" w:sz="0" w:space="0" w:color="auto"/>
      </w:divBdr>
    </w:div>
    <w:div w:id="1010912412">
      <w:marLeft w:val="0"/>
      <w:marRight w:val="0"/>
      <w:marTop w:val="0"/>
      <w:marBottom w:val="0"/>
      <w:divBdr>
        <w:top w:val="none" w:sz="0" w:space="0" w:color="auto"/>
        <w:left w:val="none" w:sz="0" w:space="0" w:color="auto"/>
        <w:bottom w:val="none" w:sz="0" w:space="0" w:color="auto"/>
        <w:right w:val="none" w:sz="0" w:space="0" w:color="auto"/>
      </w:divBdr>
    </w:div>
    <w:div w:id="1010912413">
      <w:marLeft w:val="0"/>
      <w:marRight w:val="0"/>
      <w:marTop w:val="0"/>
      <w:marBottom w:val="0"/>
      <w:divBdr>
        <w:top w:val="none" w:sz="0" w:space="0" w:color="auto"/>
        <w:left w:val="none" w:sz="0" w:space="0" w:color="auto"/>
        <w:bottom w:val="none" w:sz="0" w:space="0" w:color="auto"/>
        <w:right w:val="none" w:sz="0" w:space="0" w:color="auto"/>
      </w:divBdr>
    </w:div>
    <w:div w:id="1010912459">
      <w:marLeft w:val="0"/>
      <w:marRight w:val="0"/>
      <w:marTop w:val="0"/>
      <w:marBottom w:val="0"/>
      <w:divBdr>
        <w:top w:val="none" w:sz="0" w:space="0" w:color="auto"/>
        <w:left w:val="none" w:sz="0" w:space="0" w:color="auto"/>
        <w:bottom w:val="none" w:sz="0" w:space="0" w:color="auto"/>
        <w:right w:val="none" w:sz="0" w:space="0" w:color="auto"/>
      </w:divBdr>
      <w:divsChild>
        <w:div w:id="1010912415">
          <w:marLeft w:val="0"/>
          <w:marRight w:val="0"/>
          <w:marTop w:val="0"/>
          <w:marBottom w:val="0"/>
          <w:divBdr>
            <w:top w:val="none" w:sz="0" w:space="0" w:color="auto"/>
            <w:left w:val="none" w:sz="0" w:space="0" w:color="auto"/>
            <w:bottom w:val="none" w:sz="0" w:space="0" w:color="auto"/>
            <w:right w:val="none" w:sz="0" w:space="0" w:color="auto"/>
          </w:divBdr>
        </w:div>
        <w:div w:id="1010912418">
          <w:marLeft w:val="0"/>
          <w:marRight w:val="0"/>
          <w:marTop w:val="0"/>
          <w:marBottom w:val="0"/>
          <w:divBdr>
            <w:top w:val="none" w:sz="0" w:space="0" w:color="auto"/>
            <w:left w:val="none" w:sz="0" w:space="0" w:color="auto"/>
            <w:bottom w:val="none" w:sz="0" w:space="0" w:color="auto"/>
            <w:right w:val="none" w:sz="0" w:space="0" w:color="auto"/>
          </w:divBdr>
        </w:div>
        <w:div w:id="1010912419">
          <w:marLeft w:val="0"/>
          <w:marRight w:val="0"/>
          <w:marTop w:val="0"/>
          <w:marBottom w:val="0"/>
          <w:divBdr>
            <w:top w:val="none" w:sz="0" w:space="0" w:color="auto"/>
            <w:left w:val="none" w:sz="0" w:space="0" w:color="auto"/>
            <w:bottom w:val="none" w:sz="0" w:space="0" w:color="auto"/>
            <w:right w:val="none" w:sz="0" w:space="0" w:color="auto"/>
          </w:divBdr>
        </w:div>
        <w:div w:id="1010912420">
          <w:marLeft w:val="0"/>
          <w:marRight w:val="0"/>
          <w:marTop w:val="0"/>
          <w:marBottom w:val="0"/>
          <w:divBdr>
            <w:top w:val="none" w:sz="0" w:space="0" w:color="auto"/>
            <w:left w:val="none" w:sz="0" w:space="0" w:color="auto"/>
            <w:bottom w:val="none" w:sz="0" w:space="0" w:color="auto"/>
            <w:right w:val="none" w:sz="0" w:space="0" w:color="auto"/>
          </w:divBdr>
        </w:div>
        <w:div w:id="1010912421">
          <w:marLeft w:val="0"/>
          <w:marRight w:val="0"/>
          <w:marTop w:val="0"/>
          <w:marBottom w:val="0"/>
          <w:divBdr>
            <w:top w:val="none" w:sz="0" w:space="0" w:color="auto"/>
            <w:left w:val="none" w:sz="0" w:space="0" w:color="auto"/>
            <w:bottom w:val="none" w:sz="0" w:space="0" w:color="auto"/>
            <w:right w:val="none" w:sz="0" w:space="0" w:color="auto"/>
          </w:divBdr>
        </w:div>
        <w:div w:id="1010912422">
          <w:marLeft w:val="0"/>
          <w:marRight w:val="0"/>
          <w:marTop w:val="0"/>
          <w:marBottom w:val="0"/>
          <w:divBdr>
            <w:top w:val="none" w:sz="0" w:space="0" w:color="auto"/>
            <w:left w:val="none" w:sz="0" w:space="0" w:color="auto"/>
            <w:bottom w:val="none" w:sz="0" w:space="0" w:color="auto"/>
            <w:right w:val="none" w:sz="0" w:space="0" w:color="auto"/>
          </w:divBdr>
        </w:div>
        <w:div w:id="1010912423">
          <w:marLeft w:val="0"/>
          <w:marRight w:val="0"/>
          <w:marTop w:val="0"/>
          <w:marBottom w:val="0"/>
          <w:divBdr>
            <w:top w:val="none" w:sz="0" w:space="0" w:color="auto"/>
            <w:left w:val="none" w:sz="0" w:space="0" w:color="auto"/>
            <w:bottom w:val="none" w:sz="0" w:space="0" w:color="auto"/>
            <w:right w:val="none" w:sz="0" w:space="0" w:color="auto"/>
          </w:divBdr>
        </w:div>
        <w:div w:id="1010912424">
          <w:marLeft w:val="0"/>
          <w:marRight w:val="0"/>
          <w:marTop w:val="0"/>
          <w:marBottom w:val="0"/>
          <w:divBdr>
            <w:top w:val="none" w:sz="0" w:space="0" w:color="auto"/>
            <w:left w:val="none" w:sz="0" w:space="0" w:color="auto"/>
            <w:bottom w:val="none" w:sz="0" w:space="0" w:color="auto"/>
            <w:right w:val="none" w:sz="0" w:space="0" w:color="auto"/>
          </w:divBdr>
        </w:div>
        <w:div w:id="1010912427">
          <w:marLeft w:val="0"/>
          <w:marRight w:val="0"/>
          <w:marTop w:val="0"/>
          <w:marBottom w:val="0"/>
          <w:divBdr>
            <w:top w:val="none" w:sz="0" w:space="0" w:color="auto"/>
            <w:left w:val="none" w:sz="0" w:space="0" w:color="auto"/>
            <w:bottom w:val="none" w:sz="0" w:space="0" w:color="auto"/>
            <w:right w:val="none" w:sz="0" w:space="0" w:color="auto"/>
          </w:divBdr>
        </w:div>
        <w:div w:id="1010912428">
          <w:marLeft w:val="0"/>
          <w:marRight w:val="0"/>
          <w:marTop w:val="0"/>
          <w:marBottom w:val="0"/>
          <w:divBdr>
            <w:top w:val="none" w:sz="0" w:space="0" w:color="auto"/>
            <w:left w:val="none" w:sz="0" w:space="0" w:color="auto"/>
            <w:bottom w:val="none" w:sz="0" w:space="0" w:color="auto"/>
            <w:right w:val="none" w:sz="0" w:space="0" w:color="auto"/>
          </w:divBdr>
        </w:div>
        <w:div w:id="1010912429">
          <w:marLeft w:val="0"/>
          <w:marRight w:val="0"/>
          <w:marTop w:val="0"/>
          <w:marBottom w:val="0"/>
          <w:divBdr>
            <w:top w:val="none" w:sz="0" w:space="0" w:color="auto"/>
            <w:left w:val="none" w:sz="0" w:space="0" w:color="auto"/>
            <w:bottom w:val="none" w:sz="0" w:space="0" w:color="auto"/>
            <w:right w:val="none" w:sz="0" w:space="0" w:color="auto"/>
          </w:divBdr>
        </w:div>
        <w:div w:id="1010912430">
          <w:marLeft w:val="0"/>
          <w:marRight w:val="0"/>
          <w:marTop w:val="0"/>
          <w:marBottom w:val="0"/>
          <w:divBdr>
            <w:top w:val="none" w:sz="0" w:space="0" w:color="auto"/>
            <w:left w:val="none" w:sz="0" w:space="0" w:color="auto"/>
            <w:bottom w:val="none" w:sz="0" w:space="0" w:color="auto"/>
            <w:right w:val="none" w:sz="0" w:space="0" w:color="auto"/>
          </w:divBdr>
        </w:div>
        <w:div w:id="1010912431">
          <w:marLeft w:val="0"/>
          <w:marRight w:val="0"/>
          <w:marTop w:val="0"/>
          <w:marBottom w:val="0"/>
          <w:divBdr>
            <w:top w:val="none" w:sz="0" w:space="0" w:color="auto"/>
            <w:left w:val="none" w:sz="0" w:space="0" w:color="auto"/>
            <w:bottom w:val="none" w:sz="0" w:space="0" w:color="auto"/>
            <w:right w:val="none" w:sz="0" w:space="0" w:color="auto"/>
          </w:divBdr>
        </w:div>
        <w:div w:id="1010912432">
          <w:marLeft w:val="0"/>
          <w:marRight w:val="0"/>
          <w:marTop w:val="0"/>
          <w:marBottom w:val="0"/>
          <w:divBdr>
            <w:top w:val="none" w:sz="0" w:space="0" w:color="auto"/>
            <w:left w:val="none" w:sz="0" w:space="0" w:color="auto"/>
            <w:bottom w:val="none" w:sz="0" w:space="0" w:color="auto"/>
            <w:right w:val="none" w:sz="0" w:space="0" w:color="auto"/>
          </w:divBdr>
        </w:div>
        <w:div w:id="1010912433">
          <w:marLeft w:val="0"/>
          <w:marRight w:val="0"/>
          <w:marTop w:val="0"/>
          <w:marBottom w:val="0"/>
          <w:divBdr>
            <w:top w:val="none" w:sz="0" w:space="0" w:color="auto"/>
            <w:left w:val="none" w:sz="0" w:space="0" w:color="auto"/>
            <w:bottom w:val="none" w:sz="0" w:space="0" w:color="auto"/>
            <w:right w:val="none" w:sz="0" w:space="0" w:color="auto"/>
          </w:divBdr>
        </w:div>
        <w:div w:id="1010912434">
          <w:marLeft w:val="0"/>
          <w:marRight w:val="0"/>
          <w:marTop w:val="0"/>
          <w:marBottom w:val="0"/>
          <w:divBdr>
            <w:top w:val="none" w:sz="0" w:space="0" w:color="auto"/>
            <w:left w:val="none" w:sz="0" w:space="0" w:color="auto"/>
            <w:bottom w:val="none" w:sz="0" w:space="0" w:color="auto"/>
            <w:right w:val="none" w:sz="0" w:space="0" w:color="auto"/>
          </w:divBdr>
          <w:divsChild>
            <w:div w:id="1010912416">
              <w:marLeft w:val="0"/>
              <w:marRight w:val="0"/>
              <w:marTop w:val="0"/>
              <w:marBottom w:val="0"/>
              <w:divBdr>
                <w:top w:val="none" w:sz="0" w:space="0" w:color="auto"/>
                <w:left w:val="none" w:sz="0" w:space="0" w:color="auto"/>
                <w:bottom w:val="none" w:sz="0" w:space="0" w:color="auto"/>
                <w:right w:val="none" w:sz="0" w:space="0" w:color="auto"/>
              </w:divBdr>
            </w:div>
            <w:div w:id="1010912442">
              <w:marLeft w:val="0"/>
              <w:marRight w:val="0"/>
              <w:marTop w:val="0"/>
              <w:marBottom w:val="0"/>
              <w:divBdr>
                <w:top w:val="none" w:sz="0" w:space="0" w:color="auto"/>
                <w:left w:val="none" w:sz="0" w:space="0" w:color="auto"/>
                <w:bottom w:val="none" w:sz="0" w:space="0" w:color="auto"/>
                <w:right w:val="none" w:sz="0" w:space="0" w:color="auto"/>
              </w:divBdr>
            </w:div>
            <w:div w:id="1010912464">
              <w:marLeft w:val="0"/>
              <w:marRight w:val="0"/>
              <w:marTop w:val="0"/>
              <w:marBottom w:val="0"/>
              <w:divBdr>
                <w:top w:val="none" w:sz="0" w:space="0" w:color="auto"/>
                <w:left w:val="none" w:sz="0" w:space="0" w:color="auto"/>
                <w:bottom w:val="none" w:sz="0" w:space="0" w:color="auto"/>
                <w:right w:val="none" w:sz="0" w:space="0" w:color="auto"/>
              </w:divBdr>
            </w:div>
            <w:div w:id="1010912465">
              <w:marLeft w:val="0"/>
              <w:marRight w:val="0"/>
              <w:marTop w:val="0"/>
              <w:marBottom w:val="0"/>
              <w:divBdr>
                <w:top w:val="none" w:sz="0" w:space="0" w:color="auto"/>
                <w:left w:val="none" w:sz="0" w:space="0" w:color="auto"/>
                <w:bottom w:val="none" w:sz="0" w:space="0" w:color="auto"/>
                <w:right w:val="none" w:sz="0" w:space="0" w:color="auto"/>
              </w:divBdr>
            </w:div>
            <w:div w:id="1010912471">
              <w:marLeft w:val="0"/>
              <w:marRight w:val="0"/>
              <w:marTop w:val="0"/>
              <w:marBottom w:val="0"/>
              <w:divBdr>
                <w:top w:val="none" w:sz="0" w:space="0" w:color="auto"/>
                <w:left w:val="none" w:sz="0" w:space="0" w:color="auto"/>
                <w:bottom w:val="none" w:sz="0" w:space="0" w:color="auto"/>
                <w:right w:val="none" w:sz="0" w:space="0" w:color="auto"/>
              </w:divBdr>
            </w:div>
          </w:divsChild>
        </w:div>
        <w:div w:id="1010912435">
          <w:marLeft w:val="0"/>
          <w:marRight w:val="0"/>
          <w:marTop w:val="0"/>
          <w:marBottom w:val="0"/>
          <w:divBdr>
            <w:top w:val="none" w:sz="0" w:space="0" w:color="auto"/>
            <w:left w:val="none" w:sz="0" w:space="0" w:color="auto"/>
            <w:bottom w:val="none" w:sz="0" w:space="0" w:color="auto"/>
            <w:right w:val="none" w:sz="0" w:space="0" w:color="auto"/>
          </w:divBdr>
        </w:div>
        <w:div w:id="1010912436">
          <w:marLeft w:val="0"/>
          <w:marRight w:val="0"/>
          <w:marTop w:val="0"/>
          <w:marBottom w:val="0"/>
          <w:divBdr>
            <w:top w:val="none" w:sz="0" w:space="0" w:color="auto"/>
            <w:left w:val="none" w:sz="0" w:space="0" w:color="auto"/>
            <w:bottom w:val="none" w:sz="0" w:space="0" w:color="auto"/>
            <w:right w:val="none" w:sz="0" w:space="0" w:color="auto"/>
          </w:divBdr>
        </w:div>
        <w:div w:id="1010912437">
          <w:marLeft w:val="0"/>
          <w:marRight w:val="0"/>
          <w:marTop w:val="0"/>
          <w:marBottom w:val="0"/>
          <w:divBdr>
            <w:top w:val="none" w:sz="0" w:space="0" w:color="auto"/>
            <w:left w:val="none" w:sz="0" w:space="0" w:color="auto"/>
            <w:bottom w:val="none" w:sz="0" w:space="0" w:color="auto"/>
            <w:right w:val="none" w:sz="0" w:space="0" w:color="auto"/>
          </w:divBdr>
        </w:div>
        <w:div w:id="1010912438">
          <w:marLeft w:val="0"/>
          <w:marRight w:val="0"/>
          <w:marTop w:val="0"/>
          <w:marBottom w:val="0"/>
          <w:divBdr>
            <w:top w:val="none" w:sz="0" w:space="0" w:color="auto"/>
            <w:left w:val="none" w:sz="0" w:space="0" w:color="auto"/>
            <w:bottom w:val="none" w:sz="0" w:space="0" w:color="auto"/>
            <w:right w:val="none" w:sz="0" w:space="0" w:color="auto"/>
          </w:divBdr>
        </w:div>
        <w:div w:id="1010912439">
          <w:marLeft w:val="0"/>
          <w:marRight w:val="0"/>
          <w:marTop w:val="0"/>
          <w:marBottom w:val="0"/>
          <w:divBdr>
            <w:top w:val="none" w:sz="0" w:space="0" w:color="auto"/>
            <w:left w:val="none" w:sz="0" w:space="0" w:color="auto"/>
            <w:bottom w:val="none" w:sz="0" w:space="0" w:color="auto"/>
            <w:right w:val="none" w:sz="0" w:space="0" w:color="auto"/>
          </w:divBdr>
        </w:div>
        <w:div w:id="1010912440">
          <w:marLeft w:val="0"/>
          <w:marRight w:val="0"/>
          <w:marTop w:val="0"/>
          <w:marBottom w:val="0"/>
          <w:divBdr>
            <w:top w:val="none" w:sz="0" w:space="0" w:color="auto"/>
            <w:left w:val="none" w:sz="0" w:space="0" w:color="auto"/>
            <w:bottom w:val="none" w:sz="0" w:space="0" w:color="auto"/>
            <w:right w:val="none" w:sz="0" w:space="0" w:color="auto"/>
          </w:divBdr>
        </w:div>
        <w:div w:id="1010912441">
          <w:marLeft w:val="0"/>
          <w:marRight w:val="0"/>
          <w:marTop w:val="0"/>
          <w:marBottom w:val="0"/>
          <w:divBdr>
            <w:top w:val="none" w:sz="0" w:space="0" w:color="auto"/>
            <w:left w:val="none" w:sz="0" w:space="0" w:color="auto"/>
            <w:bottom w:val="none" w:sz="0" w:space="0" w:color="auto"/>
            <w:right w:val="none" w:sz="0" w:space="0" w:color="auto"/>
          </w:divBdr>
        </w:div>
        <w:div w:id="1010912443">
          <w:marLeft w:val="0"/>
          <w:marRight w:val="0"/>
          <w:marTop w:val="0"/>
          <w:marBottom w:val="0"/>
          <w:divBdr>
            <w:top w:val="none" w:sz="0" w:space="0" w:color="auto"/>
            <w:left w:val="none" w:sz="0" w:space="0" w:color="auto"/>
            <w:bottom w:val="none" w:sz="0" w:space="0" w:color="auto"/>
            <w:right w:val="none" w:sz="0" w:space="0" w:color="auto"/>
          </w:divBdr>
        </w:div>
        <w:div w:id="1010912444">
          <w:marLeft w:val="0"/>
          <w:marRight w:val="0"/>
          <w:marTop w:val="0"/>
          <w:marBottom w:val="0"/>
          <w:divBdr>
            <w:top w:val="none" w:sz="0" w:space="0" w:color="auto"/>
            <w:left w:val="none" w:sz="0" w:space="0" w:color="auto"/>
            <w:bottom w:val="none" w:sz="0" w:space="0" w:color="auto"/>
            <w:right w:val="none" w:sz="0" w:space="0" w:color="auto"/>
          </w:divBdr>
          <w:divsChild>
            <w:div w:id="1010912414">
              <w:marLeft w:val="0"/>
              <w:marRight w:val="0"/>
              <w:marTop w:val="0"/>
              <w:marBottom w:val="0"/>
              <w:divBdr>
                <w:top w:val="none" w:sz="0" w:space="0" w:color="auto"/>
                <w:left w:val="none" w:sz="0" w:space="0" w:color="auto"/>
                <w:bottom w:val="none" w:sz="0" w:space="0" w:color="auto"/>
                <w:right w:val="none" w:sz="0" w:space="0" w:color="auto"/>
              </w:divBdr>
            </w:div>
            <w:div w:id="1010912417">
              <w:marLeft w:val="0"/>
              <w:marRight w:val="0"/>
              <w:marTop w:val="0"/>
              <w:marBottom w:val="0"/>
              <w:divBdr>
                <w:top w:val="none" w:sz="0" w:space="0" w:color="auto"/>
                <w:left w:val="none" w:sz="0" w:space="0" w:color="auto"/>
                <w:bottom w:val="none" w:sz="0" w:space="0" w:color="auto"/>
                <w:right w:val="none" w:sz="0" w:space="0" w:color="auto"/>
              </w:divBdr>
            </w:div>
            <w:div w:id="1010912425">
              <w:marLeft w:val="0"/>
              <w:marRight w:val="0"/>
              <w:marTop w:val="0"/>
              <w:marBottom w:val="0"/>
              <w:divBdr>
                <w:top w:val="none" w:sz="0" w:space="0" w:color="auto"/>
                <w:left w:val="none" w:sz="0" w:space="0" w:color="auto"/>
                <w:bottom w:val="none" w:sz="0" w:space="0" w:color="auto"/>
                <w:right w:val="none" w:sz="0" w:space="0" w:color="auto"/>
              </w:divBdr>
            </w:div>
            <w:div w:id="1010912426">
              <w:marLeft w:val="0"/>
              <w:marRight w:val="0"/>
              <w:marTop w:val="0"/>
              <w:marBottom w:val="0"/>
              <w:divBdr>
                <w:top w:val="none" w:sz="0" w:space="0" w:color="auto"/>
                <w:left w:val="none" w:sz="0" w:space="0" w:color="auto"/>
                <w:bottom w:val="none" w:sz="0" w:space="0" w:color="auto"/>
                <w:right w:val="none" w:sz="0" w:space="0" w:color="auto"/>
              </w:divBdr>
            </w:div>
            <w:div w:id="1010912448">
              <w:marLeft w:val="0"/>
              <w:marRight w:val="0"/>
              <w:marTop w:val="0"/>
              <w:marBottom w:val="0"/>
              <w:divBdr>
                <w:top w:val="none" w:sz="0" w:space="0" w:color="auto"/>
                <w:left w:val="none" w:sz="0" w:space="0" w:color="auto"/>
                <w:bottom w:val="none" w:sz="0" w:space="0" w:color="auto"/>
                <w:right w:val="none" w:sz="0" w:space="0" w:color="auto"/>
              </w:divBdr>
            </w:div>
          </w:divsChild>
        </w:div>
        <w:div w:id="1010912445">
          <w:marLeft w:val="0"/>
          <w:marRight w:val="0"/>
          <w:marTop w:val="0"/>
          <w:marBottom w:val="0"/>
          <w:divBdr>
            <w:top w:val="none" w:sz="0" w:space="0" w:color="auto"/>
            <w:left w:val="none" w:sz="0" w:space="0" w:color="auto"/>
            <w:bottom w:val="none" w:sz="0" w:space="0" w:color="auto"/>
            <w:right w:val="none" w:sz="0" w:space="0" w:color="auto"/>
          </w:divBdr>
        </w:div>
        <w:div w:id="1010912446">
          <w:marLeft w:val="0"/>
          <w:marRight w:val="0"/>
          <w:marTop w:val="0"/>
          <w:marBottom w:val="0"/>
          <w:divBdr>
            <w:top w:val="none" w:sz="0" w:space="0" w:color="auto"/>
            <w:left w:val="none" w:sz="0" w:space="0" w:color="auto"/>
            <w:bottom w:val="none" w:sz="0" w:space="0" w:color="auto"/>
            <w:right w:val="none" w:sz="0" w:space="0" w:color="auto"/>
          </w:divBdr>
        </w:div>
        <w:div w:id="1010912447">
          <w:marLeft w:val="0"/>
          <w:marRight w:val="0"/>
          <w:marTop w:val="0"/>
          <w:marBottom w:val="0"/>
          <w:divBdr>
            <w:top w:val="none" w:sz="0" w:space="0" w:color="auto"/>
            <w:left w:val="none" w:sz="0" w:space="0" w:color="auto"/>
            <w:bottom w:val="none" w:sz="0" w:space="0" w:color="auto"/>
            <w:right w:val="none" w:sz="0" w:space="0" w:color="auto"/>
          </w:divBdr>
        </w:div>
        <w:div w:id="1010912449">
          <w:marLeft w:val="0"/>
          <w:marRight w:val="0"/>
          <w:marTop w:val="0"/>
          <w:marBottom w:val="0"/>
          <w:divBdr>
            <w:top w:val="none" w:sz="0" w:space="0" w:color="auto"/>
            <w:left w:val="none" w:sz="0" w:space="0" w:color="auto"/>
            <w:bottom w:val="none" w:sz="0" w:space="0" w:color="auto"/>
            <w:right w:val="none" w:sz="0" w:space="0" w:color="auto"/>
          </w:divBdr>
        </w:div>
        <w:div w:id="1010912450">
          <w:marLeft w:val="0"/>
          <w:marRight w:val="0"/>
          <w:marTop w:val="0"/>
          <w:marBottom w:val="0"/>
          <w:divBdr>
            <w:top w:val="none" w:sz="0" w:space="0" w:color="auto"/>
            <w:left w:val="none" w:sz="0" w:space="0" w:color="auto"/>
            <w:bottom w:val="none" w:sz="0" w:space="0" w:color="auto"/>
            <w:right w:val="none" w:sz="0" w:space="0" w:color="auto"/>
          </w:divBdr>
        </w:div>
        <w:div w:id="1010912451">
          <w:marLeft w:val="0"/>
          <w:marRight w:val="0"/>
          <w:marTop w:val="0"/>
          <w:marBottom w:val="0"/>
          <w:divBdr>
            <w:top w:val="none" w:sz="0" w:space="0" w:color="auto"/>
            <w:left w:val="none" w:sz="0" w:space="0" w:color="auto"/>
            <w:bottom w:val="none" w:sz="0" w:space="0" w:color="auto"/>
            <w:right w:val="none" w:sz="0" w:space="0" w:color="auto"/>
          </w:divBdr>
        </w:div>
        <w:div w:id="1010912452">
          <w:marLeft w:val="0"/>
          <w:marRight w:val="0"/>
          <w:marTop w:val="0"/>
          <w:marBottom w:val="0"/>
          <w:divBdr>
            <w:top w:val="none" w:sz="0" w:space="0" w:color="auto"/>
            <w:left w:val="none" w:sz="0" w:space="0" w:color="auto"/>
            <w:bottom w:val="none" w:sz="0" w:space="0" w:color="auto"/>
            <w:right w:val="none" w:sz="0" w:space="0" w:color="auto"/>
          </w:divBdr>
        </w:div>
        <w:div w:id="1010912453">
          <w:marLeft w:val="0"/>
          <w:marRight w:val="0"/>
          <w:marTop w:val="0"/>
          <w:marBottom w:val="0"/>
          <w:divBdr>
            <w:top w:val="none" w:sz="0" w:space="0" w:color="auto"/>
            <w:left w:val="none" w:sz="0" w:space="0" w:color="auto"/>
            <w:bottom w:val="none" w:sz="0" w:space="0" w:color="auto"/>
            <w:right w:val="none" w:sz="0" w:space="0" w:color="auto"/>
          </w:divBdr>
        </w:div>
        <w:div w:id="1010912454">
          <w:marLeft w:val="0"/>
          <w:marRight w:val="0"/>
          <w:marTop w:val="0"/>
          <w:marBottom w:val="0"/>
          <w:divBdr>
            <w:top w:val="none" w:sz="0" w:space="0" w:color="auto"/>
            <w:left w:val="none" w:sz="0" w:space="0" w:color="auto"/>
            <w:bottom w:val="none" w:sz="0" w:space="0" w:color="auto"/>
            <w:right w:val="none" w:sz="0" w:space="0" w:color="auto"/>
          </w:divBdr>
        </w:div>
        <w:div w:id="1010912455">
          <w:marLeft w:val="0"/>
          <w:marRight w:val="0"/>
          <w:marTop w:val="0"/>
          <w:marBottom w:val="0"/>
          <w:divBdr>
            <w:top w:val="none" w:sz="0" w:space="0" w:color="auto"/>
            <w:left w:val="none" w:sz="0" w:space="0" w:color="auto"/>
            <w:bottom w:val="none" w:sz="0" w:space="0" w:color="auto"/>
            <w:right w:val="none" w:sz="0" w:space="0" w:color="auto"/>
          </w:divBdr>
        </w:div>
        <w:div w:id="1010912456">
          <w:marLeft w:val="0"/>
          <w:marRight w:val="0"/>
          <w:marTop w:val="0"/>
          <w:marBottom w:val="0"/>
          <w:divBdr>
            <w:top w:val="none" w:sz="0" w:space="0" w:color="auto"/>
            <w:left w:val="none" w:sz="0" w:space="0" w:color="auto"/>
            <w:bottom w:val="none" w:sz="0" w:space="0" w:color="auto"/>
            <w:right w:val="none" w:sz="0" w:space="0" w:color="auto"/>
          </w:divBdr>
        </w:div>
        <w:div w:id="1010912457">
          <w:marLeft w:val="0"/>
          <w:marRight w:val="0"/>
          <w:marTop w:val="0"/>
          <w:marBottom w:val="0"/>
          <w:divBdr>
            <w:top w:val="none" w:sz="0" w:space="0" w:color="auto"/>
            <w:left w:val="none" w:sz="0" w:space="0" w:color="auto"/>
            <w:bottom w:val="none" w:sz="0" w:space="0" w:color="auto"/>
            <w:right w:val="none" w:sz="0" w:space="0" w:color="auto"/>
          </w:divBdr>
        </w:div>
        <w:div w:id="1010912458">
          <w:marLeft w:val="0"/>
          <w:marRight w:val="0"/>
          <w:marTop w:val="0"/>
          <w:marBottom w:val="0"/>
          <w:divBdr>
            <w:top w:val="none" w:sz="0" w:space="0" w:color="auto"/>
            <w:left w:val="none" w:sz="0" w:space="0" w:color="auto"/>
            <w:bottom w:val="none" w:sz="0" w:space="0" w:color="auto"/>
            <w:right w:val="none" w:sz="0" w:space="0" w:color="auto"/>
          </w:divBdr>
        </w:div>
        <w:div w:id="1010912460">
          <w:marLeft w:val="0"/>
          <w:marRight w:val="0"/>
          <w:marTop w:val="0"/>
          <w:marBottom w:val="0"/>
          <w:divBdr>
            <w:top w:val="none" w:sz="0" w:space="0" w:color="auto"/>
            <w:left w:val="none" w:sz="0" w:space="0" w:color="auto"/>
            <w:bottom w:val="none" w:sz="0" w:space="0" w:color="auto"/>
            <w:right w:val="none" w:sz="0" w:space="0" w:color="auto"/>
          </w:divBdr>
        </w:div>
        <w:div w:id="1010912461">
          <w:marLeft w:val="0"/>
          <w:marRight w:val="0"/>
          <w:marTop w:val="0"/>
          <w:marBottom w:val="0"/>
          <w:divBdr>
            <w:top w:val="none" w:sz="0" w:space="0" w:color="auto"/>
            <w:left w:val="none" w:sz="0" w:space="0" w:color="auto"/>
            <w:bottom w:val="none" w:sz="0" w:space="0" w:color="auto"/>
            <w:right w:val="none" w:sz="0" w:space="0" w:color="auto"/>
          </w:divBdr>
        </w:div>
        <w:div w:id="1010912462">
          <w:marLeft w:val="0"/>
          <w:marRight w:val="0"/>
          <w:marTop w:val="0"/>
          <w:marBottom w:val="0"/>
          <w:divBdr>
            <w:top w:val="none" w:sz="0" w:space="0" w:color="auto"/>
            <w:left w:val="none" w:sz="0" w:space="0" w:color="auto"/>
            <w:bottom w:val="none" w:sz="0" w:space="0" w:color="auto"/>
            <w:right w:val="none" w:sz="0" w:space="0" w:color="auto"/>
          </w:divBdr>
        </w:div>
        <w:div w:id="1010912463">
          <w:marLeft w:val="0"/>
          <w:marRight w:val="0"/>
          <w:marTop w:val="0"/>
          <w:marBottom w:val="0"/>
          <w:divBdr>
            <w:top w:val="none" w:sz="0" w:space="0" w:color="auto"/>
            <w:left w:val="none" w:sz="0" w:space="0" w:color="auto"/>
            <w:bottom w:val="none" w:sz="0" w:space="0" w:color="auto"/>
            <w:right w:val="none" w:sz="0" w:space="0" w:color="auto"/>
          </w:divBdr>
        </w:div>
        <w:div w:id="1010912466">
          <w:marLeft w:val="0"/>
          <w:marRight w:val="0"/>
          <w:marTop w:val="0"/>
          <w:marBottom w:val="0"/>
          <w:divBdr>
            <w:top w:val="none" w:sz="0" w:space="0" w:color="auto"/>
            <w:left w:val="none" w:sz="0" w:space="0" w:color="auto"/>
            <w:bottom w:val="none" w:sz="0" w:space="0" w:color="auto"/>
            <w:right w:val="none" w:sz="0" w:space="0" w:color="auto"/>
          </w:divBdr>
        </w:div>
        <w:div w:id="1010912467">
          <w:marLeft w:val="0"/>
          <w:marRight w:val="0"/>
          <w:marTop w:val="0"/>
          <w:marBottom w:val="0"/>
          <w:divBdr>
            <w:top w:val="none" w:sz="0" w:space="0" w:color="auto"/>
            <w:left w:val="none" w:sz="0" w:space="0" w:color="auto"/>
            <w:bottom w:val="none" w:sz="0" w:space="0" w:color="auto"/>
            <w:right w:val="none" w:sz="0" w:space="0" w:color="auto"/>
          </w:divBdr>
        </w:div>
        <w:div w:id="1010912468">
          <w:marLeft w:val="0"/>
          <w:marRight w:val="0"/>
          <w:marTop w:val="0"/>
          <w:marBottom w:val="0"/>
          <w:divBdr>
            <w:top w:val="none" w:sz="0" w:space="0" w:color="auto"/>
            <w:left w:val="none" w:sz="0" w:space="0" w:color="auto"/>
            <w:bottom w:val="none" w:sz="0" w:space="0" w:color="auto"/>
            <w:right w:val="none" w:sz="0" w:space="0" w:color="auto"/>
          </w:divBdr>
        </w:div>
        <w:div w:id="1010912469">
          <w:marLeft w:val="0"/>
          <w:marRight w:val="0"/>
          <w:marTop w:val="0"/>
          <w:marBottom w:val="0"/>
          <w:divBdr>
            <w:top w:val="none" w:sz="0" w:space="0" w:color="auto"/>
            <w:left w:val="none" w:sz="0" w:space="0" w:color="auto"/>
            <w:bottom w:val="none" w:sz="0" w:space="0" w:color="auto"/>
            <w:right w:val="none" w:sz="0" w:space="0" w:color="auto"/>
          </w:divBdr>
        </w:div>
        <w:div w:id="1010912470">
          <w:marLeft w:val="0"/>
          <w:marRight w:val="0"/>
          <w:marTop w:val="0"/>
          <w:marBottom w:val="0"/>
          <w:divBdr>
            <w:top w:val="none" w:sz="0" w:space="0" w:color="auto"/>
            <w:left w:val="none" w:sz="0" w:space="0" w:color="auto"/>
            <w:bottom w:val="none" w:sz="0" w:space="0" w:color="auto"/>
            <w:right w:val="none" w:sz="0" w:space="0" w:color="auto"/>
          </w:divBdr>
        </w:div>
        <w:div w:id="1010912472">
          <w:marLeft w:val="0"/>
          <w:marRight w:val="0"/>
          <w:marTop w:val="0"/>
          <w:marBottom w:val="0"/>
          <w:divBdr>
            <w:top w:val="none" w:sz="0" w:space="0" w:color="auto"/>
            <w:left w:val="none" w:sz="0" w:space="0" w:color="auto"/>
            <w:bottom w:val="none" w:sz="0" w:space="0" w:color="auto"/>
            <w:right w:val="none" w:sz="0" w:space="0" w:color="auto"/>
          </w:divBdr>
        </w:div>
        <w:div w:id="1010912473">
          <w:marLeft w:val="0"/>
          <w:marRight w:val="0"/>
          <w:marTop w:val="0"/>
          <w:marBottom w:val="0"/>
          <w:divBdr>
            <w:top w:val="none" w:sz="0" w:space="0" w:color="auto"/>
            <w:left w:val="none" w:sz="0" w:space="0" w:color="auto"/>
            <w:bottom w:val="none" w:sz="0" w:space="0" w:color="auto"/>
            <w:right w:val="none" w:sz="0" w:space="0" w:color="auto"/>
          </w:divBdr>
        </w:div>
        <w:div w:id="1010912474">
          <w:marLeft w:val="0"/>
          <w:marRight w:val="0"/>
          <w:marTop w:val="0"/>
          <w:marBottom w:val="0"/>
          <w:divBdr>
            <w:top w:val="none" w:sz="0" w:space="0" w:color="auto"/>
            <w:left w:val="none" w:sz="0" w:space="0" w:color="auto"/>
            <w:bottom w:val="none" w:sz="0" w:space="0" w:color="auto"/>
            <w:right w:val="none" w:sz="0" w:space="0" w:color="auto"/>
          </w:divBdr>
        </w:div>
        <w:div w:id="1010912475">
          <w:marLeft w:val="0"/>
          <w:marRight w:val="0"/>
          <w:marTop w:val="0"/>
          <w:marBottom w:val="0"/>
          <w:divBdr>
            <w:top w:val="none" w:sz="0" w:space="0" w:color="auto"/>
            <w:left w:val="none" w:sz="0" w:space="0" w:color="auto"/>
            <w:bottom w:val="none" w:sz="0" w:space="0" w:color="auto"/>
            <w:right w:val="none" w:sz="0" w:space="0" w:color="auto"/>
          </w:divBdr>
        </w:div>
        <w:div w:id="1010912476">
          <w:marLeft w:val="0"/>
          <w:marRight w:val="0"/>
          <w:marTop w:val="0"/>
          <w:marBottom w:val="0"/>
          <w:divBdr>
            <w:top w:val="none" w:sz="0" w:space="0" w:color="auto"/>
            <w:left w:val="none" w:sz="0" w:space="0" w:color="auto"/>
            <w:bottom w:val="none" w:sz="0" w:space="0" w:color="auto"/>
            <w:right w:val="none" w:sz="0" w:space="0" w:color="auto"/>
          </w:divBdr>
        </w:div>
        <w:div w:id="1010912477">
          <w:marLeft w:val="0"/>
          <w:marRight w:val="0"/>
          <w:marTop w:val="0"/>
          <w:marBottom w:val="0"/>
          <w:divBdr>
            <w:top w:val="none" w:sz="0" w:space="0" w:color="auto"/>
            <w:left w:val="none" w:sz="0" w:space="0" w:color="auto"/>
            <w:bottom w:val="none" w:sz="0" w:space="0" w:color="auto"/>
            <w:right w:val="none" w:sz="0" w:space="0" w:color="auto"/>
          </w:divBdr>
        </w:div>
      </w:divsChild>
    </w:div>
    <w:div w:id="1010912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DFCC7-9320-4955-BCAA-2470736EBFE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BA7FC79-EFC3-42F3-90BD-11E5708B57B3}">
  <ds:schemaRefs>
    <ds:schemaRef ds:uri="http://schemas.microsoft.com/sharepoint/v3/contenttype/forms"/>
  </ds:schemaRefs>
</ds:datastoreItem>
</file>

<file path=customXml/itemProps3.xml><?xml version="1.0" encoding="utf-8"?>
<ds:datastoreItem xmlns:ds="http://schemas.openxmlformats.org/officeDocument/2006/customXml" ds:itemID="{754AD6EC-061C-4E3D-A469-4F396316F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1</TotalTime>
  <Pages>6</Pages>
  <Words>2460</Words>
  <Characters>13531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2021-05-02T23:08:00Z</dcterms:created>
  <dcterms:modified xsi:type="dcterms:W3CDTF">2021-05-02T23:33:00Z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