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D5" w:rsidRPr="0028434F" w:rsidRDefault="00942DD5">
      <w:pPr>
        <w:pStyle w:val="Heading1"/>
        <w:rPr>
          <w:rFonts w:ascii="Arial" w:hAnsi="Arial" w:cs="Arial"/>
        </w:rPr>
      </w:pPr>
      <w:r w:rsidRPr="0028434F">
        <w:rPr>
          <w:rFonts w:ascii="Arial" w:hAnsi="Arial" w:cs="Arial"/>
        </w:rPr>
        <w:t>Valparaíso, 4 de agosto de 2020.</w:t>
      </w:r>
    </w:p>
    <w:p w:rsidR="00942DD5" w:rsidRPr="0028434F" w:rsidRDefault="00942DD5">
      <w:pPr>
        <w:tabs>
          <w:tab w:val="left" w:pos="3686"/>
        </w:tabs>
        <w:spacing w:line="360" w:lineRule="atLeast"/>
        <w:ind w:right="74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>
      <w:pPr>
        <w:tabs>
          <w:tab w:val="left" w:pos="3686"/>
        </w:tabs>
        <w:spacing w:line="360" w:lineRule="atLeast"/>
        <w:ind w:right="74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851"/>
          <w:tab w:val="left" w:pos="1843"/>
          <w:tab w:val="left" w:pos="3686"/>
        </w:tabs>
        <w:spacing w:line="360" w:lineRule="atLeast"/>
        <w:ind w:right="74"/>
        <w:jc w:val="both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ab/>
        <w:t xml:space="preserve">El </w:t>
      </w:r>
      <w:r w:rsidRPr="0028434F">
        <w:rPr>
          <w:rFonts w:ascii="Arial" w:hAnsi="Arial" w:cs="Arial"/>
          <w:spacing w:val="10"/>
          <w:sz w:val="24"/>
          <w:szCs w:val="24"/>
        </w:rPr>
        <w:t>Secretario de Comisiones</w:t>
      </w:r>
      <w:r w:rsidRPr="0028434F">
        <w:rPr>
          <w:rFonts w:ascii="Arial" w:hAnsi="Arial" w:cs="Arial"/>
          <w:sz w:val="24"/>
          <w:szCs w:val="24"/>
        </w:rPr>
        <w:t xml:space="preserve"> que suscribe,</w:t>
      </w:r>
      <w:r w:rsidRPr="002843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434F">
        <w:rPr>
          <w:rFonts w:ascii="Arial" w:hAnsi="Arial" w:cs="Arial"/>
          <w:b/>
          <w:bCs/>
          <w:spacing w:val="20"/>
          <w:sz w:val="24"/>
          <w:szCs w:val="24"/>
        </w:rPr>
        <w:t>CERTIFICA</w:t>
      </w:r>
      <w:r w:rsidRPr="0028434F">
        <w:rPr>
          <w:rFonts w:ascii="Arial" w:hAnsi="Arial" w:cs="Arial"/>
          <w:b/>
          <w:bCs/>
          <w:sz w:val="24"/>
          <w:szCs w:val="24"/>
        </w:rPr>
        <w:t>:</w:t>
      </w:r>
    </w:p>
    <w:p w:rsidR="00942DD5" w:rsidRPr="0028434F" w:rsidRDefault="00942DD5" w:rsidP="005F036D">
      <w:pPr>
        <w:tabs>
          <w:tab w:val="left" w:pos="851"/>
          <w:tab w:val="left" w:pos="1843"/>
          <w:tab w:val="left" w:pos="3686"/>
        </w:tabs>
        <w:spacing w:line="360" w:lineRule="atLeast"/>
        <w:ind w:right="74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851"/>
          <w:tab w:val="left" w:pos="1843"/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ab/>
        <w:t xml:space="preserve">Que el proyecto de reforma constitucional originado en mociones y mensaje refundidos que “regula la facultad del Banco Central para otorgar créditos a entidades públicas.". (Boletines   N°s 13399-05; 13400-05, y 13592-05 </w:t>
      </w:r>
      <w:r w:rsidRPr="0028434F">
        <w:rPr>
          <w:rFonts w:ascii="Arial" w:hAnsi="Arial" w:cs="Arial"/>
          <w:b/>
          <w:bCs/>
          <w:sz w:val="24"/>
          <w:szCs w:val="24"/>
        </w:rPr>
        <w:t>SEN</w:t>
      </w:r>
      <w:r w:rsidRPr="0028434F">
        <w:rPr>
          <w:rFonts w:ascii="Arial" w:hAnsi="Arial" w:cs="Arial"/>
          <w:sz w:val="24"/>
          <w:szCs w:val="24"/>
        </w:rPr>
        <w:t xml:space="preserve">)  con urgencia calificada de </w:t>
      </w:r>
      <w:r w:rsidRPr="0028434F">
        <w:rPr>
          <w:rFonts w:ascii="Arial" w:hAnsi="Arial" w:cs="Arial"/>
          <w:b/>
          <w:bCs/>
          <w:sz w:val="24"/>
          <w:szCs w:val="24"/>
        </w:rPr>
        <w:t>discusión inmediata</w:t>
      </w:r>
      <w:r w:rsidRPr="0028434F">
        <w:rPr>
          <w:rFonts w:ascii="Arial" w:hAnsi="Arial" w:cs="Arial"/>
          <w:sz w:val="24"/>
          <w:szCs w:val="24"/>
        </w:rPr>
        <w:t xml:space="preserve"> fue tratado en esta Comisión, en sesiones de fecha 3 y 4 de agosto  de 2020, en primer trámite constitucional y reglamentario, con la asistencia de los Diputados señores Matías Walker (Presidente de la Comisión); Gabriel Boric; Juan Antonio Coloma; Luciano Cruz-Coke; Camila Flores; Gonzalo Fuenzalida; Hugo Gutiérrez; Marcos Ilabaca; Pamela Jiles;  Paulina Núñez; René Saffirio, y Leonardo Soto. Asimismo asistió el diputado señor Francisco Eguiguren (por la señora Flores).</w:t>
      </w:r>
    </w:p>
    <w:p w:rsidR="00942DD5" w:rsidRPr="0028434F" w:rsidRDefault="00942DD5" w:rsidP="005F036D">
      <w:pPr>
        <w:tabs>
          <w:tab w:val="left" w:pos="851"/>
          <w:tab w:val="left" w:pos="1843"/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851"/>
          <w:tab w:val="left" w:pos="1843"/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ab/>
        <w:t>La idea matriz o fundamental del proyecto consiste en facultar al Banco Central para comprar y vender en el mercado secundario abierto instrumentos de deuda emitidos por el Fisco, en circunstancias excepcionales que indica.</w:t>
      </w:r>
    </w:p>
    <w:p w:rsidR="00942DD5" w:rsidRPr="0028434F" w:rsidRDefault="00942DD5" w:rsidP="005F036D">
      <w:pPr>
        <w:tabs>
          <w:tab w:val="left" w:pos="851"/>
          <w:tab w:val="left" w:pos="1843"/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851"/>
          <w:tab w:val="left" w:pos="1843"/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ab/>
        <w:t xml:space="preserve">De conformidad a lo establecido en el Nº 4 artículo 302 del Reglamento de la Corporación, la Comisión deja constancia que el proyecto no requiere ser conocido por la Comisión de Hacienda. </w:t>
      </w:r>
    </w:p>
    <w:p w:rsidR="00942DD5" w:rsidRPr="0028434F" w:rsidRDefault="00942DD5" w:rsidP="005F036D">
      <w:pPr>
        <w:tabs>
          <w:tab w:val="left" w:pos="851"/>
          <w:tab w:val="left" w:pos="1843"/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851"/>
          <w:tab w:val="left" w:pos="1843"/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ab/>
        <w:t>Asistieron a la Comisión durante el estudio de la iniciativa el Ministro de Hacienda, señor Ignacio Briones; el Presidente del Banco Central señor Mario Marcel; el ex Presidente del Banco Central, señor José De Gregorio, y el ex Ministro de Hacienda y Consejero del Banco Central señor Manuel Marfán.</w:t>
      </w:r>
    </w:p>
    <w:p w:rsidR="00942DD5" w:rsidRPr="0028434F" w:rsidRDefault="00942DD5" w:rsidP="005F036D">
      <w:pPr>
        <w:tabs>
          <w:tab w:val="left" w:pos="851"/>
          <w:tab w:val="left" w:pos="1843"/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 xml:space="preserve"> </w:t>
      </w:r>
    </w:p>
    <w:p w:rsidR="00942DD5" w:rsidRPr="0028434F" w:rsidRDefault="00942DD5" w:rsidP="005F036D">
      <w:pPr>
        <w:tabs>
          <w:tab w:val="left" w:pos="851"/>
          <w:tab w:val="left" w:pos="1843"/>
          <w:tab w:val="left" w:pos="3686"/>
        </w:tabs>
        <w:spacing w:line="360" w:lineRule="atLeast"/>
        <w:ind w:right="74" w:firstLine="851"/>
        <w:jc w:val="both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>Se hace presente que el proyecto requiere para su aprobación de las tres quintas partes de los diputados en ejercicio, de conformidad con el primer párrafo del artíc</w:t>
      </w:r>
      <w:r>
        <w:rPr>
          <w:rFonts w:ascii="Arial" w:hAnsi="Arial" w:cs="Arial"/>
          <w:sz w:val="24"/>
          <w:szCs w:val="24"/>
        </w:rPr>
        <w:t>ulo 127 de la Carta Fundamental y que el proyecto fue aprobado sin modificaciones.</w:t>
      </w:r>
    </w:p>
    <w:p w:rsidR="00942DD5" w:rsidRPr="0028434F" w:rsidRDefault="00942DD5" w:rsidP="005F036D">
      <w:pPr>
        <w:tabs>
          <w:tab w:val="left" w:pos="851"/>
          <w:tab w:val="left" w:pos="3686"/>
        </w:tabs>
        <w:spacing w:line="360" w:lineRule="atLeast"/>
        <w:ind w:right="74" w:firstLine="1800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851"/>
          <w:tab w:val="left" w:pos="3686"/>
        </w:tabs>
        <w:spacing w:line="360" w:lineRule="atLeast"/>
        <w:ind w:right="74" w:firstLine="851"/>
        <w:jc w:val="both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>Indicaciones y artículos rechazadas o declaradas inadmisibles: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28434F">
        <w:rPr>
          <w:rFonts w:ascii="Arial" w:hAnsi="Arial" w:cs="Arial"/>
          <w:b/>
          <w:bCs/>
          <w:sz w:val="24"/>
          <w:szCs w:val="24"/>
        </w:rPr>
        <w:t>Se rechazó la indicación del diputado Leonardo Soto para reemplazar el inciso tercero del artículo 109 de la Carta Fundamental, del siguiente tenor: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  <w:lang w:val="es-CL"/>
        </w:rPr>
      </w:pPr>
      <w:r w:rsidRPr="0028434F">
        <w:rPr>
          <w:rFonts w:ascii="Arial" w:hAnsi="Arial" w:cs="Arial"/>
          <w:sz w:val="24"/>
          <w:szCs w:val="24"/>
        </w:rPr>
        <w:t>“Sin perjuicio de lo anterior, el Banco Central podrá comprar y vender, en el mercado primario y secundario abierto, instrumentos de deuda emitidos por el Fisco, conforme a su ley orgánica constitucional, en los siguientes casos: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>a) Decretado el estado de excepción constitucional de asamblea por guerra exterior o en caso de peligro de ella.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>b) Decretado el estado de excepción constitucional de catástrofe por calamidad pública.”</w:t>
      </w:r>
    </w:p>
    <w:p w:rsidR="00942DD5" w:rsidRPr="0028434F" w:rsidRDefault="00942DD5" w:rsidP="005F036D">
      <w:pPr>
        <w:tabs>
          <w:tab w:val="left" w:pos="851"/>
          <w:tab w:val="left" w:pos="3686"/>
        </w:tabs>
        <w:spacing w:line="360" w:lineRule="atLeast"/>
        <w:ind w:right="74" w:firstLine="1800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/>
        <w:jc w:val="both"/>
        <w:rPr>
          <w:rFonts w:ascii="Arial" w:hAnsi="Arial" w:cs="Arial"/>
          <w:b/>
          <w:bCs/>
          <w:sz w:val="24"/>
          <w:szCs w:val="24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CL"/>
        </w:rPr>
        <w:t xml:space="preserve">TEXTO DEL </w:t>
      </w:r>
      <w:r w:rsidRPr="0028434F">
        <w:rPr>
          <w:rFonts w:ascii="Arial" w:hAnsi="Arial" w:cs="Arial"/>
          <w:b/>
          <w:bCs/>
          <w:i/>
          <w:iCs/>
          <w:sz w:val="24"/>
          <w:szCs w:val="24"/>
          <w:lang w:val="es-CL"/>
        </w:rPr>
        <w:t>PROYECTO DE REFORMA CONSTITUCIONAL: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  <w:r w:rsidRPr="0028434F">
        <w:rPr>
          <w:rFonts w:ascii="Arial" w:hAnsi="Arial" w:cs="Arial"/>
          <w:i/>
          <w:iCs/>
          <w:sz w:val="24"/>
          <w:szCs w:val="24"/>
          <w:lang w:val="es-CL"/>
        </w:rPr>
        <w:t xml:space="preserve"> “Artículo único.- Modifícase la Constitución Política de la República, cuyo texto refundido, coordinado y sistematizado fue fijado por el decreto supremo N° 100, de 2005, del Ministerio Secretaría General de la Presidencia, en el siguiente sentido: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  <w:r w:rsidRPr="0028434F">
        <w:rPr>
          <w:rFonts w:ascii="Arial" w:hAnsi="Arial" w:cs="Arial"/>
          <w:i/>
          <w:iCs/>
          <w:sz w:val="24"/>
          <w:szCs w:val="24"/>
          <w:lang w:val="es-CL"/>
        </w:rPr>
        <w:t>1) Intercálase, a continuación del inciso primero del artículo 109, un inciso segundo, nuevo, pasando el actual inciso segundo a ser tercero y así sucesivamente, del siguiente tenor: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  <w:r w:rsidRPr="0028434F">
        <w:rPr>
          <w:rFonts w:ascii="Arial" w:hAnsi="Arial" w:cs="Arial"/>
          <w:i/>
          <w:iCs/>
          <w:sz w:val="24"/>
          <w:szCs w:val="24"/>
          <w:lang w:val="es-CL"/>
        </w:rPr>
        <w:t>“Sin perjuicio de lo anterior, en situaciones excepcionales y transitorias, en las que así lo requiera la preservación del normal funcionamiento de los pagos internos y externos, el Banco Central podrá comprar durante un período determinado y vender, en el mercado secundario abierto, instrumentos de deuda emitidos por el Fisco, de conformidad a lo establecido en su ley orgánica constitucional.”.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  <w:r w:rsidRPr="0028434F">
        <w:rPr>
          <w:rFonts w:ascii="Arial" w:hAnsi="Arial" w:cs="Arial"/>
          <w:i/>
          <w:iCs/>
          <w:sz w:val="24"/>
          <w:szCs w:val="24"/>
          <w:lang w:val="es-CL"/>
        </w:rPr>
        <w:t>2) Incorpórase una disposición transitoria cuadragésima, nueva, del siguiente tenor: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  <w:r w:rsidRPr="0028434F">
        <w:rPr>
          <w:rFonts w:ascii="Arial" w:hAnsi="Arial" w:cs="Arial"/>
          <w:i/>
          <w:iCs/>
          <w:sz w:val="24"/>
          <w:szCs w:val="24"/>
          <w:lang w:val="es-CL"/>
        </w:rPr>
        <w:t>“CUADRAGÉSIMA. La reforma constitucional al artículo 109 empezará a regir una vez que entre en vigencia la ley que introduce modificaciones a la ley N° 18.840, Orgánica Constitucional del Banco Central de Chile, que regulará el ejercicio de la nueva facultad que se le otorga al Banco Central.”.”.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i/>
          <w:iCs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  <w:lang w:val="es-CL"/>
        </w:rPr>
      </w:pPr>
      <w:r w:rsidRPr="0028434F">
        <w:rPr>
          <w:rFonts w:ascii="Arial" w:hAnsi="Arial" w:cs="Arial"/>
          <w:b/>
          <w:bCs/>
          <w:sz w:val="24"/>
          <w:szCs w:val="24"/>
          <w:lang w:val="es-CL"/>
        </w:rPr>
        <w:t>Sometida a votación general, la reforma constitucional fue aprobada por la unanimidad de los presentes (12-0-0)</w:t>
      </w:r>
      <w:r w:rsidRPr="0028434F">
        <w:rPr>
          <w:rFonts w:ascii="Arial" w:hAnsi="Arial" w:cs="Arial"/>
          <w:sz w:val="24"/>
          <w:szCs w:val="24"/>
          <w:lang w:val="es-CL"/>
        </w:rPr>
        <w:t xml:space="preserve"> diputados(as) señores(as): Matías Walker (Presidente), Gabriel Boric, Juan Antonio Coloma, Luciano Cruz-Coke, Camila Flores, Gonzalo Fuenzalida, Hugo Gutiérrez, Marcos Ilabaca, Pamela Jiles, Paulina Núñez, René Saffirio y Leonardo Soto.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28434F">
        <w:rPr>
          <w:rFonts w:ascii="Arial" w:hAnsi="Arial" w:cs="Arial"/>
          <w:b/>
          <w:bCs/>
          <w:sz w:val="24"/>
          <w:szCs w:val="24"/>
        </w:rPr>
        <w:t>El diputado Leonardo Soto presenta indicación para reemplazar el inciso tercero del artículo 109 de la Carta Fundamental del siguiente tenor: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  <w:lang w:val="es-CL"/>
        </w:rPr>
      </w:pPr>
      <w:r w:rsidRPr="0028434F">
        <w:rPr>
          <w:rFonts w:ascii="Arial" w:hAnsi="Arial" w:cs="Arial"/>
          <w:sz w:val="24"/>
          <w:szCs w:val="24"/>
        </w:rPr>
        <w:t>“Sin perjuicio de lo anterior, el Banco Central podrá comprar y vender, en el mercado primario y secundario abierto, instrumentos de deuda emitidos por el Fisco, conforme a su ley orgánica constitucional, en los siguientes casos: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>a) Decretado el estado de excepción constitucional de asamblea por guerra exterior o en caso de peligro de ella.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>b) Decretado el estado de excepción constitucional de catástrofe por calamidad pública.”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/>
        <w:rPr>
          <w:rFonts w:ascii="Arial" w:hAnsi="Arial" w:cs="Arial"/>
          <w:b/>
          <w:bCs/>
          <w:sz w:val="24"/>
          <w:szCs w:val="24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28434F">
        <w:rPr>
          <w:rFonts w:ascii="Arial" w:hAnsi="Arial" w:cs="Arial"/>
          <w:sz w:val="24"/>
          <w:szCs w:val="24"/>
          <w:lang w:val="es-CL"/>
        </w:rPr>
        <w:t>Sometida a votación,</w:t>
      </w:r>
      <w:r w:rsidRPr="0028434F">
        <w:rPr>
          <w:rFonts w:ascii="Arial" w:hAnsi="Arial" w:cs="Arial"/>
          <w:b/>
          <w:bCs/>
          <w:sz w:val="24"/>
          <w:szCs w:val="24"/>
          <w:lang w:val="es-CL"/>
        </w:rPr>
        <w:t xml:space="preserve"> la indicación fue rechazada por no alcanzar la mayoría de votos (2-8-2).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  <w:lang w:val="es-CL"/>
        </w:rPr>
      </w:pPr>
      <w:r w:rsidRPr="0028434F">
        <w:rPr>
          <w:rFonts w:ascii="Arial" w:hAnsi="Arial" w:cs="Arial"/>
          <w:b/>
          <w:bCs/>
          <w:sz w:val="24"/>
          <w:szCs w:val="24"/>
          <w:lang w:val="es-CL"/>
        </w:rPr>
        <w:t xml:space="preserve">Votaron a favor </w:t>
      </w:r>
      <w:r w:rsidRPr="0028434F">
        <w:rPr>
          <w:rFonts w:ascii="Arial" w:hAnsi="Arial" w:cs="Arial"/>
          <w:sz w:val="24"/>
          <w:szCs w:val="24"/>
          <w:lang w:val="es-CL"/>
        </w:rPr>
        <w:t xml:space="preserve">los diputados señores: Hugo Gutiérrez y Leonardo Soto. 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  <w:lang w:val="es-CL"/>
        </w:rPr>
      </w:pPr>
      <w:r w:rsidRPr="0028434F">
        <w:rPr>
          <w:rFonts w:ascii="Arial" w:hAnsi="Arial" w:cs="Arial"/>
          <w:b/>
          <w:bCs/>
          <w:sz w:val="24"/>
          <w:szCs w:val="24"/>
          <w:lang w:val="es-CL"/>
        </w:rPr>
        <w:t>Votaron en contra</w:t>
      </w:r>
      <w:r w:rsidRPr="0028434F">
        <w:rPr>
          <w:rFonts w:ascii="Arial" w:hAnsi="Arial" w:cs="Arial"/>
          <w:sz w:val="24"/>
          <w:szCs w:val="24"/>
          <w:lang w:val="es-CL"/>
        </w:rPr>
        <w:t xml:space="preserve"> los diputados(as) señores(as): Matías Walker (Presidente), Juan Antonio Coloma, Luciano Cruz-Coke, Camila Flores, Gonzalo Fuenzalida, Marcos Ilabaca, Paulina Núñez y René Saffirio.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28434F">
        <w:rPr>
          <w:rFonts w:ascii="Arial" w:hAnsi="Arial" w:cs="Arial"/>
          <w:b/>
          <w:bCs/>
          <w:sz w:val="24"/>
          <w:szCs w:val="24"/>
          <w:lang w:val="es-CL"/>
        </w:rPr>
        <w:t>Se abstuvieron</w:t>
      </w:r>
      <w:r w:rsidRPr="0028434F">
        <w:rPr>
          <w:rFonts w:ascii="Arial" w:hAnsi="Arial" w:cs="Arial"/>
          <w:sz w:val="24"/>
          <w:szCs w:val="24"/>
          <w:lang w:val="es-CL"/>
        </w:rPr>
        <w:t xml:space="preserve"> los diputados(as) señores(as): Gabriel Boric y Pamela Jiles.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  <w:lang w:val="es-CL"/>
        </w:rPr>
      </w:pPr>
      <w:r w:rsidRPr="0028434F">
        <w:rPr>
          <w:rFonts w:ascii="Arial" w:hAnsi="Arial" w:cs="Arial"/>
          <w:b/>
          <w:bCs/>
          <w:sz w:val="24"/>
          <w:szCs w:val="24"/>
          <w:lang w:val="es-CL"/>
        </w:rPr>
        <w:t>En votación particular, la reforma constitucional fue aprobada por la unanimidad de los presentes (12-0-0)</w:t>
      </w:r>
      <w:r w:rsidRPr="0028434F">
        <w:rPr>
          <w:rFonts w:ascii="Arial" w:hAnsi="Arial" w:cs="Arial"/>
          <w:sz w:val="24"/>
          <w:szCs w:val="24"/>
          <w:lang w:val="es-CL"/>
        </w:rPr>
        <w:t xml:space="preserve"> diputados(as) señores(as) Matías Walker (Presidente), Gabriel Boric, Juan Antonio Coloma, Luciano Cruz-Coke, Camila Flores, Gonzalo Fuenzalida, Hugo Gutiérrez, Marcos Ilabaca, Pamela Jiles, Paulina Núñez, René Saffirio y Leonardo Soto.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28434F">
        <w:rPr>
          <w:rFonts w:ascii="Arial" w:hAnsi="Arial" w:cs="Arial"/>
          <w:b/>
          <w:bCs/>
          <w:sz w:val="24"/>
          <w:szCs w:val="24"/>
          <w:lang w:val="es-CL"/>
        </w:rPr>
        <w:t>Despachada la reforma constitucional.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28434F">
        <w:rPr>
          <w:rFonts w:ascii="Arial" w:hAnsi="Arial" w:cs="Arial"/>
          <w:b/>
          <w:bCs/>
          <w:sz w:val="24"/>
          <w:szCs w:val="24"/>
          <w:lang w:val="es-CL"/>
        </w:rPr>
        <w:t>Se designó diputado informante, a la señora Camila Flores.</w:t>
      </w: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 w:firstLine="851"/>
        <w:jc w:val="both"/>
        <w:rPr>
          <w:rFonts w:ascii="Arial" w:hAnsi="Arial" w:cs="Arial"/>
          <w:sz w:val="24"/>
          <w:szCs w:val="24"/>
          <w:lang w:val="es-CL"/>
        </w:rPr>
      </w:pPr>
    </w:p>
    <w:p w:rsidR="00942DD5" w:rsidRPr="0028434F" w:rsidRDefault="00942DD5" w:rsidP="005F036D">
      <w:pPr>
        <w:tabs>
          <w:tab w:val="left" w:pos="2160"/>
          <w:tab w:val="left" w:pos="3402"/>
        </w:tabs>
        <w:spacing w:line="276" w:lineRule="auto"/>
        <w:ind w:right="48"/>
        <w:rPr>
          <w:rFonts w:ascii="Arial" w:hAnsi="Arial" w:cs="Arial"/>
          <w:b/>
          <w:bCs/>
          <w:sz w:val="24"/>
          <w:szCs w:val="24"/>
        </w:rPr>
      </w:pPr>
    </w:p>
    <w:p w:rsidR="00942DD5" w:rsidRPr="0028434F" w:rsidRDefault="00942DD5" w:rsidP="00A25847">
      <w:pPr>
        <w:tabs>
          <w:tab w:val="left" w:pos="3402"/>
        </w:tabs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942DD5" w:rsidRPr="0028434F" w:rsidRDefault="00942DD5" w:rsidP="005F036D">
      <w:pPr>
        <w:tabs>
          <w:tab w:val="left" w:pos="851"/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4"/>
          <w:szCs w:val="24"/>
        </w:rPr>
      </w:pPr>
      <w:r w:rsidRPr="0028434F">
        <w:rPr>
          <w:rFonts w:ascii="Arial" w:hAnsi="Arial" w:cs="Arial"/>
          <w:sz w:val="24"/>
          <w:szCs w:val="24"/>
        </w:rPr>
        <w:tab/>
        <w:t>En consecuencia, la Comisión de Constitución, Legislación, Justicia y Reglamento propone la aprobación del siguiente texto, en los mismos términos que los aprobados por el H. Senado:</w:t>
      </w:r>
    </w:p>
    <w:p w:rsidR="00942DD5" w:rsidRPr="0028434F" w:rsidRDefault="00942DD5" w:rsidP="00CA34D2">
      <w:pPr>
        <w:tabs>
          <w:tab w:val="left" w:pos="3402"/>
        </w:tabs>
        <w:spacing w:line="360" w:lineRule="atLeast"/>
        <w:ind w:right="74"/>
        <w:jc w:val="both"/>
        <w:rPr>
          <w:rFonts w:ascii="Arial" w:hAnsi="Arial" w:cs="Arial"/>
          <w:sz w:val="24"/>
          <w:szCs w:val="24"/>
        </w:rPr>
      </w:pPr>
    </w:p>
    <w:p w:rsidR="00942DD5" w:rsidRDefault="00942DD5" w:rsidP="00CA34D2">
      <w:pPr>
        <w:tabs>
          <w:tab w:val="left" w:pos="3402"/>
        </w:tabs>
        <w:spacing w:line="360" w:lineRule="atLeast"/>
        <w:ind w:right="74"/>
        <w:jc w:val="both"/>
        <w:rPr>
          <w:rFonts w:ascii="Arial" w:hAnsi="Arial" w:cs="Arial"/>
          <w:sz w:val="22"/>
          <w:szCs w:val="22"/>
        </w:rPr>
      </w:pPr>
    </w:p>
    <w:p w:rsidR="00942DD5" w:rsidRPr="00763599" w:rsidRDefault="00942DD5" w:rsidP="00CA34D2">
      <w:pPr>
        <w:tabs>
          <w:tab w:val="left" w:pos="3402"/>
        </w:tabs>
        <w:spacing w:line="360" w:lineRule="atLeast"/>
        <w:ind w:right="74"/>
        <w:jc w:val="both"/>
        <w:rPr>
          <w:rFonts w:ascii="Arial" w:hAnsi="Arial" w:cs="Arial"/>
          <w:sz w:val="22"/>
          <w:szCs w:val="22"/>
        </w:rPr>
      </w:pPr>
    </w:p>
    <w:p w:rsidR="00942DD5" w:rsidRDefault="00942DD5" w:rsidP="0028434F">
      <w:pPr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160"/>
          <w:sz w:val="24"/>
          <w:szCs w:val="24"/>
        </w:rPr>
        <w:t>PROYECTO DE REFORMA CONSTITUCIONAL</w:t>
      </w:r>
    </w:p>
    <w:p w:rsidR="00942DD5" w:rsidRDefault="00942DD5" w:rsidP="0028434F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  <w:lang w:val="es-CL"/>
        </w:rPr>
      </w:pPr>
    </w:p>
    <w:p w:rsidR="00942DD5" w:rsidRPr="005D6C97" w:rsidRDefault="00942DD5" w:rsidP="0028434F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  <w:lang w:val="es-CL"/>
        </w:rPr>
      </w:pPr>
      <w:r w:rsidRPr="005D6C97">
        <w:rPr>
          <w:rFonts w:ascii="Arial" w:hAnsi="Arial" w:cs="Arial"/>
          <w:sz w:val="24"/>
          <w:szCs w:val="24"/>
          <w:lang w:val="es-CL"/>
        </w:rPr>
        <w:t>“Artículo único.- Modifícase la Constitución Política de la República, cuyo texto refundido, coordinado y sistematizado fue fijado por el decreto supremo N° 100, de 2005, del Ministerio Secretaría General de la Presidencia, en el siguiente sentido:</w:t>
      </w:r>
    </w:p>
    <w:p w:rsidR="00942DD5" w:rsidRPr="0028434F" w:rsidRDefault="00942DD5" w:rsidP="0028434F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42DD5" w:rsidRPr="005D6C97" w:rsidRDefault="00942DD5" w:rsidP="0028434F">
      <w:pPr>
        <w:tabs>
          <w:tab w:val="left" w:pos="851"/>
          <w:tab w:val="left" w:pos="2835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D6C97">
        <w:rPr>
          <w:rFonts w:ascii="Arial" w:hAnsi="Arial" w:cs="Arial"/>
          <w:sz w:val="24"/>
          <w:szCs w:val="24"/>
          <w:lang w:val="es-CL"/>
        </w:rPr>
        <w:tab/>
        <w:t>1) Intercálase, a continuación del inciso primero del artículo 109, un inciso segundo, nuevo, pasando el actual inciso segundo a ser tercero y así sucesivamente, del siguiente tenor:</w:t>
      </w:r>
    </w:p>
    <w:p w:rsidR="00942DD5" w:rsidRPr="005D6C97" w:rsidRDefault="00942DD5" w:rsidP="0028434F">
      <w:pPr>
        <w:tabs>
          <w:tab w:val="left" w:pos="851"/>
          <w:tab w:val="left" w:pos="2835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942DD5" w:rsidRPr="005D6C97" w:rsidRDefault="00942DD5" w:rsidP="0028434F">
      <w:pPr>
        <w:tabs>
          <w:tab w:val="left" w:pos="851"/>
          <w:tab w:val="left" w:pos="2835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D6C97">
        <w:rPr>
          <w:rFonts w:ascii="Arial" w:hAnsi="Arial" w:cs="Arial"/>
          <w:sz w:val="24"/>
          <w:szCs w:val="24"/>
          <w:lang w:val="es-CL"/>
        </w:rPr>
        <w:tab/>
        <w:t>“Sin perjuicio de lo anterior, en situaciones excepcionales y transitorias, en las que así lo requiera la preservación del normal funcionamiento de los pagos internos y externos, el Banco Central podrá comprar durante un período determinado y vender, en el mercado secundario abierto, instrumentos de deuda emitidos por el Fisco, de conformidad a lo establecido en su ley orgánica constitucional.”.</w:t>
      </w:r>
    </w:p>
    <w:p w:rsidR="00942DD5" w:rsidRPr="0028434F" w:rsidRDefault="00942DD5" w:rsidP="0028434F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42DD5" w:rsidRPr="005D6C97" w:rsidRDefault="00942DD5" w:rsidP="0028434F">
      <w:pPr>
        <w:tabs>
          <w:tab w:val="left" w:pos="851"/>
          <w:tab w:val="left" w:pos="2835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D6C97">
        <w:rPr>
          <w:rFonts w:ascii="Arial" w:hAnsi="Arial" w:cs="Arial"/>
          <w:sz w:val="24"/>
          <w:szCs w:val="24"/>
          <w:lang w:val="es-CL"/>
        </w:rPr>
        <w:tab/>
        <w:t xml:space="preserve">2) Incorpórase una disposición transitoria cuadragésima, nueva, del siguiente tenor: </w:t>
      </w:r>
    </w:p>
    <w:p w:rsidR="00942DD5" w:rsidRPr="005D6C97" w:rsidRDefault="00942DD5" w:rsidP="0028434F">
      <w:pPr>
        <w:tabs>
          <w:tab w:val="left" w:pos="851"/>
          <w:tab w:val="left" w:pos="2835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942DD5" w:rsidRPr="005D6C97" w:rsidRDefault="00942DD5" w:rsidP="0028434F">
      <w:pPr>
        <w:tabs>
          <w:tab w:val="left" w:pos="851"/>
          <w:tab w:val="left" w:pos="2835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D6C97">
        <w:rPr>
          <w:rFonts w:ascii="Arial" w:hAnsi="Arial" w:cs="Arial"/>
          <w:sz w:val="24"/>
          <w:szCs w:val="24"/>
          <w:lang w:val="es-CL"/>
        </w:rPr>
        <w:tab/>
        <w:t>“CUADRAGÉSIMA. La reforma constitucional al artículo 109 empezará a regir una vez que entre en vigencia la ley que introduce modificaciones a la ley N° 18.840, Orgánica Constitucional del Banco Central de Chile, que regulará el ejercicio de la nueva facultad que se le otorga al Banco Central.”.”.</w:t>
      </w:r>
    </w:p>
    <w:p w:rsidR="00942DD5" w:rsidRDefault="00942DD5" w:rsidP="00B751EB">
      <w:pPr>
        <w:tabs>
          <w:tab w:val="left" w:pos="3402"/>
        </w:tabs>
        <w:spacing w:line="360" w:lineRule="atLeast"/>
        <w:ind w:right="51"/>
        <w:jc w:val="both"/>
        <w:rPr>
          <w:rFonts w:ascii="Arial" w:hAnsi="Arial" w:cs="Arial"/>
          <w:sz w:val="22"/>
          <w:szCs w:val="22"/>
        </w:rPr>
      </w:pPr>
    </w:p>
    <w:p w:rsidR="00942DD5" w:rsidRDefault="00942DD5" w:rsidP="005F036D">
      <w:pPr>
        <w:tabs>
          <w:tab w:val="left" w:pos="3402"/>
        </w:tabs>
        <w:spacing w:line="360" w:lineRule="atLeast"/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**************************************************************</w:t>
      </w:r>
    </w:p>
    <w:p w:rsidR="00942DD5" w:rsidRPr="0028434F" w:rsidRDefault="00942DD5" w:rsidP="0028434F">
      <w:pPr>
        <w:spacing w:line="240" w:lineRule="atLeast"/>
        <w:ind w:firstLine="404"/>
        <w:jc w:val="both"/>
        <w:rPr>
          <w:sz w:val="16"/>
          <w:szCs w:val="16"/>
        </w:rPr>
      </w:pPr>
    </w:p>
    <w:p w:rsidR="00942DD5" w:rsidRPr="0028434F" w:rsidRDefault="00942DD5" w:rsidP="0028434F">
      <w:pPr>
        <w:spacing w:line="240" w:lineRule="atLeast"/>
        <w:jc w:val="both"/>
        <w:rPr>
          <w:sz w:val="16"/>
          <w:szCs w:val="16"/>
        </w:rPr>
      </w:pPr>
    </w:p>
    <w:p w:rsidR="00942DD5" w:rsidRPr="00DD4E6C" w:rsidRDefault="00942DD5" w:rsidP="0028434F">
      <w:pPr>
        <w:ind w:left="-142" w:right="74"/>
        <w:jc w:val="center"/>
        <w:rPr>
          <w:rFonts w:ascii="Arial" w:hAnsi="Arial" w:cs="Arial"/>
          <w:sz w:val="22"/>
          <w:szCs w:val="22"/>
        </w:rPr>
      </w:pPr>
      <w:r w:rsidRPr="00417105">
        <w:rPr>
          <w:rFonts w:ascii="Arial" w:hAnsi="Arial" w:cs="Arial"/>
          <w:b/>
          <w:bCs/>
          <w:noProof/>
          <w:spacing w:val="20"/>
          <w:sz w:val="22"/>
          <w:szCs w:val="22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Firma Pato" style="width:208.5pt;height:134.25pt;visibility:visible">
            <v:imagedata r:id="rId7" o:title=""/>
          </v:shape>
        </w:pict>
      </w:r>
    </w:p>
    <w:sectPr w:rsidR="00942DD5" w:rsidRPr="00DD4E6C" w:rsidSect="006728FD">
      <w:headerReference w:type="default" r:id="rId8"/>
      <w:headerReference w:type="first" r:id="rId9"/>
      <w:footnotePr>
        <w:numFmt w:val="lowerRoman"/>
      </w:footnotePr>
      <w:endnotePr>
        <w:numFmt w:val="decimal"/>
      </w:endnotePr>
      <w:pgSz w:w="12242" w:h="20163" w:code="5"/>
      <w:pgMar w:top="2835" w:right="1985" w:bottom="3544" w:left="2268" w:header="1701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DD5" w:rsidRDefault="00942DD5">
      <w:r>
        <w:separator/>
      </w:r>
    </w:p>
  </w:endnote>
  <w:endnote w:type="continuationSeparator" w:id="1">
    <w:p w:rsidR="00942DD5" w:rsidRDefault="0094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DD5" w:rsidRDefault="00942DD5">
      <w:r>
        <w:separator/>
      </w:r>
    </w:p>
  </w:footnote>
  <w:footnote w:type="continuationSeparator" w:id="1">
    <w:p w:rsidR="00942DD5" w:rsidRDefault="00942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D5" w:rsidRPr="006A322E" w:rsidRDefault="00942DD5" w:rsidP="004B69F4">
    <w:pPr>
      <w:pStyle w:val="Header"/>
      <w:framePr w:wrap="auto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6A322E">
      <w:rPr>
        <w:rStyle w:val="PageNumber"/>
        <w:rFonts w:ascii="Arial" w:hAnsi="Arial" w:cs="Arial"/>
        <w:sz w:val="22"/>
        <w:szCs w:val="22"/>
      </w:rPr>
      <w:fldChar w:fldCharType="begin"/>
    </w:r>
    <w:r w:rsidRPr="006A322E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6A322E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2</w:t>
    </w:r>
    <w:r w:rsidRPr="006A322E">
      <w:rPr>
        <w:rStyle w:val="PageNumber"/>
        <w:rFonts w:ascii="Arial" w:hAnsi="Arial" w:cs="Arial"/>
        <w:sz w:val="22"/>
        <w:szCs w:val="22"/>
      </w:rPr>
      <w:fldChar w:fldCharType="end"/>
    </w:r>
  </w:p>
  <w:p w:rsidR="00942DD5" w:rsidRPr="0050418F" w:rsidRDefault="00942DD5" w:rsidP="002618B9">
    <w:pPr>
      <w:pStyle w:val="Header"/>
      <w:jc w:val="center"/>
      <w:rPr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Comisión d</w:t>
    </w:r>
    <w:r w:rsidRPr="002618B9">
      <w:rPr>
        <w:rFonts w:ascii="Arial" w:hAnsi="Arial" w:cs="Arial"/>
        <w:i/>
        <w:iCs/>
        <w:sz w:val="24"/>
        <w:szCs w:val="24"/>
      </w:rPr>
      <w:t>e Const</w:t>
    </w:r>
    <w:r>
      <w:rPr>
        <w:rFonts w:ascii="Arial" w:hAnsi="Arial" w:cs="Arial"/>
        <w:i/>
        <w:iCs/>
        <w:sz w:val="24"/>
        <w:szCs w:val="24"/>
      </w:rPr>
      <w:t>itución, Legislación, Justicia y</w:t>
    </w:r>
    <w:r w:rsidRPr="002618B9">
      <w:rPr>
        <w:rFonts w:ascii="Arial" w:hAnsi="Arial" w:cs="Arial"/>
        <w:i/>
        <w:iCs/>
        <w:sz w:val="24"/>
        <w:szCs w:val="24"/>
      </w:rPr>
      <w:t xml:space="preserve"> Reglamento</w:t>
    </w:r>
    <w:r>
      <w:rPr>
        <w:i/>
        <w:iCs/>
        <w:sz w:val="24"/>
        <w:szCs w:val="24"/>
      </w:rPr>
      <w:t>.</w:t>
    </w:r>
  </w:p>
  <w:p w:rsidR="00942DD5" w:rsidRDefault="00942DD5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D5" w:rsidRPr="0050418F" w:rsidRDefault="00942DD5">
    <w:pPr>
      <w:pStyle w:val="Header"/>
      <w:jc w:val="center"/>
      <w:rPr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Comisión d</w:t>
    </w:r>
    <w:r w:rsidRPr="002618B9">
      <w:rPr>
        <w:rFonts w:ascii="Arial" w:hAnsi="Arial" w:cs="Arial"/>
        <w:i/>
        <w:iCs/>
        <w:sz w:val="24"/>
        <w:szCs w:val="24"/>
      </w:rPr>
      <w:t>e Const</w:t>
    </w:r>
    <w:r>
      <w:rPr>
        <w:rFonts w:ascii="Arial" w:hAnsi="Arial" w:cs="Arial"/>
        <w:i/>
        <w:iCs/>
        <w:sz w:val="24"/>
        <w:szCs w:val="24"/>
      </w:rPr>
      <w:t>itución, Legislación, Justicia y</w:t>
    </w:r>
    <w:r w:rsidRPr="002618B9">
      <w:rPr>
        <w:rFonts w:ascii="Arial" w:hAnsi="Arial" w:cs="Arial"/>
        <w:i/>
        <w:iCs/>
        <w:sz w:val="24"/>
        <w:szCs w:val="24"/>
      </w:rPr>
      <w:t xml:space="preserve"> Reglamento</w:t>
    </w:r>
    <w:r>
      <w:rPr>
        <w:i/>
        <w:iCs/>
        <w:sz w:val="24"/>
        <w:szCs w:val="24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9A6"/>
    <w:multiLevelType w:val="hybridMultilevel"/>
    <w:tmpl w:val="91D4EB5A"/>
    <w:lvl w:ilvl="0" w:tplc="09D8E5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C21B3"/>
    <w:multiLevelType w:val="hybridMultilevel"/>
    <w:tmpl w:val="EC4CA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A0607"/>
    <w:multiLevelType w:val="singleLevel"/>
    <w:tmpl w:val="03FC54C6"/>
    <w:lvl w:ilvl="0">
      <w:start w:val="1"/>
      <w:numFmt w:val="decimal"/>
      <w:pStyle w:val="Heading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cs="Courier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abstractNum w:abstractNumId="3">
    <w:nsid w:val="306D0671"/>
    <w:multiLevelType w:val="hybridMultilevel"/>
    <w:tmpl w:val="02782F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F04D3"/>
    <w:multiLevelType w:val="singleLevel"/>
    <w:tmpl w:val="9E4EC636"/>
    <w:lvl w:ilvl="0">
      <w:start w:val="1"/>
      <w:numFmt w:val="lowerLetter"/>
      <w:pStyle w:val="Heading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cs="Courier New" w:hint="default"/>
        <w:b/>
        <w:bCs/>
        <w:i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</w:abstractNum>
  <w:abstractNum w:abstractNumId="5">
    <w:nsid w:val="31ED0336"/>
    <w:multiLevelType w:val="hybridMultilevel"/>
    <w:tmpl w:val="D2581CF0"/>
    <w:lvl w:ilvl="0" w:tplc="A87C4E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6">
    <w:nsid w:val="36855C3C"/>
    <w:multiLevelType w:val="hybridMultilevel"/>
    <w:tmpl w:val="07DA8F2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B0F5F8B"/>
    <w:multiLevelType w:val="hybridMultilevel"/>
    <w:tmpl w:val="4FA4D6C4"/>
    <w:lvl w:ilvl="0" w:tplc="09D8E5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39161A"/>
    <w:multiLevelType w:val="singleLevel"/>
    <w:tmpl w:val="EF5C1F6A"/>
    <w:lvl w:ilvl="0">
      <w:start w:val="1"/>
      <w:numFmt w:val="decimal"/>
      <w:lvlText w:val="%1."/>
      <w:lvlJc w:val="left"/>
      <w:pPr>
        <w:tabs>
          <w:tab w:val="num" w:pos="3195"/>
        </w:tabs>
        <w:ind w:left="2835"/>
      </w:pPr>
      <w:rPr>
        <w:rFonts w:ascii="Courier" w:hAnsi="Courier" w:cs="Courier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abstractNum w:abstractNumId="9">
    <w:nsid w:val="4A0B4EF2"/>
    <w:multiLevelType w:val="hybridMultilevel"/>
    <w:tmpl w:val="52EA7004"/>
    <w:lvl w:ilvl="0" w:tplc="F9D62C84">
      <w:start w:val="1"/>
      <w:numFmt w:val="lowerLetter"/>
      <w:lvlText w:val="%1."/>
      <w:lvlJc w:val="left"/>
      <w:pPr>
        <w:ind w:left="1220" w:hanging="5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>
      <w:start w:val="1"/>
      <w:numFmt w:val="lowerRoman"/>
      <w:lvlText w:val="%3."/>
      <w:lvlJc w:val="right"/>
      <w:pPr>
        <w:ind w:left="2500" w:hanging="180"/>
      </w:pPr>
    </w:lvl>
    <w:lvl w:ilvl="3" w:tplc="0C0A000F">
      <w:start w:val="1"/>
      <w:numFmt w:val="decimal"/>
      <w:lvlText w:val="%4."/>
      <w:lvlJc w:val="left"/>
      <w:pPr>
        <w:ind w:left="3220" w:hanging="360"/>
      </w:pPr>
    </w:lvl>
    <w:lvl w:ilvl="4" w:tplc="0C0A0019">
      <w:start w:val="1"/>
      <w:numFmt w:val="lowerLetter"/>
      <w:lvlText w:val="%5."/>
      <w:lvlJc w:val="left"/>
      <w:pPr>
        <w:ind w:left="3940" w:hanging="360"/>
      </w:pPr>
    </w:lvl>
    <w:lvl w:ilvl="5" w:tplc="0C0A001B">
      <w:start w:val="1"/>
      <w:numFmt w:val="lowerRoman"/>
      <w:lvlText w:val="%6."/>
      <w:lvlJc w:val="right"/>
      <w:pPr>
        <w:ind w:left="4660" w:hanging="180"/>
      </w:pPr>
    </w:lvl>
    <w:lvl w:ilvl="6" w:tplc="0C0A000F">
      <w:start w:val="1"/>
      <w:numFmt w:val="decimal"/>
      <w:lvlText w:val="%7."/>
      <w:lvlJc w:val="left"/>
      <w:pPr>
        <w:ind w:left="5380" w:hanging="360"/>
      </w:pPr>
    </w:lvl>
    <w:lvl w:ilvl="7" w:tplc="0C0A0019">
      <w:start w:val="1"/>
      <w:numFmt w:val="lowerLetter"/>
      <w:lvlText w:val="%8."/>
      <w:lvlJc w:val="left"/>
      <w:pPr>
        <w:ind w:left="6100" w:hanging="360"/>
      </w:pPr>
    </w:lvl>
    <w:lvl w:ilvl="8" w:tplc="0C0A001B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4FEE2BF5"/>
    <w:multiLevelType w:val="hybridMultilevel"/>
    <w:tmpl w:val="134A5288"/>
    <w:lvl w:ilvl="0" w:tplc="42F64C18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044A8"/>
    <w:multiLevelType w:val="hybridMultilevel"/>
    <w:tmpl w:val="317E01E4"/>
    <w:lvl w:ilvl="0" w:tplc="42F64C18">
      <w:start w:val="1"/>
      <w:numFmt w:val="lowerLetter"/>
      <w:lvlText w:val="%1)"/>
      <w:lvlJc w:val="left"/>
      <w:pPr>
        <w:tabs>
          <w:tab w:val="num" w:pos="6840"/>
        </w:tabs>
        <w:ind w:left="68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embedSystemFont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numFmt w:val="lowerRoman"/>
    <w:footnote w:id="0"/>
    <w:footnote w:id="1"/>
  </w:footnotePr>
  <w:endnotePr>
    <w:pos w:val="sectEnd"/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C24"/>
    <w:rsid w:val="000044A6"/>
    <w:rsid w:val="000057A8"/>
    <w:rsid w:val="00006746"/>
    <w:rsid w:val="00015AA4"/>
    <w:rsid w:val="0001624F"/>
    <w:rsid w:val="0001790C"/>
    <w:rsid w:val="00020461"/>
    <w:rsid w:val="0002055D"/>
    <w:rsid w:val="0003436C"/>
    <w:rsid w:val="0003440C"/>
    <w:rsid w:val="0003528C"/>
    <w:rsid w:val="00036AB3"/>
    <w:rsid w:val="00043124"/>
    <w:rsid w:val="00057497"/>
    <w:rsid w:val="00063C1B"/>
    <w:rsid w:val="000655EB"/>
    <w:rsid w:val="00067889"/>
    <w:rsid w:val="00082AC0"/>
    <w:rsid w:val="00092F03"/>
    <w:rsid w:val="000A36DB"/>
    <w:rsid w:val="000A793A"/>
    <w:rsid w:val="000B075A"/>
    <w:rsid w:val="000B3614"/>
    <w:rsid w:val="000C14DE"/>
    <w:rsid w:val="000C6FAB"/>
    <w:rsid w:val="000D255C"/>
    <w:rsid w:val="000D732A"/>
    <w:rsid w:val="000E2850"/>
    <w:rsid w:val="000E46A2"/>
    <w:rsid w:val="0010562D"/>
    <w:rsid w:val="001056E1"/>
    <w:rsid w:val="00105C4F"/>
    <w:rsid w:val="00111DA4"/>
    <w:rsid w:val="00122A92"/>
    <w:rsid w:val="00137915"/>
    <w:rsid w:val="001410D8"/>
    <w:rsid w:val="00150739"/>
    <w:rsid w:val="0015147E"/>
    <w:rsid w:val="00153C80"/>
    <w:rsid w:val="00155C4F"/>
    <w:rsid w:val="001657EB"/>
    <w:rsid w:val="001740B0"/>
    <w:rsid w:val="00177F3E"/>
    <w:rsid w:val="00181D28"/>
    <w:rsid w:val="0018710D"/>
    <w:rsid w:val="00194C89"/>
    <w:rsid w:val="001A0331"/>
    <w:rsid w:val="001A0A6E"/>
    <w:rsid w:val="001A4325"/>
    <w:rsid w:val="001A6EAF"/>
    <w:rsid w:val="001B385D"/>
    <w:rsid w:val="001B559F"/>
    <w:rsid w:val="001B64D0"/>
    <w:rsid w:val="001B6DF7"/>
    <w:rsid w:val="001C15F9"/>
    <w:rsid w:val="001D2037"/>
    <w:rsid w:val="001D26B2"/>
    <w:rsid w:val="001D3D06"/>
    <w:rsid w:val="001F3130"/>
    <w:rsid w:val="001F370B"/>
    <w:rsid w:val="00203587"/>
    <w:rsid w:val="00203EA8"/>
    <w:rsid w:val="00206275"/>
    <w:rsid w:val="00207FBD"/>
    <w:rsid w:val="00215450"/>
    <w:rsid w:val="002159BD"/>
    <w:rsid w:val="00216C94"/>
    <w:rsid w:val="00222C16"/>
    <w:rsid w:val="00222CE3"/>
    <w:rsid w:val="00224EE3"/>
    <w:rsid w:val="00225145"/>
    <w:rsid w:val="002363E4"/>
    <w:rsid w:val="00242EBA"/>
    <w:rsid w:val="002466BF"/>
    <w:rsid w:val="002533A6"/>
    <w:rsid w:val="0025389D"/>
    <w:rsid w:val="0025499B"/>
    <w:rsid w:val="0025683D"/>
    <w:rsid w:val="00261788"/>
    <w:rsid w:val="002618B9"/>
    <w:rsid w:val="00262581"/>
    <w:rsid w:val="002669A4"/>
    <w:rsid w:val="0027137A"/>
    <w:rsid w:val="002722FF"/>
    <w:rsid w:val="00281921"/>
    <w:rsid w:val="0028434F"/>
    <w:rsid w:val="002861A8"/>
    <w:rsid w:val="00291EF5"/>
    <w:rsid w:val="00293FDE"/>
    <w:rsid w:val="00295029"/>
    <w:rsid w:val="00295966"/>
    <w:rsid w:val="00297A30"/>
    <w:rsid w:val="002A4B6E"/>
    <w:rsid w:val="002A7EFF"/>
    <w:rsid w:val="002B04D9"/>
    <w:rsid w:val="002B3E48"/>
    <w:rsid w:val="002B47CD"/>
    <w:rsid w:val="002B73D0"/>
    <w:rsid w:val="002B799B"/>
    <w:rsid w:val="002D0186"/>
    <w:rsid w:val="002D25BA"/>
    <w:rsid w:val="002D6BF2"/>
    <w:rsid w:val="002E3F06"/>
    <w:rsid w:val="002E4BB5"/>
    <w:rsid w:val="002F52D7"/>
    <w:rsid w:val="002F7D6E"/>
    <w:rsid w:val="00300921"/>
    <w:rsid w:val="003026D7"/>
    <w:rsid w:val="003034DF"/>
    <w:rsid w:val="00306B90"/>
    <w:rsid w:val="00320E49"/>
    <w:rsid w:val="00323E29"/>
    <w:rsid w:val="003420A2"/>
    <w:rsid w:val="00345001"/>
    <w:rsid w:val="00353168"/>
    <w:rsid w:val="00354B53"/>
    <w:rsid w:val="00355EE2"/>
    <w:rsid w:val="00356B8C"/>
    <w:rsid w:val="0036023E"/>
    <w:rsid w:val="00365DBF"/>
    <w:rsid w:val="0037118C"/>
    <w:rsid w:val="003751E6"/>
    <w:rsid w:val="00376D8A"/>
    <w:rsid w:val="00377974"/>
    <w:rsid w:val="00377A59"/>
    <w:rsid w:val="00381096"/>
    <w:rsid w:val="00387B11"/>
    <w:rsid w:val="00387C60"/>
    <w:rsid w:val="00390052"/>
    <w:rsid w:val="0039043C"/>
    <w:rsid w:val="00390A5C"/>
    <w:rsid w:val="003A2768"/>
    <w:rsid w:val="003A3CDF"/>
    <w:rsid w:val="003B6D2E"/>
    <w:rsid w:val="003C5A53"/>
    <w:rsid w:val="003C6567"/>
    <w:rsid w:val="003D0FF3"/>
    <w:rsid w:val="003D5F83"/>
    <w:rsid w:val="003E25ED"/>
    <w:rsid w:val="003F16B1"/>
    <w:rsid w:val="003F3E3E"/>
    <w:rsid w:val="003F4387"/>
    <w:rsid w:val="00404FCD"/>
    <w:rsid w:val="00415FBA"/>
    <w:rsid w:val="00417105"/>
    <w:rsid w:val="004178C8"/>
    <w:rsid w:val="004340CF"/>
    <w:rsid w:val="00455201"/>
    <w:rsid w:val="00456F2C"/>
    <w:rsid w:val="00461DC7"/>
    <w:rsid w:val="00470ED7"/>
    <w:rsid w:val="00473F70"/>
    <w:rsid w:val="00475866"/>
    <w:rsid w:val="004854D7"/>
    <w:rsid w:val="00490BED"/>
    <w:rsid w:val="00490F2B"/>
    <w:rsid w:val="0049721C"/>
    <w:rsid w:val="004A0187"/>
    <w:rsid w:val="004A0231"/>
    <w:rsid w:val="004A05A9"/>
    <w:rsid w:val="004B69F4"/>
    <w:rsid w:val="004C2168"/>
    <w:rsid w:val="004C5554"/>
    <w:rsid w:val="004C7DA7"/>
    <w:rsid w:val="004D6D47"/>
    <w:rsid w:val="004D737C"/>
    <w:rsid w:val="004D7FE5"/>
    <w:rsid w:val="004E0718"/>
    <w:rsid w:val="004F185C"/>
    <w:rsid w:val="004F3712"/>
    <w:rsid w:val="004F4389"/>
    <w:rsid w:val="005006F3"/>
    <w:rsid w:val="00501BA9"/>
    <w:rsid w:val="00503B50"/>
    <w:rsid w:val="0050418F"/>
    <w:rsid w:val="00504BCD"/>
    <w:rsid w:val="005051C8"/>
    <w:rsid w:val="00506ABD"/>
    <w:rsid w:val="0050793E"/>
    <w:rsid w:val="005154A2"/>
    <w:rsid w:val="0052226D"/>
    <w:rsid w:val="00546538"/>
    <w:rsid w:val="0054787B"/>
    <w:rsid w:val="005505DB"/>
    <w:rsid w:val="00551F91"/>
    <w:rsid w:val="005541F1"/>
    <w:rsid w:val="0056106F"/>
    <w:rsid w:val="0056394B"/>
    <w:rsid w:val="00564E7B"/>
    <w:rsid w:val="00567C9F"/>
    <w:rsid w:val="005711C7"/>
    <w:rsid w:val="005729E8"/>
    <w:rsid w:val="005764E1"/>
    <w:rsid w:val="00577BC2"/>
    <w:rsid w:val="00586579"/>
    <w:rsid w:val="005868CA"/>
    <w:rsid w:val="00586BB9"/>
    <w:rsid w:val="0058737A"/>
    <w:rsid w:val="005934B7"/>
    <w:rsid w:val="005966BB"/>
    <w:rsid w:val="005975C4"/>
    <w:rsid w:val="005B6C86"/>
    <w:rsid w:val="005C15B9"/>
    <w:rsid w:val="005C28DC"/>
    <w:rsid w:val="005C3E43"/>
    <w:rsid w:val="005C759D"/>
    <w:rsid w:val="005D115D"/>
    <w:rsid w:val="005D2D78"/>
    <w:rsid w:val="005D63F7"/>
    <w:rsid w:val="005D6C97"/>
    <w:rsid w:val="005E0B36"/>
    <w:rsid w:val="005E18C3"/>
    <w:rsid w:val="005E4461"/>
    <w:rsid w:val="005E6EA1"/>
    <w:rsid w:val="005E79EC"/>
    <w:rsid w:val="005F00F0"/>
    <w:rsid w:val="005F036D"/>
    <w:rsid w:val="005F35F7"/>
    <w:rsid w:val="005F5458"/>
    <w:rsid w:val="005F799E"/>
    <w:rsid w:val="00603B68"/>
    <w:rsid w:val="0061124D"/>
    <w:rsid w:val="006133FB"/>
    <w:rsid w:val="006158D2"/>
    <w:rsid w:val="00616520"/>
    <w:rsid w:val="006216EF"/>
    <w:rsid w:val="00622235"/>
    <w:rsid w:val="00622798"/>
    <w:rsid w:val="006228C1"/>
    <w:rsid w:val="00623904"/>
    <w:rsid w:val="00633529"/>
    <w:rsid w:val="00653750"/>
    <w:rsid w:val="00654D59"/>
    <w:rsid w:val="00657D91"/>
    <w:rsid w:val="0066140B"/>
    <w:rsid w:val="0066246E"/>
    <w:rsid w:val="006728FD"/>
    <w:rsid w:val="00677FB4"/>
    <w:rsid w:val="0068740A"/>
    <w:rsid w:val="00687A36"/>
    <w:rsid w:val="0069122A"/>
    <w:rsid w:val="006A322E"/>
    <w:rsid w:val="006A353D"/>
    <w:rsid w:val="006A723A"/>
    <w:rsid w:val="006B3499"/>
    <w:rsid w:val="006B7A10"/>
    <w:rsid w:val="006C60E7"/>
    <w:rsid w:val="006D4D78"/>
    <w:rsid w:val="006E042F"/>
    <w:rsid w:val="006E4C86"/>
    <w:rsid w:val="006F1858"/>
    <w:rsid w:val="0070266D"/>
    <w:rsid w:val="0070544F"/>
    <w:rsid w:val="0071604D"/>
    <w:rsid w:val="007238C0"/>
    <w:rsid w:val="007260AF"/>
    <w:rsid w:val="007264FB"/>
    <w:rsid w:val="007307B6"/>
    <w:rsid w:val="00731349"/>
    <w:rsid w:val="00733A49"/>
    <w:rsid w:val="00734D82"/>
    <w:rsid w:val="007371F1"/>
    <w:rsid w:val="00742336"/>
    <w:rsid w:val="00753938"/>
    <w:rsid w:val="00763599"/>
    <w:rsid w:val="00771297"/>
    <w:rsid w:val="00771715"/>
    <w:rsid w:val="0078215D"/>
    <w:rsid w:val="00795ACB"/>
    <w:rsid w:val="007A2A06"/>
    <w:rsid w:val="007C3AA8"/>
    <w:rsid w:val="007C5874"/>
    <w:rsid w:val="007D2A9C"/>
    <w:rsid w:val="007D718A"/>
    <w:rsid w:val="007D7DC6"/>
    <w:rsid w:val="007E6A61"/>
    <w:rsid w:val="007F51D5"/>
    <w:rsid w:val="008026DC"/>
    <w:rsid w:val="00802B2E"/>
    <w:rsid w:val="0080419B"/>
    <w:rsid w:val="0080445F"/>
    <w:rsid w:val="0082294C"/>
    <w:rsid w:val="00823B9F"/>
    <w:rsid w:val="008257D6"/>
    <w:rsid w:val="00826279"/>
    <w:rsid w:val="00843E7D"/>
    <w:rsid w:val="008457CA"/>
    <w:rsid w:val="00852DF2"/>
    <w:rsid w:val="00853E4F"/>
    <w:rsid w:val="00860164"/>
    <w:rsid w:val="00861C0A"/>
    <w:rsid w:val="008669B1"/>
    <w:rsid w:val="00870DB0"/>
    <w:rsid w:val="00871072"/>
    <w:rsid w:val="00875BB7"/>
    <w:rsid w:val="0088370E"/>
    <w:rsid w:val="008853E0"/>
    <w:rsid w:val="00893EB3"/>
    <w:rsid w:val="008A07C0"/>
    <w:rsid w:val="008A2250"/>
    <w:rsid w:val="008A4662"/>
    <w:rsid w:val="008B6BE7"/>
    <w:rsid w:val="008C1AB7"/>
    <w:rsid w:val="008D7143"/>
    <w:rsid w:val="008E5D6E"/>
    <w:rsid w:val="00902BD6"/>
    <w:rsid w:val="0090409F"/>
    <w:rsid w:val="00905E9F"/>
    <w:rsid w:val="009106CA"/>
    <w:rsid w:val="00912636"/>
    <w:rsid w:val="0092491E"/>
    <w:rsid w:val="00924CE4"/>
    <w:rsid w:val="00926C49"/>
    <w:rsid w:val="00935F1E"/>
    <w:rsid w:val="009412DB"/>
    <w:rsid w:val="00942BF4"/>
    <w:rsid w:val="00942DD5"/>
    <w:rsid w:val="0094512B"/>
    <w:rsid w:val="00950D70"/>
    <w:rsid w:val="0095318A"/>
    <w:rsid w:val="009616CA"/>
    <w:rsid w:val="0096172D"/>
    <w:rsid w:val="0096600D"/>
    <w:rsid w:val="00966E5D"/>
    <w:rsid w:val="00973E34"/>
    <w:rsid w:val="00974EA1"/>
    <w:rsid w:val="009828BE"/>
    <w:rsid w:val="009846C0"/>
    <w:rsid w:val="00990D45"/>
    <w:rsid w:val="0099400D"/>
    <w:rsid w:val="00994D0B"/>
    <w:rsid w:val="009A45CB"/>
    <w:rsid w:val="009B1C11"/>
    <w:rsid w:val="009C2EC8"/>
    <w:rsid w:val="009C3A50"/>
    <w:rsid w:val="009C3E74"/>
    <w:rsid w:val="009D4B23"/>
    <w:rsid w:val="009D6060"/>
    <w:rsid w:val="009E1E5B"/>
    <w:rsid w:val="009E214B"/>
    <w:rsid w:val="009F1416"/>
    <w:rsid w:val="009F22BB"/>
    <w:rsid w:val="009F68C6"/>
    <w:rsid w:val="00A00235"/>
    <w:rsid w:val="00A00D49"/>
    <w:rsid w:val="00A10552"/>
    <w:rsid w:val="00A15283"/>
    <w:rsid w:val="00A169F8"/>
    <w:rsid w:val="00A22E24"/>
    <w:rsid w:val="00A25847"/>
    <w:rsid w:val="00A322BC"/>
    <w:rsid w:val="00A32627"/>
    <w:rsid w:val="00A36228"/>
    <w:rsid w:val="00A44785"/>
    <w:rsid w:val="00A45C42"/>
    <w:rsid w:val="00A50F4E"/>
    <w:rsid w:val="00A53B1F"/>
    <w:rsid w:val="00A54425"/>
    <w:rsid w:val="00A6504F"/>
    <w:rsid w:val="00A654D6"/>
    <w:rsid w:val="00A7095E"/>
    <w:rsid w:val="00A74481"/>
    <w:rsid w:val="00A75CE9"/>
    <w:rsid w:val="00A77939"/>
    <w:rsid w:val="00A802EF"/>
    <w:rsid w:val="00A809B0"/>
    <w:rsid w:val="00A83769"/>
    <w:rsid w:val="00A84E1B"/>
    <w:rsid w:val="00A944FA"/>
    <w:rsid w:val="00A96550"/>
    <w:rsid w:val="00AA44C7"/>
    <w:rsid w:val="00AA7B9A"/>
    <w:rsid w:val="00AB0A7F"/>
    <w:rsid w:val="00AB1FF8"/>
    <w:rsid w:val="00AB28F0"/>
    <w:rsid w:val="00AC0C2A"/>
    <w:rsid w:val="00AC355B"/>
    <w:rsid w:val="00AC50D2"/>
    <w:rsid w:val="00AC7895"/>
    <w:rsid w:val="00AD4A37"/>
    <w:rsid w:val="00AD7289"/>
    <w:rsid w:val="00AD74C1"/>
    <w:rsid w:val="00AE194A"/>
    <w:rsid w:val="00AE3094"/>
    <w:rsid w:val="00AF54C8"/>
    <w:rsid w:val="00B0079E"/>
    <w:rsid w:val="00B02C70"/>
    <w:rsid w:val="00B03209"/>
    <w:rsid w:val="00B04605"/>
    <w:rsid w:val="00B06573"/>
    <w:rsid w:val="00B253A6"/>
    <w:rsid w:val="00B27604"/>
    <w:rsid w:val="00B3203F"/>
    <w:rsid w:val="00B322A4"/>
    <w:rsid w:val="00B33B8D"/>
    <w:rsid w:val="00B3562D"/>
    <w:rsid w:val="00B43C9A"/>
    <w:rsid w:val="00B45F3E"/>
    <w:rsid w:val="00B55855"/>
    <w:rsid w:val="00B604EC"/>
    <w:rsid w:val="00B73A07"/>
    <w:rsid w:val="00B751EB"/>
    <w:rsid w:val="00B75F2E"/>
    <w:rsid w:val="00B80834"/>
    <w:rsid w:val="00B8684A"/>
    <w:rsid w:val="00B86A64"/>
    <w:rsid w:val="00B87ACA"/>
    <w:rsid w:val="00B9098A"/>
    <w:rsid w:val="00BA4F7B"/>
    <w:rsid w:val="00BB0C17"/>
    <w:rsid w:val="00BB34A8"/>
    <w:rsid w:val="00BC72AA"/>
    <w:rsid w:val="00BD23C7"/>
    <w:rsid w:val="00BD2C2C"/>
    <w:rsid w:val="00BD4865"/>
    <w:rsid w:val="00BD56E0"/>
    <w:rsid w:val="00BE0AD6"/>
    <w:rsid w:val="00BE7DF4"/>
    <w:rsid w:val="00C111F3"/>
    <w:rsid w:val="00C13F57"/>
    <w:rsid w:val="00C15DAA"/>
    <w:rsid w:val="00C20AB5"/>
    <w:rsid w:val="00C427C0"/>
    <w:rsid w:val="00C428F5"/>
    <w:rsid w:val="00C44961"/>
    <w:rsid w:val="00C541C6"/>
    <w:rsid w:val="00C55F7D"/>
    <w:rsid w:val="00C626A4"/>
    <w:rsid w:val="00C640DB"/>
    <w:rsid w:val="00C6704F"/>
    <w:rsid w:val="00C7634E"/>
    <w:rsid w:val="00C80498"/>
    <w:rsid w:val="00C842F0"/>
    <w:rsid w:val="00C85E3D"/>
    <w:rsid w:val="00C86CCF"/>
    <w:rsid w:val="00C93EDA"/>
    <w:rsid w:val="00C96138"/>
    <w:rsid w:val="00C9620F"/>
    <w:rsid w:val="00C96C1B"/>
    <w:rsid w:val="00CA34D2"/>
    <w:rsid w:val="00CA3FAF"/>
    <w:rsid w:val="00CA4851"/>
    <w:rsid w:val="00CA4D29"/>
    <w:rsid w:val="00CA4E13"/>
    <w:rsid w:val="00CB2E26"/>
    <w:rsid w:val="00CB4F11"/>
    <w:rsid w:val="00CB7179"/>
    <w:rsid w:val="00CB7CAF"/>
    <w:rsid w:val="00CC03FD"/>
    <w:rsid w:val="00CC7AFD"/>
    <w:rsid w:val="00CD0090"/>
    <w:rsid w:val="00CD2E12"/>
    <w:rsid w:val="00CD70C9"/>
    <w:rsid w:val="00CE1455"/>
    <w:rsid w:val="00CF3B06"/>
    <w:rsid w:val="00CF3B68"/>
    <w:rsid w:val="00D01CCC"/>
    <w:rsid w:val="00D10405"/>
    <w:rsid w:val="00D107D4"/>
    <w:rsid w:val="00D14384"/>
    <w:rsid w:val="00D16CAE"/>
    <w:rsid w:val="00D175B9"/>
    <w:rsid w:val="00D201C1"/>
    <w:rsid w:val="00D269BB"/>
    <w:rsid w:val="00D34E09"/>
    <w:rsid w:val="00D45395"/>
    <w:rsid w:val="00D47B3F"/>
    <w:rsid w:val="00D532F8"/>
    <w:rsid w:val="00D55BDB"/>
    <w:rsid w:val="00D57B25"/>
    <w:rsid w:val="00D75E4F"/>
    <w:rsid w:val="00D76D23"/>
    <w:rsid w:val="00D77A33"/>
    <w:rsid w:val="00D85CFB"/>
    <w:rsid w:val="00D87C06"/>
    <w:rsid w:val="00D90104"/>
    <w:rsid w:val="00D912F3"/>
    <w:rsid w:val="00D95C35"/>
    <w:rsid w:val="00D968C4"/>
    <w:rsid w:val="00DA1887"/>
    <w:rsid w:val="00DA1D38"/>
    <w:rsid w:val="00DA3C6B"/>
    <w:rsid w:val="00DB0DE4"/>
    <w:rsid w:val="00DB35F7"/>
    <w:rsid w:val="00DD143E"/>
    <w:rsid w:val="00DD4E6C"/>
    <w:rsid w:val="00DE39F2"/>
    <w:rsid w:val="00DE3FC8"/>
    <w:rsid w:val="00DF61F0"/>
    <w:rsid w:val="00E01111"/>
    <w:rsid w:val="00E03A40"/>
    <w:rsid w:val="00E10F75"/>
    <w:rsid w:val="00E11D98"/>
    <w:rsid w:val="00E1511F"/>
    <w:rsid w:val="00E200B3"/>
    <w:rsid w:val="00E207AC"/>
    <w:rsid w:val="00E35D93"/>
    <w:rsid w:val="00E42F7C"/>
    <w:rsid w:val="00E4471D"/>
    <w:rsid w:val="00E465DF"/>
    <w:rsid w:val="00E569F9"/>
    <w:rsid w:val="00E56B61"/>
    <w:rsid w:val="00E57118"/>
    <w:rsid w:val="00E63C76"/>
    <w:rsid w:val="00E71A56"/>
    <w:rsid w:val="00E76B9E"/>
    <w:rsid w:val="00E8152D"/>
    <w:rsid w:val="00E84217"/>
    <w:rsid w:val="00E8612A"/>
    <w:rsid w:val="00E871B4"/>
    <w:rsid w:val="00E916D5"/>
    <w:rsid w:val="00EA45CC"/>
    <w:rsid w:val="00EA60DD"/>
    <w:rsid w:val="00EB3805"/>
    <w:rsid w:val="00EB3864"/>
    <w:rsid w:val="00EB47C2"/>
    <w:rsid w:val="00ED5375"/>
    <w:rsid w:val="00ED70EC"/>
    <w:rsid w:val="00ED7D30"/>
    <w:rsid w:val="00EE1896"/>
    <w:rsid w:val="00EE2F8E"/>
    <w:rsid w:val="00EE56FB"/>
    <w:rsid w:val="00EF3FC1"/>
    <w:rsid w:val="00EF67A0"/>
    <w:rsid w:val="00F03E74"/>
    <w:rsid w:val="00F05125"/>
    <w:rsid w:val="00F058A2"/>
    <w:rsid w:val="00F1637A"/>
    <w:rsid w:val="00F310F9"/>
    <w:rsid w:val="00F43857"/>
    <w:rsid w:val="00F46F0A"/>
    <w:rsid w:val="00F61ABD"/>
    <w:rsid w:val="00F6292B"/>
    <w:rsid w:val="00F6416F"/>
    <w:rsid w:val="00F64996"/>
    <w:rsid w:val="00F66826"/>
    <w:rsid w:val="00F7156C"/>
    <w:rsid w:val="00F776D0"/>
    <w:rsid w:val="00F77B6B"/>
    <w:rsid w:val="00F8080C"/>
    <w:rsid w:val="00F80B5B"/>
    <w:rsid w:val="00F85F89"/>
    <w:rsid w:val="00F94C24"/>
    <w:rsid w:val="00FA5D48"/>
    <w:rsid w:val="00FB13AB"/>
    <w:rsid w:val="00FB1943"/>
    <w:rsid w:val="00FB54A3"/>
    <w:rsid w:val="00FB72E0"/>
    <w:rsid w:val="00FC1B73"/>
    <w:rsid w:val="00FD0C4D"/>
    <w:rsid w:val="00FE6E30"/>
    <w:rsid w:val="00FF0058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5D"/>
    <w:rPr>
      <w:rFonts w:cs="CG Times (W1)"/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115D"/>
    <w:pPr>
      <w:keepNext/>
      <w:tabs>
        <w:tab w:val="left" w:pos="3686"/>
      </w:tabs>
      <w:spacing w:line="360" w:lineRule="atLeast"/>
      <w:ind w:right="74"/>
      <w:jc w:val="right"/>
      <w:outlineLvl w:val="0"/>
    </w:pPr>
    <w:rPr>
      <w:rFonts w:ascii="Garmond (W1)" w:hAnsi="Garmond (W1)" w:cs="Garmond (W1)"/>
      <w:spacing w:val="20"/>
      <w:sz w:val="24"/>
      <w:szCs w:val="24"/>
    </w:rPr>
  </w:style>
  <w:style w:type="paragraph" w:styleId="Heading2">
    <w:name w:val="heading 2"/>
    <w:basedOn w:val="Normal"/>
    <w:next w:val="BodyTextIndent2"/>
    <w:link w:val="Heading2Char"/>
    <w:uiPriority w:val="99"/>
    <w:qFormat/>
    <w:rsid w:val="005D115D"/>
    <w:pPr>
      <w:keepNext/>
      <w:numPr>
        <w:numId w:val="1"/>
      </w:numPr>
      <w:spacing w:before="240" w:after="60"/>
      <w:jc w:val="both"/>
      <w:outlineLvl w:val="1"/>
    </w:pPr>
    <w:rPr>
      <w:rFonts w:ascii="Courier" w:hAnsi="Courier" w:cs="Courier"/>
      <w:b/>
      <w:bCs/>
      <w:sz w:val="24"/>
      <w:szCs w:val="24"/>
    </w:rPr>
  </w:style>
  <w:style w:type="paragraph" w:styleId="Heading3">
    <w:name w:val="heading 3"/>
    <w:basedOn w:val="Normal"/>
    <w:next w:val="BodyTextIndent2"/>
    <w:link w:val="Heading3Char"/>
    <w:uiPriority w:val="99"/>
    <w:qFormat/>
    <w:rsid w:val="005D115D"/>
    <w:pPr>
      <w:keepNext/>
      <w:numPr>
        <w:numId w:val="3"/>
      </w:numPr>
      <w:spacing w:before="240" w:after="120"/>
      <w:jc w:val="both"/>
      <w:outlineLvl w:val="2"/>
    </w:pPr>
    <w:rPr>
      <w:rFonts w:ascii="Courier" w:hAnsi="Courier" w:cs="Courier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0D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EB1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EB1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EB1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EB1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paragraph" w:styleId="BodyTextIndent2">
    <w:name w:val="Body Text Indent 2"/>
    <w:basedOn w:val="Normal"/>
    <w:link w:val="BodyTextIndent2Char"/>
    <w:uiPriority w:val="99"/>
    <w:rsid w:val="005D115D"/>
    <w:pPr>
      <w:spacing w:before="240" w:after="120"/>
      <w:ind w:left="2835" w:firstLine="709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2EB1"/>
    <w:rPr>
      <w:rFonts w:cs="CG Times (W1)"/>
      <w:sz w:val="20"/>
      <w:szCs w:val="20"/>
      <w:lang w:val="es-ES_tradnl"/>
    </w:rPr>
  </w:style>
  <w:style w:type="paragraph" w:styleId="EndnoteText">
    <w:name w:val="endnote text"/>
    <w:basedOn w:val="Normal"/>
    <w:link w:val="EndnoteTextChar"/>
    <w:uiPriority w:val="99"/>
    <w:semiHidden/>
    <w:rsid w:val="005D115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EB1"/>
    <w:rPr>
      <w:rFonts w:cs="CG Times (W1)"/>
      <w:sz w:val="20"/>
      <w:szCs w:val="20"/>
      <w:lang w:val="es-ES_tradnl"/>
    </w:rPr>
  </w:style>
  <w:style w:type="paragraph" w:styleId="Header">
    <w:name w:val="header"/>
    <w:basedOn w:val="Normal"/>
    <w:link w:val="HeaderChar"/>
    <w:uiPriority w:val="99"/>
    <w:rsid w:val="005D115D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EB1"/>
    <w:rPr>
      <w:rFonts w:cs="CG Times (W1)"/>
      <w:sz w:val="20"/>
      <w:szCs w:val="20"/>
      <w:lang w:val="es-ES_tradnl"/>
    </w:rPr>
  </w:style>
  <w:style w:type="paragraph" w:styleId="Footer">
    <w:name w:val="footer"/>
    <w:basedOn w:val="Normal"/>
    <w:link w:val="FooterChar"/>
    <w:uiPriority w:val="99"/>
    <w:rsid w:val="005D115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EB1"/>
    <w:rPr>
      <w:rFonts w:cs="CG Times (W1)"/>
      <w:sz w:val="20"/>
      <w:szCs w:val="20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5D115D"/>
    <w:pPr>
      <w:tabs>
        <w:tab w:val="num" w:pos="3195"/>
        <w:tab w:val="left" w:pos="3544"/>
      </w:tabs>
      <w:spacing w:before="240" w:after="120"/>
      <w:ind w:left="2835"/>
      <w:jc w:val="both"/>
    </w:pPr>
    <w:rPr>
      <w:rFonts w:ascii="Courier New" w:hAnsi="Courier New" w:cs="Courier New"/>
      <w:spacing w:val="-3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2EB1"/>
    <w:rPr>
      <w:rFonts w:cs="CG Times (W1)"/>
      <w:sz w:val="20"/>
      <w:szCs w:val="20"/>
      <w:lang w:val="es-ES_tradnl"/>
    </w:rPr>
  </w:style>
  <w:style w:type="paragraph" w:styleId="BodyTextIndent3">
    <w:name w:val="Body Text Indent 3"/>
    <w:basedOn w:val="Normal"/>
    <w:link w:val="BodyTextIndent3Char"/>
    <w:uiPriority w:val="99"/>
    <w:rsid w:val="005D115D"/>
    <w:pPr>
      <w:tabs>
        <w:tab w:val="left" w:pos="3686"/>
      </w:tabs>
      <w:spacing w:line="360" w:lineRule="atLeast"/>
      <w:ind w:right="74" w:firstLine="3686"/>
      <w:jc w:val="both"/>
    </w:pPr>
    <w:rPr>
      <w:rFonts w:ascii="Garmond (W1)" w:hAnsi="Garmond (W1)" w:cs="Garmond (W1)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42EB1"/>
    <w:rPr>
      <w:rFonts w:cs="CG Times (W1)"/>
      <w:sz w:val="16"/>
      <w:szCs w:val="16"/>
      <w:lang w:val="es-ES_tradnl"/>
    </w:rPr>
  </w:style>
  <w:style w:type="paragraph" w:styleId="BodyText2">
    <w:name w:val="Body Text 2"/>
    <w:basedOn w:val="Normal"/>
    <w:link w:val="BodyText2Char"/>
    <w:uiPriority w:val="99"/>
    <w:rsid w:val="00F94C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2EB1"/>
    <w:rPr>
      <w:rFonts w:cs="CG Times (W1)"/>
      <w:sz w:val="20"/>
      <w:szCs w:val="20"/>
      <w:lang w:val="es-ES_tradnl"/>
    </w:rPr>
  </w:style>
  <w:style w:type="paragraph" w:styleId="BodyText">
    <w:name w:val="Body Text"/>
    <w:basedOn w:val="Normal"/>
    <w:link w:val="BodyTextChar"/>
    <w:uiPriority w:val="99"/>
    <w:rsid w:val="00F94C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2EB1"/>
    <w:rPr>
      <w:rFonts w:cs="CG Times (W1)"/>
      <w:sz w:val="20"/>
      <w:szCs w:val="20"/>
      <w:lang w:val="es-ES_tradnl"/>
    </w:rPr>
  </w:style>
  <w:style w:type="paragraph" w:styleId="DocumentMap">
    <w:name w:val="Document Map"/>
    <w:basedOn w:val="Normal"/>
    <w:link w:val="DocumentMapChar"/>
    <w:uiPriority w:val="99"/>
    <w:semiHidden/>
    <w:rsid w:val="005541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2EB1"/>
    <w:rPr>
      <w:rFonts w:ascii="Times New Roman" w:hAnsi="Times New Roman"/>
      <w:sz w:val="0"/>
      <w:szCs w:val="0"/>
      <w:lang w:val="es-ES_tradnl"/>
    </w:rPr>
  </w:style>
  <w:style w:type="character" w:styleId="PageNumber">
    <w:name w:val="page number"/>
    <w:basedOn w:val="DefaultParagraphFont"/>
    <w:uiPriority w:val="99"/>
    <w:rsid w:val="009E1E5B"/>
  </w:style>
  <w:style w:type="paragraph" w:styleId="BlockText">
    <w:name w:val="Block Text"/>
    <w:basedOn w:val="Normal"/>
    <w:uiPriority w:val="99"/>
    <w:rsid w:val="00577BC2"/>
    <w:pPr>
      <w:autoSpaceDE w:val="0"/>
      <w:autoSpaceDN w:val="0"/>
      <w:adjustRightInd w:val="0"/>
      <w:spacing w:line="240" w:lineRule="atLeast"/>
      <w:ind w:left="720" w:right="595" w:hanging="720"/>
      <w:jc w:val="both"/>
    </w:pPr>
    <w:rPr>
      <w:rFonts w:cs="Times New Roman"/>
      <w:color w:val="000000"/>
      <w:sz w:val="24"/>
      <w:szCs w:val="24"/>
      <w:lang w:val="es-ES"/>
    </w:rPr>
  </w:style>
  <w:style w:type="paragraph" w:styleId="BodyText3">
    <w:name w:val="Body Text 3"/>
    <w:basedOn w:val="Normal"/>
    <w:link w:val="BodyText3Char"/>
    <w:uiPriority w:val="99"/>
    <w:rsid w:val="00950D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2EB1"/>
    <w:rPr>
      <w:rFonts w:cs="CG Times (W1)"/>
      <w:sz w:val="16"/>
      <w:szCs w:val="16"/>
      <w:lang w:val="es-ES_tradnl"/>
    </w:rPr>
  </w:style>
  <w:style w:type="paragraph" w:styleId="PlainText">
    <w:name w:val="Plain Text"/>
    <w:basedOn w:val="Normal"/>
    <w:link w:val="PlainTextChar"/>
    <w:uiPriority w:val="99"/>
    <w:rsid w:val="00950D70"/>
    <w:rPr>
      <w:rFonts w:ascii="Courier New" w:eastAsia="Arial Unicode MS" w:hAnsi="Courier New" w:cs="Courier New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B4F11"/>
    <w:rPr>
      <w:rFonts w:ascii="Courier New" w:eastAsia="Arial Unicode MS" w:hAnsi="Courier New" w:cs="Courier New"/>
      <w:lang w:val="es-ES" w:eastAsia="es-ES"/>
    </w:rPr>
  </w:style>
  <w:style w:type="character" w:customStyle="1" w:styleId="initialstyle">
    <w:name w:val="initialstyle"/>
    <w:basedOn w:val="DefaultParagraphFont"/>
    <w:uiPriority w:val="99"/>
    <w:rsid w:val="00950D70"/>
  </w:style>
  <w:style w:type="paragraph" w:styleId="HTMLPreformatted">
    <w:name w:val="HTML Preformatted"/>
    <w:basedOn w:val="Normal"/>
    <w:link w:val="HTMLPreformattedChar"/>
    <w:uiPriority w:val="99"/>
    <w:rsid w:val="00950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2EB1"/>
    <w:rPr>
      <w:rFonts w:ascii="Courier New" w:hAnsi="Courier New" w:cs="Courier New"/>
      <w:sz w:val="20"/>
      <w:szCs w:val="20"/>
      <w:lang w:val="es-ES_tradnl"/>
    </w:rPr>
  </w:style>
  <w:style w:type="character" w:customStyle="1" w:styleId="InitialStyle0">
    <w:name w:val="InitialStyle"/>
    <w:uiPriority w:val="99"/>
    <w:rsid w:val="00950D70"/>
    <w:rPr>
      <w:rFonts w:ascii="Courier New" w:hAnsi="Courier New" w:cs="Courier New"/>
      <w:color w:val="auto"/>
      <w:spacing w:val="0"/>
      <w:sz w:val="24"/>
      <w:szCs w:val="24"/>
    </w:rPr>
  </w:style>
  <w:style w:type="table" w:styleId="TableGrid">
    <w:name w:val="Table Grid"/>
    <w:basedOn w:val="TableNormal"/>
    <w:uiPriority w:val="99"/>
    <w:rsid w:val="00763599"/>
    <w:pPr>
      <w:spacing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uiPriority w:val="99"/>
    <w:rsid w:val="0070544F"/>
    <w:pPr>
      <w:spacing w:after="160" w:line="240" w:lineRule="exact"/>
    </w:pPr>
    <w:rPr>
      <w:rFonts w:ascii="Verdana" w:hAnsi="Verdana" w:cs="Verdana"/>
      <w:spacing w:val="-5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B3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1"/>
    <w:rPr>
      <w:rFonts w:ascii="Times New Roman" w:hAnsi="Times New Roman"/>
      <w:sz w:val="0"/>
      <w:szCs w:val="0"/>
      <w:lang w:val="es-ES_tradnl"/>
    </w:rPr>
  </w:style>
  <w:style w:type="paragraph" w:customStyle="1" w:styleId="Style1">
    <w:name w:val="Style 1"/>
    <w:uiPriority w:val="99"/>
    <w:rsid w:val="002B47CD"/>
    <w:pPr>
      <w:widowControl w:val="0"/>
      <w:autoSpaceDE w:val="0"/>
      <w:autoSpaceDN w:val="0"/>
      <w:adjustRightInd w:val="0"/>
    </w:pPr>
    <w:rPr>
      <w:sz w:val="20"/>
      <w:szCs w:val="20"/>
      <w:lang w:val="en-US" w:eastAsia="es-CL"/>
    </w:rPr>
  </w:style>
  <w:style w:type="paragraph" w:styleId="ListParagraph">
    <w:name w:val="List Paragraph"/>
    <w:basedOn w:val="Normal"/>
    <w:uiPriority w:val="99"/>
    <w:qFormat/>
    <w:rsid w:val="009C3E74"/>
    <w:pPr>
      <w:ind w:left="708"/>
    </w:pPr>
    <w:rPr>
      <w:rFonts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1085</Words>
  <Characters>5969</Characters>
  <Application>Microsoft Office Outlook</Application>
  <DocSecurity>0</DocSecurity>
  <Lines>0</Lines>
  <Paragraphs>0</Paragraphs>
  <ScaleCrop>false</ScaleCrop>
  <Company>CAMARA DE DIPUTADOS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Valparaíso, 9 de agosto de 1994.-</dc:title>
  <dc:subject/>
  <dc:creator>Guillermo Díaz Vallejos</dc:creator>
  <cp:keywords/>
  <dc:description/>
  <cp:lastModifiedBy>Windows User</cp:lastModifiedBy>
  <cp:revision>2</cp:revision>
  <cp:lastPrinted>2014-03-13T13:01:00Z</cp:lastPrinted>
  <dcterms:created xsi:type="dcterms:W3CDTF">2020-08-05T12:29:00Z</dcterms:created>
  <dcterms:modified xsi:type="dcterms:W3CDTF">2020-08-05T12:29:00Z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0x01010022F9C7A0789B7E4DA0527EC93634D546</vt:lpwstr>
  </property>
</Properties>
</file>