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E6B2D" w14:textId="77777777" w:rsidR="00791ECB" w:rsidRDefault="00791ECB" w:rsidP="009D4F3F">
      <w:pPr>
        <w:tabs>
          <w:tab w:val="left" w:pos="2835"/>
        </w:tabs>
        <w:jc w:val="center"/>
        <w:rPr>
          <w:rFonts w:eastAsia="Times New Roman" w:cs="Times New Roman"/>
          <w:b/>
          <w:szCs w:val="24"/>
          <w:u w:val="single"/>
          <w:lang w:val="es-ES_tradnl" w:eastAsia="es-ES"/>
        </w:rPr>
      </w:pPr>
    </w:p>
    <w:p w14:paraId="48A99E5D" w14:textId="3EB6DFA4" w:rsidR="009D4F3F" w:rsidRPr="009D4F3F" w:rsidRDefault="009D4F3F" w:rsidP="009D4F3F">
      <w:pPr>
        <w:tabs>
          <w:tab w:val="left" w:pos="2835"/>
        </w:tabs>
        <w:jc w:val="center"/>
        <w:rPr>
          <w:rFonts w:eastAsia="Times New Roman" w:cs="Times New Roman"/>
          <w:b/>
          <w:szCs w:val="24"/>
          <w:u w:val="single"/>
          <w:lang w:val="es-ES_tradnl" w:eastAsia="es-ES"/>
        </w:rPr>
      </w:pPr>
      <w:r w:rsidRPr="009D4F3F">
        <w:rPr>
          <w:rFonts w:eastAsia="Times New Roman" w:cs="Times New Roman"/>
          <w:b/>
          <w:szCs w:val="24"/>
          <w:u w:val="single"/>
          <w:lang w:val="es-ES_tradnl" w:eastAsia="es-ES"/>
        </w:rPr>
        <w:t>CERTIFICADO</w:t>
      </w:r>
    </w:p>
    <w:p w14:paraId="2E2D43DB" w14:textId="77777777" w:rsidR="009D4F3F" w:rsidRPr="009D4F3F" w:rsidRDefault="009D4F3F" w:rsidP="009D4F3F">
      <w:pPr>
        <w:tabs>
          <w:tab w:val="left" w:pos="2835"/>
        </w:tabs>
        <w:jc w:val="both"/>
        <w:rPr>
          <w:rFonts w:eastAsia="Times New Roman" w:cs="Times New Roman"/>
          <w:b/>
          <w:szCs w:val="24"/>
          <w:lang w:val="es-ES_tradnl" w:eastAsia="es-ES"/>
        </w:rPr>
      </w:pPr>
    </w:p>
    <w:p w14:paraId="1990FBE2" w14:textId="66C8AFEA" w:rsidR="009D4F3F" w:rsidRPr="009D4F3F" w:rsidRDefault="009D4F3F" w:rsidP="002360C6">
      <w:pPr>
        <w:tabs>
          <w:tab w:val="left" w:pos="2835"/>
        </w:tabs>
        <w:ind w:firstLine="2835"/>
        <w:jc w:val="both"/>
        <w:rPr>
          <w:rFonts w:eastAsia="Times New Roman" w:cs="Times New Roman"/>
          <w:szCs w:val="24"/>
          <w:lang w:eastAsia="es-ES"/>
        </w:rPr>
      </w:pPr>
      <w:r w:rsidRPr="009D4F3F">
        <w:rPr>
          <w:rFonts w:eastAsia="Times New Roman" w:cs="Times New Roman"/>
          <w:szCs w:val="24"/>
          <w:lang w:val="es-ES_tradnl" w:eastAsia="es-ES"/>
        </w:rPr>
        <w:t xml:space="preserve">Certifico que el día de hoy, </w:t>
      </w:r>
      <w:r w:rsidR="00651188">
        <w:rPr>
          <w:rFonts w:eastAsia="Times New Roman" w:cs="Times New Roman"/>
          <w:szCs w:val="24"/>
          <w:lang w:val="es-ES_tradnl" w:eastAsia="es-ES"/>
        </w:rPr>
        <w:t>26</w:t>
      </w:r>
      <w:r w:rsidRPr="009D4F3F">
        <w:rPr>
          <w:rFonts w:eastAsia="Times New Roman" w:cs="Times New Roman"/>
          <w:szCs w:val="24"/>
          <w:lang w:val="es-ES_tradnl" w:eastAsia="es-ES"/>
        </w:rPr>
        <w:t xml:space="preserve"> de </w:t>
      </w:r>
      <w:r w:rsidR="00651188">
        <w:rPr>
          <w:rFonts w:eastAsia="Times New Roman" w:cs="Times New Roman"/>
          <w:szCs w:val="24"/>
          <w:lang w:val="es-ES_tradnl" w:eastAsia="es-ES"/>
        </w:rPr>
        <w:t>marzo</w:t>
      </w:r>
      <w:r w:rsidRPr="009D4F3F">
        <w:rPr>
          <w:rFonts w:eastAsia="Times New Roman" w:cs="Times New Roman"/>
          <w:szCs w:val="24"/>
          <w:lang w:val="es-ES_tradnl" w:eastAsia="es-ES"/>
        </w:rPr>
        <w:t xml:space="preserve"> de 20</w:t>
      </w:r>
      <w:r w:rsidR="00651188">
        <w:rPr>
          <w:rFonts w:eastAsia="Times New Roman" w:cs="Times New Roman"/>
          <w:szCs w:val="24"/>
          <w:lang w:val="es-ES_tradnl" w:eastAsia="es-ES"/>
        </w:rPr>
        <w:t>20</w:t>
      </w:r>
      <w:r w:rsidRPr="009D4F3F">
        <w:rPr>
          <w:rFonts w:eastAsia="Times New Roman" w:cs="Times New Roman"/>
          <w:szCs w:val="24"/>
          <w:lang w:val="es-ES_tradnl" w:eastAsia="es-ES"/>
        </w:rPr>
        <w:t>,</w:t>
      </w:r>
      <w:r w:rsidR="002360C6">
        <w:rPr>
          <w:rFonts w:eastAsia="Times New Roman" w:cs="Times New Roman"/>
          <w:szCs w:val="24"/>
          <w:lang w:val="es-ES_tradnl" w:eastAsia="es-ES"/>
        </w:rPr>
        <w:t xml:space="preserve"> </w:t>
      </w:r>
      <w:r w:rsidRPr="009D4F3F">
        <w:rPr>
          <w:rFonts w:eastAsia="Times New Roman" w:cs="Times New Roman"/>
          <w:szCs w:val="24"/>
          <w:lang w:val="es-ES_tradnl" w:eastAsia="es-ES"/>
        </w:rPr>
        <w:t xml:space="preserve">la Comisión de Hacienda sesionó para tratar el proyecto de ley, en </w:t>
      </w:r>
      <w:r w:rsidR="00651188">
        <w:rPr>
          <w:rFonts w:eastAsia="Times New Roman" w:cs="Times New Roman"/>
          <w:szCs w:val="24"/>
          <w:lang w:val="es-ES_tradnl" w:eastAsia="es-ES"/>
        </w:rPr>
        <w:t>primer</w:t>
      </w:r>
      <w:r w:rsidRPr="009D4F3F">
        <w:rPr>
          <w:rFonts w:eastAsia="Times New Roman" w:cs="Times New Roman"/>
          <w:szCs w:val="24"/>
          <w:lang w:val="es-ES_tradnl" w:eastAsia="es-ES"/>
        </w:rPr>
        <w:t xml:space="preserve"> trámite constitucional, que </w:t>
      </w:r>
      <w:r w:rsidR="00651188" w:rsidRPr="00651188">
        <w:rPr>
          <w:rFonts w:eastAsia="Times New Roman" w:cs="Times New Roman"/>
          <w:szCs w:val="24"/>
          <w:lang w:val="es-ES_tradnl" w:eastAsia="es-ES"/>
        </w:rPr>
        <w:t xml:space="preserve">faculta el acceso a prestaciones del seguro de desempleo de la ley </w:t>
      </w:r>
      <w:proofErr w:type="spellStart"/>
      <w:r w:rsidR="00651188" w:rsidRPr="00651188">
        <w:rPr>
          <w:rFonts w:eastAsia="Times New Roman" w:cs="Times New Roman"/>
          <w:szCs w:val="24"/>
          <w:lang w:val="es-ES_tradnl" w:eastAsia="es-ES"/>
        </w:rPr>
        <w:t>N°</w:t>
      </w:r>
      <w:proofErr w:type="spellEnd"/>
      <w:r w:rsidR="00651188" w:rsidRPr="00651188">
        <w:rPr>
          <w:rFonts w:eastAsia="Times New Roman" w:cs="Times New Roman"/>
          <w:szCs w:val="24"/>
          <w:lang w:val="es-ES_tradnl" w:eastAsia="es-ES"/>
        </w:rPr>
        <w:t xml:space="preserve"> 19.728, en circunstancias excepcionales</w:t>
      </w:r>
      <w:r w:rsidRPr="009D4F3F">
        <w:rPr>
          <w:rFonts w:eastAsia="Times New Roman" w:cs="Times New Roman"/>
          <w:szCs w:val="24"/>
          <w:lang w:eastAsia="es-ES"/>
        </w:rPr>
        <w:t xml:space="preserve"> </w:t>
      </w:r>
      <w:r w:rsidRPr="009D4F3F">
        <w:rPr>
          <w:rFonts w:eastAsia="Times New Roman" w:cs="Times New Roman"/>
          <w:b/>
          <w:szCs w:val="24"/>
          <w:lang w:eastAsia="es-ES"/>
        </w:rPr>
        <w:t xml:space="preserve">(boletín </w:t>
      </w:r>
      <w:proofErr w:type="spellStart"/>
      <w:r w:rsidRPr="009D4F3F">
        <w:rPr>
          <w:rFonts w:eastAsia="Times New Roman" w:cs="Times New Roman"/>
          <w:b/>
          <w:szCs w:val="24"/>
          <w:lang w:eastAsia="es-ES"/>
        </w:rPr>
        <w:t>N°</w:t>
      </w:r>
      <w:proofErr w:type="spellEnd"/>
      <w:r w:rsidR="00651188">
        <w:rPr>
          <w:rFonts w:eastAsia="Times New Roman" w:cs="Times New Roman"/>
          <w:b/>
          <w:szCs w:val="24"/>
          <w:lang w:eastAsia="es-ES"/>
        </w:rPr>
        <w:t xml:space="preserve"> 13.352-13</w:t>
      </w:r>
      <w:r w:rsidRPr="009D4F3F">
        <w:rPr>
          <w:rFonts w:eastAsia="Times New Roman" w:cs="Times New Roman"/>
          <w:b/>
          <w:szCs w:val="24"/>
          <w:lang w:eastAsia="es-ES"/>
        </w:rPr>
        <w:t>)</w:t>
      </w:r>
      <w:r w:rsidRPr="009D4F3F">
        <w:rPr>
          <w:rFonts w:eastAsia="Times New Roman" w:cs="Times New Roman"/>
          <w:szCs w:val="24"/>
          <w:lang w:eastAsia="es-ES"/>
        </w:rPr>
        <w:t>, con urgencia calificada de “discusión inmediata”.</w:t>
      </w:r>
    </w:p>
    <w:p w14:paraId="6A1BBFFA" w14:textId="77777777" w:rsidR="009D4F3F" w:rsidRPr="009D4F3F" w:rsidRDefault="009D4F3F" w:rsidP="009D4F3F">
      <w:pPr>
        <w:tabs>
          <w:tab w:val="left" w:pos="2835"/>
        </w:tabs>
        <w:jc w:val="both"/>
        <w:rPr>
          <w:rFonts w:eastAsia="Times New Roman" w:cs="Times New Roman"/>
          <w:szCs w:val="24"/>
          <w:lang w:val="es-ES_tradnl" w:eastAsia="es-ES"/>
        </w:rPr>
      </w:pPr>
      <w:r w:rsidRPr="009D4F3F">
        <w:rPr>
          <w:rFonts w:eastAsia="Times New Roman" w:cs="Times New Roman"/>
          <w:szCs w:val="24"/>
          <w:lang w:val="es-ES_tradnl" w:eastAsia="es-ES"/>
        </w:rPr>
        <w:t xml:space="preserve"> </w:t>
      </w:r>
    </w:p>
    <w:p w14:paraId="26C51CDF" w14:textId="618A88F7" w:rsidR="009D4F3F" w:rsidRPr="00526D2E" w:rsidRDefault="009D4F3F" w:rsidP="009D4F3F">
      <w:pPr>
        <w:tabs>
          <w:tab w:val="left" w:pos="2835"/>
        </w:tabs>
        <w:ind w:firstLine="2835"/>
        <w:jc w:val="both"/>
        <w:rPr>
          <w:rFonts w:eastAsia="Times New Roman" w:cs="Arial"/>
          <w:szCs w:val="24"/>
          <w:lang w:val="es-ES_tradnl" w:eastAsia="es-ES"/>
        </w:rPr>
      </w:pPr>
      <w:r w:rsidRPr="00526D2E">
        <w:rPr>
          <w:rFonts w:eastAsia="Times New Roman" w:cs="Arial"/>
          <w:szCs w:val="24"/>
          <w:lang w:val="es-ES_tradnl" w:eastAsia="es-ES"/>
        </w:rPr>
        <w:t>A la sesión en que la Comisión conoció de esta iniciativa asistieron sus miembros, Honorables Senadores señores Coloma</w:t>
      </w:r>
      <w:r w:rsidR="00526D2E" w:rsidRPr="00526D2E">
        <w:rPr>
          <w:rFonts w:eastAsia="Times New Roman" w:cs="Arial"/>
          <w:szCs w:val="24"/>
          <w:lang w:val="es-ES_tradnl" w:eastAsia="es-ES"/>
        </w:rPr>
        <w:t xml:space="preserve"> (</w:t>
      </w:r>
      <w:r w:rsidR="000B65C6">
        <w:rPr>
          <w:rFonts w:eastAsia="Times New Roman" w:cs="Arial"/>
          <w:szCs w:val="24"/>
          <w:lang w:val="es-ES_tradnl" w:eastAsia="es-ES"/>
        </w:rPr>
        <w:t xml:space="preserve">señora </w:t>
      </w:r>
      <w:r w:rsidR="00526D2E" w:rsidRPr="00526D2E">
        <w:rPr>
          <w:rFonts w:eastAsia="Times New Roman" w:cs="Arial"/>
          <w:szCs w:val="24"/>
          <w:lang w:val="es-ES_tradnl" w:eastAsia="es-ES"/>
        </w:rPr>
        <w:t>Van Rysselberghe)</w:t>
      </w:r>
      <w:r w:rsidRPr="00526D2E">
        <w:rPr>
          <w:rFonts w:eastAsia="Times New Roman" w:cs="Arial"/>
          <w:szCs w:val="24"/>
          <w:lang w:val="es-ES_tradnl" w:eastAsia="es-ES"/>
        </w:rPr>
        <w:t xml:space="preserve">, García, </w:t>
      </w:r>
      <w:r w:rsidR="00651188" w:rsidRPr="00526D2E">
        <w:rPr>
          <w:rFonts w:eastAsia="Times New Roman" w:cs="Arial"/>
          <w:szCs w:val="24"/>
          <w:lang w:val="es-ES_tradnl" w:eastAsia="es-ES"/>
        </w:rPr>
        <w:t xml:space="preserve">Elizalde, </w:t>
      </w:r>
      <w:r w:rsidRPr="00526D2E">
        <w:rPr>
          <w:rFonts w:eastAsia="Times New Roman" w:cs="Arial"/>
          <w:szCs w:val="24"/>
          <w:lang w:val="es-ES_tradnl" w:eastAsia="es-ES"/>
        </w:rPr>
        <w:t>Lagos</w:t>
      </w:r>
      <w:r w:rsidR="00CC378D" w:rsidRPr="00526D2E">
        <w:rPr>
          <w:rFonts w:eastAsia="Times New Roman" w:cs="Arial"/>
          <w:szCs w:val="24"/>
          <w:lang w:val="es-ES_tradnl" w:eastAsia="es-ES"/>
        </w:rPr>
        <w:t xml:space="preserve"> </w:t>
      </w:r>
      <w:r w:rsidRPr="00526D2E">
        <w:rPr>
          <w:rFonts w:eastAsia="Times New Roman" w:cs="Arial"/>
          <w:szCs w:val="24"/>
          <w:lang w:val="es-ES_tradnl" w:eastAsia="es-ES"/>
        </w:rPr>
        <w:t>y Pizarro.</w:t>
      </w:r>
    </w:p>
    <w:p w14:paraId="6EFC95C6" w14:textId="6B0AC33D" w:rsidR="00526D2E" w:rsidRDefault="00526D2E" w:rsidP="009D4F3F">
      <w:pPr>
        <w:tabs>
          <w:tab w:val="left" w:pos="2835"/>
        </w:tabs>
        <w:ind w:firstLine="2835"/>
        <w:jc w:val="both"/>
        <w:rPr>
          <w:rFonts w:eastAsia="Times New Roman" w:cs="Arial"/>
          <w:szCs w:val="24"/>
          <w:highlight w:val="yellow"/>
          <w:lang w:val="es-ES_tradnl" w:eastAsia="es-ES"/>
        </w:rPr>
      </w:pPr>
    </w:p>
    <w:p w14:paraId="34D3FCF3" w14:textId="01C52CC7" w:rsidR="00526D2E" w:rsidRDefault="00526D2E" w:rsidP="00526D2E">
      <w:pPr>
        <w:ind w:firstLine="2835"/>
        <w:jc w:val="both"/>
        <w:rPr>
          <w:rFonts w:cs="Arial"/>
          <w:szCs w:val="24"/>
        </w:rPr>
      </w:pPr>
      <w:r w:rsidRPr="00526D2E">
        <w:rPr>
          <w:rFonts w:cs="Arial"/>
          <w:szCs w:val="24"/>
          <w:lang w:val="es-ES_tradnl"/>
        </w:rPr>
        <w:t xml:space="preserve">Asimismo, estuvieron presentes los Senadores señores Alejandro Navarro y </w:t>
      </w:r>
      <w:r>
        <w:rPr>
          <w:rFonts w:cs="Arial"/>
          <w:szCs w:val="24"/>
          <w:lang w:val="es-ES_tradnl"/>
        </w:rPr>
        <w:t>Juan Pablo Letelier</w:t>
      </w:r>
      <w:r w:rsidRPr="00526D2E">
        <w:rPr>
          <w:rFonts w:cs="Arial"/>
          <w:szCs w:val="24"/>
          <w:lang w:val="es-ES_tradnl"/>
        </w:rPr>
        <w:t>.</w:t>
      </w:r>
    </w:p>
    <w:p w14:paraId="72F15892" w14:textId="77777777" w:rsidR="009D4F3F" w:rsidRPr="00651188" w:rsidRDefault="009D4F3F" w:rsidP="009D4F3F">
      <w:pPr>
        <w:jc w:val="both"/>
        <w:rPr>
          <w:rFonts w:eastAsia="Times New Roman" w:cs="Arial"/>
          <w:szCs w:val="24"/>
          <w:highlight w:val="yellow"/>
          <w:lang w:val="es-ES_tradnl" w:eastAsia="es-ES"/>
        </w:rPr>
      </w:pPr>
    </w:p>
    <w:p w14:paraId="5BEA2138" w14:textId="2DC6D48D" w:rsidR="00526D2E" w:rsidRPr="00526D2E" w:rsidRDefault="00526D2E" w:rsidP="00526D2E">
      <w:pPr>
        <w:ind w:firstLine="2835"/>
        <w:jc w:val="both"/>
        <w:rPr>
          <w:rFonts w:cs="Arial"/>
          <w:szCs w:val="24"/>
          <w:lang w:val="es-ES_tradnl"/>
        </w:rPr>
      </w:pPr>
      <w:r>
        <w:rPr>
          <w:rFonts w:cs="Arial"/>
          <w:szCs w:val="24"/>
          <w:lang w:val="es-ES_tradnl"/>
        </w:rPr>
        <w:t xml:space="preserve">Además, concurrieron, </w:t>
      </w:r>
      <w:r w:rsidRPr="00526D2E">
        <w:rPr>
          <w:rFonts w:cs="Arial"/>
          <w:szCs w:val="24"/>
          <w:lang w:val="es-ES_tradnl"/>
        </w:rPr>
        <w:t xml:space="preserve">la </w:t>
      </w:r>
      <w:proofErr w:type="gramStart"/>
      <w:r w:rsidRPr="00526D2E">
        <w:rPr>
          <w:rFonts w:cs="Arial"/>
          <w:szCs w:val="24"/>
          <w:lang w:val="es-ES_tradnl"/>
        </w:rPr>
        <w:t>Ministra</w:t>
      </w:r>
      <w:proofErr w:type="gramEnd"/>
      <w:r w:rsidRPr="00526D2E">
        <w:rPr>
          <w:rFonts w:cs="Arial"/>
          <w:szCs w:val="24"/>
          <w:lang w:val="es-ES_tradnl"/>
        </w:rPr>
        <w:t xml:space="preserve"> del Trabajo y Previsión Social, señora María José Zaldívar Larraín, acompañada por el coordinador legislativo del mismo Ministerio, señor Francisco del Río.</w:t>
      </w:r>
    </w:p>
    <w:p w14:paraId="4FAF8A2E" w14:textId="372F433D" w:rsidR="00CC378D" w:rsidRDefault="00CC378D" w:rsidP="00CC378D">
      <w:pPr>
        <w:ind w:firstLine="2835"/>
        <w:jc w:val="both"/>
        <w:rPr>
          <w:rFonts w:cs="Arial"/>
          <w:szCs w:val="24"/>
        </w:rPr>
      </w:pPr>
    </w:p>
    <w:p w14:paraId="2B333C93" w14:textId="24B0DC86" w:rsidR="00CC378D" w:rsidRDefault="00CC378D" w:rsidP="00CC378D">
      <w:pPr>
        <w:jc w:val="center"/>
        <w:rPr>
          <w:rFonts w:cs="Arial"/>
          <w:szCs w:val="24"/>
        </w:rPr>
      </w:pPr>
      <w:r>
        <w:rPr>
          <w:rFonts w:cs="Arial"/>
          <w:szCs w:val="24"/>
        </w:rPr>
        <w:t>---</w:t>
      </w:r>
    </w:p>
    <w:p w14:paraId="590B332B" w14:textId="77777777" w:rsidR="00CC378D" w:rsidRDefault="00CC378D" w:rsidP="00CC378D">
      <w:pPr>
        <w:tabs>
          <w:tab w:val="left" w:pos="708"/>
        </w:tabs>
        <w:ind w:firstLine="2835"/>
        <w:jc w:val="both"/>
      </w:pPr>
    </w:p>
    <w:p w14:paraId="22147282" w14:textId="50393BC5" w:rsidR="00CC378D" w:rsidRPr="00716D56" w:rsidRDefault="00791ECB" w:rsidP="00CC378D">
      <w:pPr>
        <w:tabs>
          <w:tab w:val="left" w:pos="708"/>
        </w:tabs>
        <w:ind w:firstLine="2835"/>
        <w:jc w:val="both"/>
      </w:pPr>
      <w:r>
        <w:t>S</w:t>
      </w:r>
      <w:r w:rsidR="00CC378D" w:rsidRPr="00716D56">
        <w:t xml:space="preserve">e deja constancia de que la Comisión de Hacienda </w:t>
      </w:r>
      <w:r w:rsidR="00CC378D" w:rsidRPr="00526D2E">
        <w:t>no</w:t>
      </w:r>
      <w:r w:rsidR="00CC378D">
        <w:t xml:space="preserve"> </w:t>
      </w:r>
      <w:r w:rsidR="00CC378D" w:rsidRPr="00CC378D">
        <w:t>efectuó enmiendas</w:t>
      </w:r>
      <w:r w:rsidR="00CC378D" w:rsidRPr="00716D56">
        <w:t xml:space="preserve"> respecto del </w:t>
      </w:r>
      <w:r w:rsidR="00CC378D">
        <w:t>texto despachado</w:t>
      </w:r>
      <w:r w:rsidR="00CC378D" w:rsidRPr="00716D56">
        <w:t xml:space="preserve"> por la Comisión de </w:t>
      </w:r>
      <w:bookmarkStart w:id="0" w:name="_Hlk36111635"/>
      <w:r w:rsidR="00651188">
        <w:t>Trabajo y Previsión Social</w:t>
      </w:r>
      <w:bookmarkEnd w:id="0"/>
      <w:r w:rsidR="00CC378D" w:rsidRPr="00716D56">
        <w:t xml:space="preserve"> en su informe.</w:t>
      </w:r>
    </w:p>
    <w:p w14:paraId="0579A2E5" w14:textId="77777777" w:rsidR="00CC378D" w:rsidRPr="00716D56" w:rsidRDefault="00CC378D" w:rsidP="00CC378D">
      <w:pPr>
        <w:tabs>
          <w:tab w:val="left" w:pos="708"/>
        </w:tabs>
        <w:ind w:firstLine="2835"/>
        <w:jc w:val="both"/>
      </w:pPr>
    </w:p>
    <w:p w14:paraId="0DFB8F7C" w14:textId="77777777" w:rsidR="009D4F3F" w:rsidRPr="009D4F3F" w:rsidRDefault="009D4F3F" w:rsidP="009D4F3F">
      <w:pPr>
        <w:tabs>
          <w:tab w:val="left" w:pos="2835"/>
        </w:tabs>
        <w:jc w:val="center"/>
        <w:rPr>
          <w:rFonts w:eastAsia="Times New Roman" w:cs="Arial"/>
          <w:b/>
          <w:szCs w:val="24"/>
          <w:lang w:val="es-ES_tradnl" w:eastAsia="es-ES"/>
        </w:rPr>
      </w:pPr>
      <w:r w:rsidRPr="009D4F3F">
        <w:rPr>
          <w:rFonts w:eastAsia="Times New Roman" w:cs="Arial"/>
          <w:b/>
          <w:szCs w:val="24"/>
          <w:lang w:val="es-ES_tradnl" w:eastAsia="es-ES"/>
        </w:rPr>
        <w:t>- - -</w:t>
      </w:r>
    </w:p>
    <w:p w14:paraId="06BC3814" w14:textId="77777777" w:rsidR="009D4F3F" w:rsidRPr="009D4F3F" w:rsidRDefault="009D4F3F" w:rsidP="009D4F3F">
      <w:pPr>
        <w:tabs>
          <w:tab w:val="left" w:pos="2835"/>
        </w:tabs>
        <w:jc w:val="both"/>
        <w:rPr>
          <w:rFonts w:eastAsia="Times New Roman" w:cs="Times New Roman"/>
          <w:szCs w:val="24"/>
          <w:lang w:val="es-ES_tradnl" w:eastAsia="es-ES"/>
        </w:rPr>
      </w:pPr>
    </w:p>
    <w:p w14:paraId="5EC18181" w14:textId="77777777" w:rsidR="009D4F3F" w:rsidRPr="009D4F3F" w:rsidRDefault="009D4F3F" w:rsidP="009D4F3F">
      <w:pPr>
        <w:tabs>
          <w:tab w:val="left" w:pos="2835"/>
        </w:tabs>
        <w:jc w:val="both"/>
        <w:rPr>
          <w:rFonts w:eastAsia="Times New Roman" w:cs="Arial"/>
          <w:szCs w:val="24"/>
          <w:lang w:eastAsia="es-ES"/>
        </w:rPr>
      </w:pPr>
    </w:p>
    <w:p w14:paraId="62AF9A8E" w14:textId="4C1F0E8E" w:rsidR="009D4F3F" w:rsidRPr="009D4F3F" w:rsidRDefault="009D4F3F" w:rsidP="009D4F3F">
      <w:pPr>
        <w:jc w:val="center"/>
        <w:rPr>
          <w:rFonts w:eastAsia="Times New Roman" w:cs="Arial"/>
          <w:b/>
          <w:szCs w:val="24"/>
          <w:lang w:val="es-ES_tradnl" w:eastAsia="es-ES"/>
        </w:rPr>
      </w:pPr>
      <w:r w:rsidRPr="009D4F3F">
        <w:rPr>
          <w:rFonts w:eastAsia="Times New Roman" w:cs="Arial"/>
          <w:b/>
          <w:szCs w:val="24"/>
          <w:lang w:val="es-ES_tradnl" w:eastAsia="es-ES"/>
        </w:rPr>
        <w:t xml:space="preserve">DISCUSIÓN </w:t>
      </w:r>
    </w:p>
    <w:p w14:paraId="05C931ED" w14:textId="77777777" w:rsidR="009D4F3F" w:rsidRPr="009D4F3F" w:rsidRDefault="009D4F3F" w:rsidP="009D4F3F">
      <w:pPr>
        <w:rPr>
          <w:rFonts w:eastAsia="Times New Roman" w:cs="Arial"/>
          <w:b/>
          <w:szCs w:val="24"/>
          <w:lang w:val="es-ES_tradnl" w:eastAsia="es-ES"/>
        </w:rPr>
      </w:pPr>
    </w:p>
    <w:p w14:paraId="697A4BB0" w14:textId="797F66A6" w:rsidR="002360C6" w:rsidRDefault="00CC378D" w:rsidP="002360C6">
      <w:pPr>
        <w:ind w:firstLine="2760"/>
        <w:jc w:val="both"/>
        <w:rPr>
          <w:rFonts w:eastAsia="Times New Roman" w:cs="Arial"/>
          <w:szCs w:val="20"/>
          <w:lang w:val="es-ES_tradnl" w:eastAsia="es-ES"/>
        </w:rPr>
      </w:pPr>
      <w:r w:rsidRPr="00716D56">
        <w:rPr>
          <w:rFonts w:cs="Arial"/>
          <w:szCs w:val="24"/>
          <w:lang w:val="es-ES_tradnl"/>
        </w:rPr>
        <w:t xml:space="preserve">De conformidad con su competencia, la Comisión de Hacienda se pronunció respecto de las siguientes disposiciones del proyecto de ley: </w:t>
      </w:r>
      <w:r w:rsidR="00651188" w:rsidRPr="00526D2E">
        <w:rPr>
          <w:rFonts w:cs="Arial"/>
          <w:szCs w:val="24"/>
          <w:lang w:val="es-ES_tradnl"/>
        </w:rPr>
        <w:t>artículos 18</w:t>
      </w:r>
      <w:r w:rsidR="00526D2E" w:rsidRPr="00526D2E">
        <w:rPr>
          <w:rFonts w:cs="Arial"/>
          <w:szCs w:val="24"/>
          <w:lang w:val="es-ES_tradnl"/>
        </w:rPr>
        <w:t>, 19, 22</w:t>
      </w:r>
      <w:r w:rsidR="00651188" w:rsidRPr="00526D2E">
        <w:rPr>
          <w:rFonts w:cs="Arial"/>
          <w:szCs w:val="24"/>
          <w:lang w:val="es-ES_tradnl"/>
        </w:rPr>
        <w:t xml:space="preserve"> y 2</w:t>
      </w:r>
      <w:r w:rsidR="00526D2E" w:rsidRPr="00526D2E">
        <w:rPr>
          <w:rFonts w:cs="Arial"/>
          <w:szCs w:val="24"/>
          <w:lang w:val="es-ES_tradnl"/>
        </w:rPr>
        <w:t>5</w:t>
      </w:r>
      <w:r w:rsidR="00651188" w:rsidRPr="00526D2E">
        <w:rPr>
          <w:rFonts w:cs="Arial"/>
          <w:szCs w:val="24"/>
          <w:lang w:val="es-ES_tradnl"/>
        </w:rPr>
        <w:t xml:space="preserve"> permanentes</w:t>
      </w:r>
      <w:r w:rsidRPr="00716D56">
        <w:rPr>
          <w:rFonts w:cs="Arial"/>
          <w:szCs w:val="24"/>
          <w:lang w:val="es-ES_tradnl"/>
        </w:rPr>
        <w:t xml:space="preserve">. Lo hizo en los términos en que fueron aprobados por la </w:t>
      </w:r>
      <w:r w:rsidRPr="00716D56">
        <w:rPr>
          <w:szCs w:val="24"/>
        </w:rPr>
        <w:t xml:space="preserve">Comisión de </w:t>
      </w:r>
      <w:bookmarkStart w:id="1" w:name="_Hlk36112580"/>
      <w:r w:rsidR="00651188" w:rsidRPr="00651188">
        <w:rPr>
          <w:szCs w:val="24"/>
        </w:rPr>
        <w:t>Trabajo y Previsión Social</w:t>
      </w:r>
      <w:bookmarkEnd w:id="1"/>
      <w:r w:rsidRPr="00716D56">
        <w:rPr>
          <w:szCs w:val="24"/>
        </w:rPr>
        <w:t xml:space="preserve">, </w:t>
      </w:r>
      <w:r w:rsidRPr="00716D56">
        <w:rPr>
          <w:rFonts w:cs="Arial"/>
          <w:szCs w:val="24"/>
          <w:lang w:val="es-ES_tradnl"/>
        </w:rPr>
        <w:t>como corresponde de acuerdo con lo dispuesto en el artículo 41 del Reglamento de la Corporación.</w:t>
      </w:r>
    </w:p>
    <w:p w14:paraId="13B69E65" w14:textId="77777777" w:rsidR="002360C6" w:rsidRDefault="002360C6" w:rsidP="002360C6">
      <w:pPr>
        <w:ind w:firstLine="2760"/>
        <w:jc w:val="both"/>
        <w:rPr>
          <w:rFonts w:eastAsia="Times New Roman" w:cs="Arial"/>
          <w:szCs w:val="20"/>
          <w:lang w:val="es-ES_tradnl" w:eastAsia="es-ES"/>
        </w:rPr>
      </w:pPr>
    </w:p>
    <w:p w14:paraId="1EC35547" w14:textId="7499B114" w:rsidR="002360C6" w:rsidRDefault="002360C6" w:rsidP="002360C6">
      <w:pPr>
        <w:ind w:firstLine="2760"/>
        <w:jc w:val="both"/>
        <w:rPr>
          <w:rFonts w:eastAsia="Times New Roman" w:cs="Arial"/>
          <w:b/>
          <w:szCs w:val="20"/>
          <w:lang w:val="es-ES_tradnl" w:eastAsia="es-ES"/>
        </w:rPr>
      </w:pPr>
      <w:r>
        <w:rPr>
          <w:rFonts w:eastAsia="Times New Roman" w:cs="Arial"/>
          <w:b/>
          <w:szCs w:val="20"/>
          <w:lang w:val="es-ES_tradnl" w:eastAsia="es-ES"/>
        </w:rPr>
        <w:t>Puest</w:t>
      </w:r>
      <w:r w:rsidR="00CC378D">
        <w:rPr>
          <w:rFonts w:eastAsia="Times New Roman" w:cs="Arial"/>
          <w:b/>
          <w:szCs w:val="20"/>
          <w:lang w:val="es-ES_tradnl" w:eastAsia="es-ES"/>
        </w:rPr>
        <w:t>as</w:t>
      </w:r>
      <w:r>
        <w:rPr>
          <w:rFonts w:eastAsia="Times New Roman" w:cs="Arial"/>
          <w:b/>
          <w:szCs w:val="20"/>
          <w:lang w:val="es-ES_tradnl" w:eastAsia="es-ES"/>
        </w:rPr>
        <w:t xml:space="preserve"> en votación</w:t>
      </w:r>
      <w:r w:rsidR="00CC378D">
        <w:rPr>
          <w:rFonts w:eastAsia="Times New Roman" w:cs="Arial"/>
          <w:b/>
          <w:szCs w:val="20"/>
          <w:lang w:val="es-ES_tradnl" w:eastAsia="es-ES"/>
        </w:rPr>
        <w:t xml:space="preserve"> las referidas normas, </w:t>
      </w:r>
      <w:r w:rsidRPr="00D1518C">
        <w:rPr>
          <w:rFonts w:eastAsia="Times New Roman" w:cs="Arial"/>
          <w:b/>
          <w:szCs w:val="20"/>
          <w:lang w:val="es-ES_tradnl" w:eastAsia="es-ES"/>
        </w:rPr>
        <w:t>resulta</w:t>
      </w:r>
      <w:r w:rsidR="00CC378D">
        <w:rPr>
          <w:rFonts w:eastAsia="Times New Roman" w:cs="Arial"/>
          <w:b/>
          <w:szCs w:val="20"/>
          <w:lang w:val="es-ES_tradnl" w:eastAsia="es-ES"/>
        </w:rPr>
        <w:t>ron</w:t>
      </w:r>
      <w:r w:rsidRPr="00D1518C">
        <w:rPr>
          <w:rFonts w:eastAsia="Times New Roman" w:cs="Arial"/>
          <w:b/>
          <w:szCs w:val="20"/>
          <w:lang w:val="es-ES_tradnl" w:eastAsia="es-ES"/>
        </w:rPr>
        <w:t xml:space="preserve"> aprobad</w:t>
      </w:r>
      <w:r w:rsidR="00CC378D">
        <w:rPr>
          <w:rFonts w:eastAsia="Times New Roman" w:cs="Arial"/>
          <w:b/>
          <w:szCs w:val="20"/>
          <w:lang w:val="es-ES_tradnl" w:eastAsia="es-ES"/>
        </w:rPr>
        <w:t>a</w:t>
      </w:r>
      <w:r w:rsidRPr="00D1518C">
        <w:rPr>
          <w:rFonts w:eastAsia="Times New Roman" w:cs="Arial"/>
          <w:b/>
          <w:szCs w:val="20"/>
          <w:lang w:val="es-ES_tradnl" w:eastAsia="es-ES"/>
        </w:rPr>
        <w:t xml:space="preserve">s por </w:t>
      </w:r>
      <w:r w:rsidR="00526D2E">
        <w:rPr>
          <w:rFonts w:eastAsia="Times New Roman" w:cs="Arial"/>
          <w:b/>
          <w:szCs w:val="20"/>
          <w:lang w:val="es-ES_tradnl" w:eastAsia="es-ES"/>
        </w:rPr>
        <w:t>la unanimidad de los miembros de la Comisión,</w:t>
      </w:r>
      <w:r w:rsidR="00CC378D">
        <w:rPr>
          <w:rFonts w:eastAsia="Times New Roman" w:cs="Arial"/>
          <w:b/>
          <w:szCs w:val="20"/>
          <w:lang w:val="es-ES_tradnl" w:eastAsia="es-ES"/>
        </w:rPr>
        <w:t xml:space="preserve"> </w:t>
      </w:r>
      <w:r w:rsidR="00526D2E">
        <w:rPr>
          <w:rFonts w:eastAsia="Times New Roman" w:cs="Arial"/>
          <w:b/>
          <w:szCs w:val="20"/>
          <w:lang w:val="es-ES_tradnl" w:eastAsia="es-ES"/>
        </w:rPr>
        <w:t>Honorable Senadora señora Van Rysselberghe y</w:t>
      </w:r>
      <w:r w:rsidRPr="00D1518C">
        <w:rPr>
          <w:rFonts w:eastAsia="Times New Roman" w:cs="Arial"/>
          <w:b/>
          <w:szCs w:val="20"/>
          <w:lang w:val="es-ES_tradnl" w:eastAsia="es-ES"/>
        </w:rPr>
        <w:t xml:space="preserve"> Honorables Senadores señores </w:t>
      </w:r>
      <w:r w:rsidR="00526D2E">
        <w:rPr>
          <w:rFonts w:eastAsia="Times New Roman" w:cs="Arial"/>
          <w:b/>
          <w:szCs w:val="20"/>
          <w:lang w:val="es-ES_tradnl" w:eastAsia="es-ES"/>
        </w:rPr>
        <w:t xml:space="preserve">Elizalde, </w:t>
      </w:r>
      <w:r w:rsidR="00CC378D">
        <w:rPr>
          <w:rFonts w:eastAsia="Times New Roman" w:cs="Arial"/>
          <w:b/>
          <w:szCs w:val="20"/>
          <w:lang w:val="es-ES_tradnl" w:eastAsia="es-ES"/>
        </w:rPr>
        <w:t>García</w:t>
      </w:r>
      <w:r w:rsidR="00526D2E">
        <w:rPr>
          <w:rFonts w:eastAsia="Times New Roman" w:cs="Arial"/>
          <w:b/>
          <w:szCs w:val="20"/>
          <w:lang w:val="es-ES_tradnl" w:eastAsia="es-ES"/>
        </w:rPr>
        <w:t>, Lagos</w:t>
      </w:r>
      <w:r w:rsidRPr="00D1518C">
        <w:rPr>
          <w:rFonts w:eastAsia="Times New Roman" w:cs="Arial"/>
          <w:b/>
          <w:szCs w:val="20"/>
          <w:lang w:val="es-ES_tradnl" w:eastAsia="es-ES"/>
        </w:rPr>
        <w:t xml:space="preserve"> y Pizarro.</w:t>
      </w:r>
    </w:p>
    <w:p w14:paraId="46AB4D66" w14:textId="77777777" w:rsidR="002360C6" w:rsidRPr="0036103E" w:rsidRDefault="002360C6" w:rsidP="002360C6">
      <w:pPr>
        <w:ind w:firstLine="2760"/>
        <w:jc w:val="both"/>
        <w:rPr>
          <w:rFonts w:eastAsia="Times New Roman" w:cs="Arial"/>
          <w:b/>
          <w:szCs w:val="20"/>
          <w:lang w:val="es-ES_tradnl" w:eastAsia="es-ES"/>
        </w:rPr>
      </w:pPr>
    </w:p>
    <w:p w14:paraId="34C51C45" w14:textId="77777777" w:rsidR="009D4F3F" w:rsidRPr="009D4F3F" w:rsidRDefault="009D4F3F" w:rsidP="009D4F3F">
      <w:pPr>
        <w:jc w:val="center"/>
        <w:rPr>
          <w:rFonts w:eastAsia="Times New Roman" w:cs="Arial"/>
          <w:b/>
          <w:szCs w:val="24"/>
          <w:lang w:val="es-ES_tradnl" w:eastAsia="es-ES"/>
        </w:rPr>
      </w:pPr>
      <w:r w:rsidRPr="009D4F3F">
        <w:rPr>
          <w:rFonts w:eastAsia="Times New Roman" w:cs="Arial"/>
          <w:b/>
          <w:szCs w:val="24"/>
          <w:lang w:val="es-ES_tradnl" w:eastAsia="es-ES"/>
        </w:rPr>
        <w:t>- - -</w:t>
      </w:r>
    </w:p>
    <w:p w14:paraId="08DA5138" w14:textId="77777777" w:rsidR="009D4F3F" w:rsidRPr="009D4F3F" w:rsidRDefault="009D4F3F" w:rsidP="009D4F3F">
      <w:pPr>
        <w:ind w:firstLine="2760"/>
        <w:jc w:val="both"/>
        <w:rPr>
          <w:rFonts w:eastAsia="Times New Roman" w:cs="Arial"/>
          <w:szCs w:val="24"/>
          <w:lang w:val="es-ES_tradnl" w:eastAsia="es-ES"/>
        </w:rPr>
      </w:pPr>
    </w:p>
    <w:p w14:paraId="6615034C" w14:textId="11C3E527" w:rsidR="00175443" w:rsidRPr="00716D56" w:rsidRDefault="00175443" w:rsidP="00175443">
      <w:pPr>
        <w:tabs>
          <w:tab w:val="left" w:pos="0"/>
        </w:tabs>
        <w:ind w:firstLine="2880"/>
        <w:jc w:val="both"/>
        <w:rPr>
          <w:rFonts w:eastAsia="MS Mincho" w:cs="Arial"/>
          <w:szCs w:val="24"/>
        </w:rPr>
      </w:pPr>
      <w:r w:rsidRPr="00716D56">
        <w:rPr>
          <w:rFonts w:eastAsia="MS Mincho" w:cs="Arial"/>
          <w:szCs w:val="24"/>
        </w:rPr>
        <w:lastRenderedPageBreak/>
        <w:t xml:space="preserve">- La Dirección de Presupuestos emitió, en primer lugar, el informe financiero </w:t>
      </w:r>
      <w:proofErr w:type="spellStart"/>
      <w:r w:rsidRPr="00716D56">
        <w:rPr>
          <w:rFonts w:eastAsia="MS Mincho" w:cs="Arial"/>
          <w:szCs w:val="24"/>
        </w:rPr>
        <w:t>N°</w:t>
      </w:r>
      <w:proofErr w:type="spellEnd"/>
      <w:r w:rsidRPr="00716D56">
        <w:rPr>
          <w:rFonts w:eastAsia="MS Mincho" w:cs="Arial"/>
          <w:szCs w:val="24"/>
        </w:rPr>
        <w:t xml:space="preserve"> </w:t>
      </w:r>
      <w:r w:rsidR="003879F9" w:rsidRPr="003879F9">
        <w:rPr>
          <w:rFonts w:eastAsia="MS Mincho" w:cs="Arial"/>
          <w:b/>
          <w:bCs/>
          <w:szCs w:val="24"/>
        </w:rPr>
        <w:t>43</w:t>
      </w:r>
      <w:r w:rsidRPr="00716D56">
        <w:rPr>
          <w:rFonts w:eastAsia="MS Mincho" w:cs="Arial"/>
          <w:szCs w:val="24"/>
        </w:rPr>
        <w:t xml:space="preserve">, de </w:t>
      </w:r>
      <w:r w:rsidR="003879F9">
        <w:rPr>
          <w:rFonts w:eastAsia="MS Mincho" w:cs="Arial"/>
          <w:szCs w:val="24"/>
        </w:rPr>
        <w:t>25</w:t>
      </w:r>
      <w:r w:rsidRPr="00716D56">
        <w:rPr>
          <w:rFonts w:eastAsia="MS Mincho" w:cs="Arial"/>
          <w:szCs w:val="24"/>
        </w:rPr>
        <w:t xml:space="preserve"> de </w:t>
      </w:r>
      <w:r w:rsidR="003879F9">
        <w:rPr>
          <w:rFonts w:eastAsia="MS Mincho" w:cs="Arial"/>
          <w:szCs w:val="24"/>
        </w:rPr>
        <w:t>marzo</w:t>
      </w:r>
      <w:r w:rsidRPr="00716D56">
        <w:rPr>
          <w:rFonts w:eastAsia="MS Mincho" w:cs="Arial"/>
          <w:szCs w:val="24"/>
        </w:rPr>
        <w:t xml:space="preserve"> de 20</w:t>
      </w:r>
      <w:r w:rsidR="003879F9">
        <w:rPr>
          <w:rFonts w:eastAsia="MS Mincho" w:cs="Arial"/>
          <w:szCs w:val="24"/>
        </w:rPr>
        <w:t>20</w:t>
      </w:r>
      <w:r w:rsidRPr="00716D56">
        <w:rPr>
          <w:rFonts w:eastAsia="MS Mincho" w:cs="Arial"/>
          <w:szCs w:val="24"/>
        </w:rPr>
        <w:t>, que señala, de modo textual, lo siguiente:</w:t>
      </w:r>
    </w:p>
    <w:p w14:paraId="4F2C5892" w14:textId="77777777" w:rsidR="00175443" w:rsidRPr="00716D56" w:rsidRDefault="00175443" w:rsidP="00175443">
      <w:pPr>
        <w:tabs>
          <w:tab w:val="left" w:pos="2835"/>
        </w:tabs>
        <w:jc w:val="both"/>
        <w:rPr>
          <w:b/>
        </w:rPr>
      </w:pPr>
    </w:p>
    <w:p w14:paraId="4D9E8886" w14:textId="77777777" w:rsidR="003879F9" w:rsidRDefault="00175443" w:rsidP="003879F9">
      <w:pPr>
        <w:ind w:firstLine="2835"/>
        <w:jc w:val="both"/>
        <w:rPr>
          <w:rFonts w:cs="Arial"/>
          <w:b/>
          <w:bCs/>
        </w:rPr>
      </w:pPr>
      <w:r w:rsidRPr="00716D56">
        <w:rPr>
          <w:rFonts w:eastAsia="Courier New" w:cs="Arial"/>
          <w:color w:val="000000"/>
          <w:szCs w:val="24"/>
          <w:lang w:bidi="es-ES"/>
        </w:rPr>
        <w:t>“</w:t>
      </w:r>
      <w:r w:rsidR="003879F9" w:rsidRPr="00E2267D">
        <w:rPr>
          <w:rFonts w:cs="Arial"/>
          <w:b/>
          <w:bCs/>
        </w:rPr>
        <w:t>I. Antecedentes</w:t>
      </w:r>
    </w:p>
    <w:p w14:paraId="55E86534" w14:textId="77777777" w:rsidR="003879F9" w:rsidRPr="00E2267D" w:rsidRDefault="003879F9" w:rsidP="003879F9">
      <w:pPr>
        <w:ind w:firstLine="2835"/>
        <w:jc w:val="both"/>
        <w:rPr>
          <w:rFonts w:cs="Arial"/>
          <w:b/>
          <w:bCs/>
        </w:rPr>
      </w:pPr>
    </w:p>
    <w:p w14:paraId="4F7F64A4" w14:textId="77777777" w:rsidR="003879F9" w:rsidRDefault="003879F9" w:rsidP="003879F9">
      <w:pPr>
        <w:ind w:firstLine="2835"/>
        <w:jc w:val="both"/>
        <w:rPr>
          <w:rFonts w:cs="Arial"/>
        </w:rPr>
      </w:pPr>
      <w:r w:rsidRPr="00E2267D">
        <w:rPr>
          <w:rFonts w:cs="Arial"/>
        </w:rPr>
        <w:t xml:space="preserve">El proyecto de ley establece medidas laborales en dirección a proteger a los trabajadores en atención a la crisis sanitaria y económica provocada por la enfermedad COVID-19. Al efecto, faculta el acceso a prestaciones del Seguro de Desempleo de la Ley </w:t>
      </w:r>
      <w:proofErr w:type="spellStart"/>
      <w:r w:rsidRPr="00E2267D">
        <w:rPr>
          <w:rFonts w:cs="Arial"/>
        </w:rPr>
        <w:t>N°</w:t>
      </w:r>
      <w:proofErr w:type="spellEnd"/>
      <w:r w:rsidRPr="00E2267D">
        <w:rPr>
          <w:rFonts w:cs="Arial"/>
        </w:rPr>
        <w:t xml:space="preserve"> 19.728, de acuerdo a lo siguiente:</w:t>
      </w:r>
    </w:p>
    <w:p w14:paraId="6544BEDE" w14:textId="77777777" w:rsidR="003879F9" w:rsidRPr="00E2267D" w:rsidRDefault="003879F9" w:rsidP="003879F9">
      <w:pPr>
        <w:ind w:firstLine="2835"/>
        <w:jc w:val="both"/>
        <w:rPr>
          <w:rFonts w:cs="Arial"/>
        </w:rPr>
      </w:pPr>
    </w:p>
    <w:p w14:paraId="195B3BF1" w14:textId="77777777" w:rsidR="003879F9" w:rsidRDefault="003879F9" w:rsidP="003879F9">
      <w:pPr>
        <w:ind w:firstLine="2835"/>
        <w:jc w:val="both"/>
        <w:rPr>
          <w:rFonts w:cs="Arial"/>
          <w:b/>
          <w:bCs/>
        </w:rPr>
      </w:pPr>
      <w:r w:rsidRPr="00E2267D">
        <w:rPr>
          <w:rFonts w:cs="Arial"/>
          <w:b/>
          <w:bCs/>
        </w:rPr>
        <w:t>I. Acceso extraordinario a prestaciones de cesantía por efecto de la declaración o acto de autoridad que disponga la paralización total de actividades:</w:t>
      </w:r>
    </w:p>
    <w:p w14:paraId="5C17589A" w14:textId="77777777" w:rsidR="003879F9" w:rsidRPr="00E2267D" w:rsidRDefault="003879F9" w:rsidP="003879F9">
      <w:pPr>
        <w:ind w:firstLine="2835"/>
        <w:jc w:val="both"/>
        <w:rPr>
          <w:rFonts w:cs="Arial"/>
          <w:b/>
          <w:bCs/>
        </w:rPr>
      </w:pPr>
    </w:p>
    <w:p w14:paraId="06AEF3CD" w14:textId="77777777" w:rsidR="003879F9" w:rsidRDefault="003879F9" w:rsidP="003879F9">
      <w:pPr>
        <w:ind w:firstLine="2835"/>
        <w:jc w:val="both"/>
        <w:rPr>
          <w:rFonts w:cs="Arial"/>
        </w:rPr>
      </w:pPr>
      <w:r>
        <w:rPr>
          <w:rFonts w:cs="Arial"/>
        </w:rPr>
        <w:t xml:space="preserve">a. </w:t>
      </w:r>
      <w:r w:rsidRPr="00E2267D">
        <w:rPr>
          <w:rFonts w:cs="Arial"/>
        </w:rPr>
        <w:t xml:space="preserve">Se dispone que los trabajadores afiliados al Seguro de Desempleo de la Ley </w:t>
      </w:r>
      <w:proofErr w:type="spellStart"/>
      <w:r w:rsidRPr="00E2267D">
        <w:rPr>
          <w:rFonts w:cs="Arial"/>
        </w:rPr>
        <w:t>N°</w:t>
      </w:r>
      <w:proofErr w:type="spellEnd"/>
      <w:r w:rsidRPr="00E2267D">
        <w:rPr>
          <w:rFonts w:cs="Arial"/>
        </w:rPr>
        <w:t xml:space="preserve"> 19.728 que cumplan determinados requisitos tendrán derecho a la prestación que establece dicha ley, en caso de que se declare la paralización de actividades para el control de la enfermedad COVID-19.</w:t>
      </w:r>
    </w:p>
    <w:p w14:paraId="00CBA983" w14:textId="77777777" w:rsidR="003879F9" w:rsidRPr="00E2267D" w:rsidRDefault="003879F9" w:rsidP="003879F9">
      <w:pPr>
        <w:ind w:firstLine="2835"/>
        <w:jc w:val="both"/>
        <w:rPr>
          <w:rFonts w:cs="Arial"/>
        </w:rPr>
      </w:pPr>
    </w:p>
    <w:p w14:paraId="2032B63F" w14:textId="77777777" w:rsidR="003879F9" w:rsidRPr="00E2267D" w:rsidRDefault="003879F9" w:rsidP="003879F9">
      <w:pPr>
        <w:ind w:firstLine="2835"/>
        <w:jc w:val="both"/>
        <w:rPr>
          <w:rFonts w:cs="Arial"/>
        </w:rPr>
      </w:pPr>
      <w:r>
        <w:rPr>
          <w:rFonts w:cs="Arial"/>
        </w:rPr>
        <w:t xml:space="preserve">b. </w:t>
      </w:r>
      <w:r w:rsidRPr="00E2267D">
        <w:rPr>
          <w:rFonts w:cs="Arial"/>
        </w:rPr>
        <w:t>Se establece la obligación del empleador de pagar cotizaciones previsionales y de seguridad social durante el periodo de paralización.</w:t>
      </w:r>
    </w:p>
    <w:p w14:paraId="54865672" w14:textId="77777777" w:rsidR="003879F9" w:rsidRDefault="003879F9" w:rsidP="003879F9">
      <w:pPr>
        <w:ind w:firstLine="2835"/>
        <w:jc w:val="both"/>
        <w:rPr>
          <w:rFonts w:cs="Arial"/>
        </w:rPr>
      </w:pPr>
    </w:p>
    <w:p w14:paraId="40AF244D" w14:textId="77777777" w:rsidR="003879F9" w:rsidRPr="00E2267D" w:rsidRDefault="003879F9" w:rsidP="003879F9">
      <w:pPr>
        <w:ind w:firstLine="2835"/>
        <w:jc w:val="both"/>
        <w:rPr>
          <w:rFonts w:cs="Arial"/>
        </w:rPr>
      </w:pPr>
      <w:r>
        <w:rPr>
          <w:rFonts w:cs="Arial"/>
        </w:rPr>
        <w:t xml:space="preserve">c. </w:t>
      </w:r>
      <w:r w:rsidRPr="00E2267D">
        <w:rPr>
          <w:rFonts w:cs="Arial"/>
        </w:rPr>
        <w:t>Para el caso de los trabajadores de casa particular, tendrán derecho a la indemnización a todo evento contenida en el Código del Trabajo.</w:t>
      </w:r>
    </w:p>
    <w:p w14:paraId="1A1067B4" w14:textId="77777777" w:rsidR="003879F9" w:rsidRDefault="003879F9" w:rsidP="003879F9">
      <w:pPr>
        <w:ind w:firstLine="2835"/>
        <w:jc w:val="both"/>
        <w:rPr>
          <w:rFonts w:cs="Arial"/>
        </w:rPr>
      </w:pPr>
    </w:p>
    <w:p w14:paraId="0267340B" w14:textId="77777777" w:rsidR="003879F9" w:rsidRDefault="003879F9" w:rsidP="003879F9">
      <w:pPr>
        <w:ind w:firstLine="2835"/>
        <w:jc w:val="both"/>
        <w:rPr>
          <w:rFonts w:cs="Arial"/>
        </w:rPr>
      </w:pPr>
      <w:r>
        <w:rPr>
          <w:rFonts w:cs="Arial"/>
        </w:rPr>
        <w:t xml:space="preserve">d. </w:t>
      </w:r>
      <w:r w:rsidRPr="00E2267D">
        <w:rPr>
          <w:rFonts w:cs="Arial"/>
        </w:rPr>
        <w:t>En el mismo tenor, de faculta a los empleadores para suscribir pactos de suspensión temporal de los contratos de trabajo, fuera de los periodos de paralización y durante la vigencia del proyecto de ley.</w:t>
      </w:r>
    </w:p>
    <w:p w14:paraId="4C4440B1" w14:textId="77777777" w:rsidR="003879F9" w:rsidRPr="00E2267D" w:rsidRDefault="003879F9" w:rsidP="003879F9">
      <w:pPr>
        <w:ind w:firstLine="2835"/>
        <w:jc w:val="both"/>
        <w:rPr>
          <w:rFonts w:cs="Arial"/>
        </w:rPr>
      </w:pPr>
    </w:p>
    <w:p w14:paraId="7172B711" w14:textId="77777777" w:rsidR="003879F9" w:rsidRPr="00E2267D" w:rsidRDefault="003879F9" w:rsidP="003879F9">
      <w:pPr>
        <w:ind w:firstLine="2835"/>
        <w:jc w:val="both"/>
        <w:rPr>
          <w:rFonts w:cs="Arial"/>
          <w:b/>
          <w:bCs/>
        </w:rPr>
      </w:pPr>
      <w:r w:rsidRPr="00E2267D">
        <w:rPr>
          <w:rFonts w:cs="Arial"/>
          <w:b/>
          <w:bCs/>
        </w:rPr>
        <w:t>II. Acceso a prestaciones del Seguro de Desempleo en relación a los pactos de reducción temporal de las jornadas de trabajo:</w:t>
      </w:r>
    </w:p>
    <w:p w14:paraId="58E6062E" w14:textId="77777777" w:rsidR="003879F9" w:rsidRPr="00E2267D" w:rsidRDefault="003879F9" w:rsidP="003879F9">
      <w:pPr>
        <w:ind w:firstLine="2835"/>
        <w:jc w:val="both"/>
        <w:rPr>
          <w:rFonts w:cs="Arial"/>
        </w:rPr>
      </w:pPr>
    </w:p>
    <w:p w14:paraId="0B87E80F" w14:textId="77777777" w:rsidR="003879F9" w:rsidRPr="00E2267D" w:rsidRDefault="003879F9" w:rsidP="003879F9">
      <w:pPr>
        <w:ind w:firstLine="2835"/>
        <w:jc w:val="both"/>
        <w:rPr>
          <w:rFonts w:cs="Arial"/>
        </w:rPr>
      </w:pPr>
      <w:r>
        <w:rPr>
          <w:rFonts w:cs="Arial"/>
        </w:rPr>
        <w:t xml:space="preserve">a. </w:t>
      </w:r>
      <w:r w:rsidRPr="00E2267D">
        <w:rPr>
          <w:rFonts w:cs="Arial"/>
        </w:rPr>
        <w:t>Se faculta a determinados empleadores y trabajadores afiliados al Seguro de Desempleo, personalmente o por medio de la organización sindical a la que se</w:t>
      </w:r>
      <w:r>
        <w:rPr>
          <w:rFonts w:cs="Arial"/>
        </w:rPr>
        <w:t xml:space="preserve"> </w:t>
      </w:r>
      <w:r w:rsidRPr="00E2267D">
        <w:rPr>
          <w:rFonts w:cs="Arial"/>
        </w:rPr>
        <w:t>encuentre afiliado, a pactar una reducción de la jomada laboral, con un máximo de un 50% de esta.</w:t>
      </w:r>
    </w:p>
    <w:p w14:paraId="77DE36A7" w14:textId="77777777" w:rsidR="003879F9" w:rsidRDefault="003879F9" w:rsidP="003879F9">
      <w:pPr>
        <w:ind w:firstLine="2835"/>
        <w:jc w:val="both"/>
        <w:rPr>
          <w:rFonts w:cs="Arial"/>
        </w:rPr>
      </w:pPr>
    </w:p>
    <w:p w14:paraId="22E38F25" w14:textId="77777777" w:rsidR="003879F9" w:rsidRPr="00E2267D" w:rsidRDefault="003879F9" w:rsidP="003879F9">
      <w:pPr>
        <w:ind w:firstLine="2835"/>
        <w:jc w:val="both"/>
        <w:rPr>
          <w:rFonts w:cs="Arial"/>
        </w:rPr>
      </w:pPr>
      <w:r>
        <w:rPr>
          <w:rFonts w:cs="Arial"/>
        </w:rPr>
        <w:t xml:space="preserve">b. </w:t>
      </w:r>
      <w:r w:rsidRPr="00E2267D">
        <w:rPr>
          <w:rFonts w:cs="Arial"/>
        </w:rPr>
        <w:t>Se podrán acoger a esta reducción los empleadores que hayan visto dificultada su continuidad operacional.</w:t>
      </w:r>
    </w:p>
    <w:p w14:paraId="0EF73644" w14:textId="77777777" w:rsidR="003879F9" w:rsidRDefault="003879F9" w:rsidP="003879F9">
      <w:pPr>
        <w:ind w:firstLine="2835"/>
        <w:jc w:val="both"/>
        <w:rPr>
          <w:rFonts w:cs="Arial"/>
        </w:rPr>
      </w:pPr>
    </w:p>
    <w:p w14:paraId="3CE98E8B" w14:textId="77777777" w:rsidR="003879F9" w:rsidRDefault="003879F9" w:rsidP="003879F9">
      <w:pPr>
        <w:ind w:firstLine="2835"/>
        <w:jc w:val="both"/>
        <w:rPr>
          <w:rFonts w:cs="Arial"/>
        </w:rPr>
      </w:pPr>
      <w:r>
        <w:rPr>
          <w:rFonts w:cs="Arial"/>
        </w:rPr>
        <w:lastRenderedPageBreak/>
        <w:t xml:space="preserve">c. </w:t>
      </w:r>
      <w:r w:rsidRPr="00E2267D">
        <w:rPr>
          <w:rFonts w:cs="Arial"/>
        </w:rPr>
        <w:t>Los trabajadores que suscriban este acuerdo recibirán una remuneración de cargo del empleador equivalente a la jomada reducida, considerando el promedio de las remuneraciones imponibles devengadas en los últimos tres meses anteriores al inicio del pacto. Además, recibirán un complemento con cargo al Fondo de Cesantía Solidario.</w:t>
      </w:r>
    </w:p>
    <w:p w14:paraId="670E3B0B" w14:textId="77777777" w:rsidR="003879F9" w:rsidRPr="00E2267D" w:rsidRDefault="003879F9" w:rsidP="003879F9">
      <w:pPr>
        <w:ind w:firstLine="2835"/>
        <w:jc w:val="both"/>
        <w:rPr>
          <w:rFonts w:cs="Arial"/>
        </w:rPr>
      </w:pPr>
    </w:p>
    <w:p w14:paraId="27FBF8F4" w14:textId="77777777" w:rsidR="003879F9" w:rsidRPr="00E2267D" w:rsidRDefault="003879F9" w:rsidP="003879F9">
      <w:pPr>
        <w:ind w:firstLine="2835"/>
        <w:jc w:val="both"/>
        <w:rPr>
          <w:rFonts w:cs="Arial"/>
          <w:b/>
          <w:bCs/>
        </w:rPr>
      </w:pPr>
      <w:r w:rsidRPr="00E2267D">
        <w:rPr>
          <w:rFonts w:cs="Arial"/>
          <w:b/>
          <w:bCs/>
        </w:rPr>
        <w:t>En cuanto a las disposiciones finales contempladas en este proyecto de ley, se encuentran:</w:t>
      </w:r>
    </w:p>
    <w:p w14:paraId="088A67F5" w14:textId="77777777" w:rsidR="003879F9" w:rsidRDefault="003879F9" w:rsidP="003879F9">
      <w:pPr>
        <w:ind w:firstLine="2835"/>
        <w:jc w:val="both"/>
        <w:rPr>
          <w:rFonts w:cs="Arial"/>
        </w:rPr>
      </w:pPr>
    </w:p>
    <w:p w14:paraId="40C2E823" w14:textId="77777777" w:rsidR="003879F9" w:rsidRPr="00E2267D" w:rsidRDefault="003879F9" w:rsidP="003879F9">
      <w:pPr>
        <w:ind w:firstLine="2835"/>
        <w:jc w:val="both"/>
        <w:rPr>
          <w:rFonts w:cs="Arial"/>
        </w:rPr>
      </w:pPr>
      <w:r>
        <w:rPr>
          <w:rFonts w:cs="Arial"/>
        </w:rPr>
        <w:t xml:space="preserve">- </w:t>
      </w:r>
      <w:r w:rsidRPr="00E2267D">
        <w:rPr>
          <w:rFonts w:cs="Arial"/>
        </w:rPr>
        <w:t>Se establece una sanción para las personas que obtuvieren mediante simulación o engaño complementos y/o prestaciones o que obtuvieren un beneficio mayor al que les corresponda.</w:t>
      </w:r>
    </w:p>
    <w:p w14:paraId="10506128" w14:textId="77777777" w:rsidR="003879F9" w:rsidRDefault="003879F9" w:rsidP="003879F9">
      <w:pPr>
        <w:ind w:firstLine="2835"/>
        <w:jc w:val="both"/>
        <w:rPr>
          <w:rFonts w:cs="Arial"/>
        </w:rPr>
      </w:pPr>
    </w:p>
    <w:p w14:paraId="76ABF838" w14:textId="77777777" w:rsidR="003879F9" w:rsidRDefault="003879F9" w:rsidP="003879F9">
      <w:pPr>
        <w:ind w:firstLine="2835"/>
        <w:jc w:val="both"/>
        <w:rPr>
          <w:rFonts w:cs="Arial"/>
        </w:rPr>
      </w:pPr>
      <w:r>
        <w:rPr>
          <w:rFonts w:cs="Arial"/>
        </w:rPr>
        <w:t xml:space="preserve">- </w:t>
      </w:r>
      <w:r w:rsidRPr="00E2267D">
        <w:rPr>
          <w:rFonts w:cs="Arial"/>
        </w:rPr>
        <w:t>Las disposiciones del Título I regirán por un plazo de seis meses desde la entrada en vigencia de la ley. En tanto, las disposiciones del Título II regirán hasta el último día del mes décimo segundo desde su entrada en vigencia.</w:t>
      </w:r>
    </w:p>
    <w:p w14:paraId="3E5E817E" w14:textId="77777777" w:rsidR="003879F9" w:rsidRPr="00E2267D" w:rsidRDefault="003879F9" w:rsidP="003879F9">
      <w:pPr>
        <w:ind w:firstLine="2835"/>
        <w:jc w:val="both"/>
        <w:rPr>
          <w:rFonts w:cs="Arial"/>
        </w:rPr>
      </w:pPr>
    </w:p>
    <w:p w14:paraId="4A9A9012" w14:textId="77777777" w:rsidR="003879F9" w:rsidRPr="00E2267D" w:rsidRDefault="003879F9" w:rsidP="003879F9">
      <w:pPr>
        <w:ind w:firstLine="2835"/>
        <w:jc w:val="both"/>
        <w:rPr>
          <w:rFonts w:cs="Arial"/>
        </w:rPr>
      </w:pPr>
      <w:r>
        <w:rPr>
          <w:rFonts w:cs="Arial"/>
        </w:rPr>
        <w:t xml:space="preserve">- </w:t>
      </w:r>
      <w:r w:rsidRPr="00E2267D">
        <w:rPr>
          <w:rFonts w:cs="Arial"/>
        </w:rPr>
        <w:t>Se autoriza a comprometer desde el Fondo de Reserva de Pensiones, mediante resolución exenta de la Dirección de Presupuestos, la cantidad de recursos necesaria para contribuir a la sustentabilidad del Fondo de Cesantía Solidario, lo cual será utilizado para el financiamiento de las prestaciones de cesantía definidas en la presente ley. En todo caso, no podrá ser superior a $2.000 millones de dólares, moneda de los Estados Unidos de América. Estos recursos deberán ser reintegrados al Fondo de Reserva de Pensiones en un plazo máximo de diez años, contados desde la fecha en que se ejecutó cada uno de los retiros, aplicando una tasa de interés equivalente a la tasa de endeudamiento del Fisco a igual plazo</w:t>
      </w:r>
    </w:p>
    <w:p w14:paraId="2695DF74" w14:textId="77777777" w:rsidR="003879F9" w:rsidRDefault="003879F9" w:rsidP="003879F9">
      <w:pPr>
        <w:ind w:firstLine="2835"/>
        <w:jc w:val="both"/>
        <w:rPr>
          <w:rFonts w:cs="Arial"/>
        </w:rPr>
      </w:pPr>
    </w:p>
    <w:p w14:paraId="5EAA219B" w14:textId="77777777" w:rsidR="003879F9" w:rsidRDefault="003879F9" w:rsidP="003879F9">
      <w:pPr>
        <w:ind w:firstLine="2835"/>
        <w:jc w:val="both"/>
        <w:rPr>
          <w:rFonts w:cs="Arial"/>
        </w:rPr>
      </w:pPr>
      <w:r>
        <w:rPr>
          <w:rFonts w:cs="Arial"/>
        </w:rPr>
        <w:t xml:space="preserve">- </w:t>
      </w:r>
      <w:r w:rsidRPr="00E2267D">
        <w:rPr>
          <w:rFonts w:cs="Arial"/>
        </w:rPr>
        <w:t>Se autoriza a los empleadores cuyas empresas deban continuar funcionando para garantizar la prestación de servicios de utilidad pública, atención de necesidades básicas, y para garantizar la prevención de daños ambientales y sanitarios, a alterar la naturaleza de las funciones que deban desempeñar sus trabajadores durante el período de paralización de actividades, resguardando siempre los derechos fundamentales de estos.</w:t>
      </w:r>
    </w:p>
    <w:p w14:paraId="3FD8278D" w14:textId="77777777" w:rsidR="003879F9" w:rsidRDefault="003879F9" w:rsidP="003879F9">
      <w:pPr>
        <w:ind w:firstLine="2835"/>
        <w:jc w:val="both"/>
        <w:rPr>
          <w:rFonts w:cs="Arial"/>
        </w:rPr>
      </w:pPr>
    </w:p>
    <w:p w14:paraId="627229CE" w14:textId="77777777" w:rsidR="003879F9" w:rsidRPr="00E2267D" w:rsidRDefault="003879F9" w:rsidP="003879F9">
      <w:pPr>
        <w:ind w:firstLine="2835"/>
        <w:jc w:val="both"/>
        <w:rPr>
          <w:rFonts w:cs="Arial"/>
        </w:rPr>
      </w:pPr>
      <w:r>
        <w:rPr>
          <w:rFonts w:cs="Arial"/>
        </w:rPr>
        <w:t>-</w:t>
      </w:r>
      <w:r w:rsidRPr="00E2267D">
        <w:rPr>
          <w:rFonts w:cs="Arial"/>
        </w:rPr>
        <w:t xml:space="preserve"> Finalmente, se faculta a la Superintendencia de Pensiones para dictar una norma de carácter general que materialice las prestaciones que entrega esta ley.</w:t>
      </w:r>
    </w:p>
    <w:p w14:paraId="50BABF04" w14:textId="77777777" w:rsidR="003879F9" w:rsidRDefault="003879F9" w:rsidP="003879F9">
      <w:pPr>
        <w:ind w:firstLine="2835"/>
        <w:jc w:val="both"/>
        <w:rPr>
          <w:rFonts w:cs="Arial"/>
        </w:rPr>
      </w:pPr>
    </w:p>
    <w:p w14:paraId="273EEDF9" w14:textId="77777777" w:rsidR="003879F9" w:rsidRPr="00E2267D" w:rsidRDefault="003879F9" w:rsidP="003879F9">
      <w:pPr>
        <w:ind w:firstLine="2835"/>
        <w:jc w:val="both"/>
        <w:rPr>
          <w:rFonts w:cs="Arial"/>
          <w:b/>
          <w:bCs/>
        </w:rPr>
      </w:pPr>
      <w:r w:rsidRPr="00E2267D">
        <w:rPr>
          <w:rFonts w:cs="Arial"/>
          <w:b/>
          <w:bCs/>
        </w:rPr>
        <w:t>II. Efecto del proyecto de ley sobre el Presupuesto Fiscal</w:t>
      </w:r>
    </w:p>
    <w:p w14:paraId="343C240D" w14:textId="77777777" w:rsidR="003879F9" w:rsidRDefault="003879F9" w:rsidP="003879F9">
      <w:pPr>
        <w:ind w:firstLine="2835"/>
        <w:jc w:val="both"/>
        <w:rPr>
          <w:rFonts w:cs="Arial"/>
        </w:rPr>
      </w:pPr>
    </w:p>
    <w:p w14:paraId="023FE237" w14:textId="77777777" w:rsidR="003879F9" w:rsidRDefault="003879F9" w:rsidP="003879F9">
      <w:pPr>
        <w:ind w:firstLine="2835"/>
        <w:jc w:val="both"/>
        <w:rPr>
          <w:rFonts w:cs="Arial"/>
        </w:rPr>
      </w:pPr>
      <w:r w:rsidRPr="00E2267D">
        <w:rPr>
          <w:rFonts w:cs="Arial"/>
        </w:rPr>
        <w:t>En relación al mayor gasto fiscal inducido por el proyecto de ley:</w:t>
      </w:r>
    </w:p>
    <w:p w14:paraId="67D60323" w14:textId="77777777" w:rsidR="003879F9" w:rsidRPr="00E2267D" w:rsidRDefault="003879F9" w:rsidP="003879F9">
      <w:pPr>
        <w:ind w:firstLine="2835"/>
        <w:jc w:val="both"/>
        <w:rPr>
          <w:rFonts w:cs="Arial"/>
        </w:rPr>
      </w:pPr>
    </w:p>
    <w:p w14:paraId="18434789" w14:textId="77777777" w:rsidR="003879F9" w:rsidRDefault="003879F9" w:rsidP="003879F9">
      <w:pPr>
        <w:ind w:firstLine="2835"/>
        <w:jc w:val="both"/>
        <w:rPr>
          <w:rFonts w:cs="Arial"/>
        </w:rPr>
      </w:pPr>
      <w:r w:rsidRPr="00E2267D">
        <w:rPr>
          <w:rFonts w:cs="Arial"/>
        </w:rPr>
        <w:lastRenderedPageBreak/>
        <w:t xml:space="preserve">a. La implementación de esta iniciativa requiere la modificación del </w:t>
      </w:r>
      <w:r>
        <w:rPr>
          <w:rFonts w:cs="Arial"/>
        </w:rPr>
        <w:t>“</w:t>
      </w:r>
      <w:r w:rsidRPr="00E2267D">
        <w:rPr>
          <w:rFonts w:cs="Arial"/>
        </w:rPr>
        <w:t>Contrato de Trabajo Electrónico</w:t>
      </w:r>
      <w:r>
        <w:rPr>
          <w:rFonts w:cs="Arial"/>
        </w:rPr>
        <w:t>”</w:t>
      </w:r>
      <w:r w:rsidRPr="00E2267D">
        <w:rPr>
          <w:rFonts w:cs="Arial"/>
        </w:rPr>
        <w:t xml:space="preserve">, lo que implica hacer modificaciones en el portal electrónico </w:t>
      </w:r>
      <w:r>
        <w:rPr>
          <w:rFonts w:cs="Arial"/>
        </w:rPr>
        <w:t>“</w:t>
      </w:r>
      <w:r w:rsidRPr="00E2267D">
        <w:rPr>
          <w:rFonts w:cs="Arial"/>
        </w:rPr>
        <w:t>Mi DT</w:t>
      </w:r>
      <w:r>
        <w:rPr>
          <w:rFonts w:cs="Arial"/>
        </w:rPr>
        <w:t>”</w:t>
      </w:r>
      <w:r w:rsidRPr="00E2267D">
        <w:rPr>
          <w:rFonts w:cs="Arial"/>
        </w:rPr>
        <w:t>. Para esto, se necesitará contratar a 3 profesionales informáticos:</w:t>
      </w:r>
    </w:p>
    <w:p w14:paraId="681C19E0" w14:textId="77777777" w:rsidR="003879F9" w:rsidRPr="00E2267D" w:rsidRDefault="003879F9" w:rsidP="003879F9">
      <w:pPr>
        <w:ind w:firstLine="2835"/>
        <w:jc w:val="both"/>
        <w:rPr>
          <w:rFonts w:cs="Arial"/>
        </w:rPr>
      </w:pPr>
    </w:p>
    <w:p w14:paraId="19198EAE" w14:textId="77777777" w:rsidR="003879F9" w:rsidRPr="00E2267D" w:rsidRDefault="003879F9" w:rsidP="003879F9">
      <w:pPr>
        <w:ind w:firstLine="2835"/>
        <w:jc w:val="both"/>
        <w:rPr>
          <w:rFonts w:cs="Arial"/>
        </w:rPr>
      </w:pPr>
      <w:r>
        <w:rPr>
          <w:rFonts w:cs="Arial"/>
        </w:rPr>
        <w:t>-</w:t>
      </w:r>
      <w:r w:rsidRPr="00E2267D">
        <w:rPr>
          <w:rFonts w:cs="Arial"/>
        </w:rPr>
        <w:t xml:space="preserve"> Analista de </w:t>
      </w:r>
      <w:proofErr w:type="spellStart"/>
      <w:r w:rsidRPr="00E2267D">
        <w:rPr>
          <w:rFonts w:cs="Arial"/>
        </w:rPr>
        <w:t>Quality</w:t>
      </w:r>
      <w:proofErr w:type="spellEnd"/>
      <w:r w:rsidRPr="00E2267D">
        <w:rPr>
          <w:rFonts w:cs="Arial"/>
        </w:rPr>
        <w:t xml:space="preserve"> </w:t>
      </w:r>
      <w:proofErr w:type="spellStart"/>
      <w:r w:rsidRPr="00E2267D">
        <w:rPr>
          <w:rFonts w:cs="Arial"/>
        </w:rPr>
        <w:t>Assurance</w:t>
      </w:r>
      <w:proofErr w:type="spellEnd"/>
      <w:r w:rsidRPr="00E2267D">
        <w:rPr>
          <w:rFonts w:cs="Arial"/>
        </w:rPr>
        <w:t xml:space="preserve"> (300 Horas-Hombre)</w:t>
      </w:r>
    </w:p>
    <w:p w14:paraId="048356B2" w14:textId="77777777" w:rsidR="003879F9" w:rsidRPr="00E2267D" w:rsidRDefault="003879F9" w:rsidP="003879F9">
      <w:pPr>
        <w:ind w:firstLine="2835"/>
        <w:jc w:val="both"/>
        <w:rPr>
          <w:rFonts w:cs="Arial"/>
        </w:rPr>
      </w:pPr>
      <w:r>
        <w:rPr>
          <w:rFonts w:cs="Arial"/>
        </w:rPr>
        <w:t xml:space="preserve">- </w:t>
      </w:r>
      <w:r w:rsidRPr="00E2267D">
        <w:rPr>
          <w:rFonts w:cs="Arial"/>
        </w:rPr>
        <w:t>Desarrollador React.js (600 Horas-Hombre)</w:t>
      </w:r>
    </w:p>
    <w:p w14:paraId="3DA1A7F5" w14:textId="77777777" w:rsidR="003879F9" w:rsidRPr="00E2267D" w:rsidRDefault="003879F9" w:rsidP="003879F9">
      <w:pPr>
        <w:ind w:firstLine="2835"/>
        <w:jc w:val="both"/>
        <w:rPr>
          <w:rFonts w:cs="Arial"/>
        </w:rPr>
      </w:pPr>
      <w:r>
        <w:rPr>
          <w:rFonts w:cs="Arial"/>
        </w:rPr>
        <w:t xml:space="preserve">- </w:t>
      </w:r>
      <w:r w:rsidRPr="00E2267D">
        <w:rPr>
          <w:rFonts w:cs="Arial"/>
        </w:rPr>
        <w:t>Desarrollador.NET (600 Horas-Hombre)</w:t>
      </w:r>
    </w:p>
    <w:p w14:paraId="7DB52BCE" w14:textId="77777777" w:rsidR="003879F9" w:rsidRDefault="003879F9" w:rsidP="003879F9">
      <w:pPr>
        <w:ind w:firstLine="2835"/>
        <w:jc w:val="both"/>
        <w:rPr>
          <w:rFonts w:cs="Arial"/>
        </w:rPr>
      </w:pPr>
    </w:p>
    <w:p w14:paraId="2A5E7AD1" w14:textId="77777777" w:rsidR="003879F9" w:rsidRPr="00E2267D" w:rsidRDefault="003879F9" w:rsidP="003879F9">
      <w:pPr>
        <w:ind w:firstLine="2835"/>
        <w:jc w:val="both"/>
        <w:rPr>
          <w:rFonts w:cs="Arial"/>
        </w:rPr>
      </w:pPr>
      <w:r w:rsidRPr="00E2267D">
        <w:rPr>
          <w:rFonts w:cs="Arial"/>
        </w:rPr>
        <w:t xml:space="preserve">El costo de contratar estos profesionales asciende a </w:t>
      </w:r>
      <w:r w:rsidRPr="00E2267D">
        <w:rPr>
          <w:rFonts w:cs="Arial"/>
          <w:b/>
          <w:bCs/>
        </w:rPr>
        <w:t>$42.435 miles anuales</w:t>
      </w:r>
      <w:r w:rsidRPr="00E2267D">
        <w:rPr>
          <w:rFonts w:cs="Arial"/>
        </w:rPr>
        <w:t>.</w:t>
      </w:r>
    </w:p>
    <w:p w14:paraId="059A7CDF" w14:textId="77777777" w:rsidR="003879F9" w:rsidRDefault="003879F9" w:rsidP="003879F9">
      <w:pPr>
        <w:ind w:firstLine="2835"/>
        <w:jc w:val="both"/>
        <w:rPr>
          <w:rFonts w:cs="Arial"/>
        </w:rPr>
      </w:pPr>
    </w:p>
    <w:p w14:paraId="12B51B6E" w14:textId="77777777" w:rsidR="003879F9" w:rsidRDefault="003879F9" w:rsidP="003879F9">
      <w:pPr>
        <w:ind w:firstLine="2835"/>
        <w:jc w:val="both"/>
        <w:rPr>
          <w:rFonts w:cs="Arial"/>
        </w:rPr>
      </w:pPr>
      <w:r w:rsidRPr="00E2267D">
        <w:rPr>
          <w:rFonts w:cs="Arial"/>
        </w:rPr>
        <w:t xml:space="preserve">b. El gasto necesario para asegurar la sustentabilidad del Fondo de Cesantía Solidario será reintegrado al Fondo de Reserva de Pensiones en un plazo máximo de 10 años, con cargo al Fondo de Cesantía Solidario, por lo que el artículo 21° del proyecto de ley </w:t>
      </w:r>
      <w:r w:rsidRPr="001766E9">
        <w:rPr>
          <w:rFonts w:cs="Arial"/>
          <w:b/>
          <w:bCs/>
        </w:rPr>
        <w:t>no irrogará un mayor gasto fiscal</w:t>
      </w:r>
      <w:r w:rsidRPr="00E2267D">
        <w:rPr>
          <w:rFonts w:cs="Arial"/>
        </w:rPr>
        <w:t>. Sin perjuicio de lo anterior, la aplicación de esta disposición requerirá el retiro en la magnitud que defina un estudio actuaria</w:t>
      </w:r>
      <w:r>
        <w:rPr>
          <w:rFonts w:cs="Arial"/>
        </w:rPr>
        <w:t>l</w:t>
      </w:r>
      <w:r w:rsidRPr="00E2267D">
        <w:rPr>
          <w:rFonts w:cs="Arial"/>
        </w:rPr>
        <w:t xml:space="preserve"> desarrollado para este efecto, de hasta US$2.000 millones del Fondo de Reserva de Pensiones durante su primer año de vigencia. Lo anterior, representa transacciones entre activos financieros del fisco, por lo cual, no afecta su patrimonio neto.</w:t>
      </w:r>
    </w:p>
    <w:p w14:paraId="48EA0914" w14:textId="77777777" w:rsidR="003879F9" w:rsidRPr="00E2267D" w:rsidRDefault="003879F9" w:rsidP="003879F9">
      <w:pPr>
        <w:ind w:firstLine="2835"/>
        <w:jc w:val="both"/>
        <w:rPr>
          <w:rFonts w:cs="Arial"/>
        </w:rPr>
      </w:pPr>
    </w:p>
    <w:p w14:paraId="556B0DFE" w14:textId="77777777" w:rsidR="003879F9" w:rsidRPr="001766E9" w:rsidRDefault="003879F9" w:rsidP="003879F9">
      <w:pPr>
        <w:ind w:firstLine="2835"/>
        <w:jc w:val="both"/>
        <w:rPr>
          <w:rFonts w:cs="Arial"/>
          <w:b/>
          <w:bCs/>
        </w:rPr>
      </w:pPr>
      <w:r w:rsidRPr="001766E9">
        <w:rPr>
          <w:rFonts w:cs="Arial"/>
          <w:b/>
          <w:bCs/>
        </w:rPr>
        <w:t>De acuerdo a lo anterior, el presente proyecto de ley irrogará un mayor gasto fiscal de $42.435 miles anuales.</w:t>
      </w:r>
    </w:p>
    <w:p w14:paraId="0704BF4A" w14:textId="77777777" w:rsidR="003879F9" w:rsidRDefault="003879F9" w:rsidP="003879F9">
      <w:pPr>
        <w:ind w:firstLine="2835"/>
        <w:jc w:val="both"/>
        <w:rPr>
          <w:rFonts w:cs="Arial"/>
        </w:rPr>
      </w:pPr>
    </w:p>
    <w:p w14:paraId="7766FBC5" w14:textId="4378ECC8" w:rsidR="00175443" w:rsidRDefault="003879F9" w:rsidP="003879F9">
      <w:pPr>
        <w:ind w:firstLine="2835"/>
        <w:jc w:val="both"/>
        <w:rPr>
          <w:rFonts w:eastAsia="Courier New" w:cs="Arial"/>
          <w:color w:val="000000"/>
          <w:szCs w:val="24"/>
          <w:lang w:bidi="es-ES"/>
        </w:rPr>
      </w:pPr>
      <w:r w:rsidRPr="00E2267D">
        <w:rPr>
          <w:rFonts w:cs="Arial"/>
        </w:rPr>
        <w:t>El mayor gasto fiscal que represente la aplicación de esta ley durante el año presupuestario de su entrada en vigencia, se financiará con cargo a los recursos del Ministerio del Trabajo y Previsión Social y en lo que faltare, con cargo a la Partida Presupuestario Tesoro Público. En el año siguiente, se financiará con cargo a los recursos que anualmente contemple la Ley de Presupuestos del Sector Público.</w:t>
      </w:r>
      <w:r w:rsidR="00175443">
        <w:rPr>
          <w:noProof/>
        </w:rPr>
        <mc:AlternateContent>
          <mc:Choice Requires="wps">
            <w:drawing>
              <wp:anchor distT="0" distB="0" distL="63500" distR="63500" simplePos="0" relativeHeight="251658240" behindDoc="0" locked="0" layoutInCell="1" allowOverlap="1" wp14:anchorId="02E8E38E" wp14:editId="1EC54B42">
                <wp:simplePos x="0" y="0"/>
                <wp:positionH relativeFrom="margin">
                  <wp:posOffset>5117465</wp:posOffset>
                </wp:positionH>
                <wp:positionV relativeFrom="paragraph">
                  <wp:posOffset>8786495</wp:posOffset>
                </wp:positionV>
                <wp:extent cx="999490" cy="146050"/>
                <wp:effectExtent l="0" t="0" r="1016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46050"/>
                        </a:xfrm>
                        <a:prstGeom prst="rect">
                          <a:avLst/>
                        </a:prstGeom>
                        <a:noFill/>
                        <a:ln>
                          <a:noFill/>
                        </a:ln>
                      </wps:spPr>
                      <wps:txbx>
                        <w:txbxContent>
                          <w:p w14:paraId="1845940A" w14:textId="77777777" w:rsidR="00175443" w:rsidRDefault="00175443" w:rsidP="00175443">
                            <w:pPr>
                              <w:pStyle w:val="Cuerpodeltexto4"/>
                              <w:shd w:val="clear" w:color="auto" w:fill="auto"/>
                            </w:pPr>
                            <w:r>
                              <w:t>Página 4 de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8E38E" id="_x0000_t202" coordsize="21600,21600" o:spt="202" path="m,l,21600r21600,l21600,xe">
                <v:stroke joinstyle="miter"/>
                <v:path gradientshapeok="t" o:connecttype="rect"/>
              </v:shapetype>
              <v:shape id="Cuadro de texto 2" o:spid="_x0000_s1026" type="#_x0000_t202" style="position:absolute;left:0;text-align:left;margin-left:402.95pt;margin-top:691.85pt;width:78.7pt;height:11.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" filled="f" stroked="f">
                <v:textbox style="mso-fit-shape-to-text:t" inset="0,0,0,0">
                  <w:txbxContent>
                    <w:p w14:paraId="1845940A" w14:textId="77777777" w:rsidR="00175443" w:rsidRDefault="00175443" w:rsidP="00175443">
                      <w:pPr>
                        <w:pStyle w:val="Cuerpodeltexto4"/>
                        <w:shd w:val="clear" w:color="auto" w:fill="auto"/>
                      </w:pPr>
                      <w:r>
                        <w:t>Página 4 de 4</w:t>
                      </w:r>
                    </w:p>
                  </w:txbxContent>
                </v:textbox>
                <w10:wrap anchorx="margin"/>
              </v:shape>
            </w:pict>
          </mc:Fallback>
        </mc:AlternateContent>
      </w:r>
      <w:r w:rsidR="00175443" w:rsidRPr="00716D56">
        <w:rPr>
          <w:rFonts w:eastAsia="Courier New" w:cs="Arial"/>
          <w:color w:val="000000"/>
          <w:szCs w:val="24"/>
          <w:lang w:bidi="es-ES"/>
        </w:rPr>
        <w:t>”.</w:t>
      </w:r>
    </w:p>
    <w:p w14:paraId="11208B80" w14:textId="156A6F21" w:rsidR="00526D2E" w:rsidRDefault="00526D2E" w:rsidP="003879F9">
      <w:pPr>
        <w:ind w:firstLine="2835"/>
        <w:jc w:val="both"/>
        <w:rPr>
          <w:rFonts w:eastAsia="Courier New" w:cs="Arial"/>
          <w:color w:val="000000"/>
          <w:szCs w:val="24"/>
          <w:lang w:bidi="es-ES"/>
        </w:rPr>
      </w:pPr>
    </w:p>
    <w:p w14:paraId="2F35FD1C" w14:textId="77777777" w:rsidR="00526D2E" w:rsidRDefault="00526D2E" w:rsidP="003879F9">
      <w:pPr>
        <w:ind w:firstLine="2835"/>
        <w:jc w:val="both"/>
        <w:rPr>
          <w:rFonts w:eastAsia="Courier New" w:cs="Arial"/>
          <w:color w:val="000000"/>
          <w:szCs w:val="24"/>
          <w:lang w:bidi="es-ES"/>
        </w:rPr>
      </w:pPr>
    </w:p>
    <w:p w14:paraId="429CD37E" w14:textId="185F2EDE" w:rsidR="00526D2E" w:rsidRPr="00716D56" w:rsidRDefault="00526D2E" w:rsidP="00526D2E">
      <w:pPr>
        <w:tabs>
          <w:tab w:val="left" w:pos="0"/>
        </w:tabs>
        <w:ind w:firstLine="2880"/>
        <w:jc w:val="both"/>
        <w:rPr>
          <w:rFonts w:eastAsia="MS Mincho" w:cs="Arial"/>
          <w:szCs w:val="24"/>
        </w:rPr>
      </w:pPr>
      <w:r w:rsidRPr="00716D56">
        <w:rPr>
          <w:rFonts w:eastAsia="MS Mincho" w:cs="Arial"/>
          <w:szCs w:val="24"/>
        </w:rPr>
        <w:t xml:space="preserve">- La Dirección de Presupuestos emitió, </w:t>
      </w:r>
      <w:r>
        <w:rPr>
          <w:rFonts w:eastAsia="MS Mincho" w:cs="Arial"/>
          <w:szCs w:val="24"/>
        </w:rPr>
        <w:t>posteriormente</w:t>
      </w:r>
      <w:r w:rsidRPr="00716D56">
        <w:rPr>
          <w:rFonts w:eastAsia="MS Mincho" w:cs="Arial"/>
          <w:szCs w:val="24"/>
        </w:rPr>
        <w:t>, el informe financiero</w:t>
      </w:r>
      <w:r>
        <w:rPr>
          <w:rFonts w:eastAsia="MS Mincho" w:cs="Arial"/>
          <w:szCs w:val="24"/>
        </w:rPr>
        <w:t xml:space="preserve"> complementario</w:t>
      </w:r>
      <w:r w:rsidRPr="00716D56">
        <w:rPr>
          <w:rFonts w:eastAsia="MS Mincho" w:cs="Arial"/>
          <w:szCs w:val="24"/>
        </w:rPr>
        <w:t xml:space="preserve"> </w:t>
      </w:r>
      <w:proofErr w:type="spellStart"/>
      <w:r w:rsidRPr="00716D56">
        <w:rPr>
          <w:rFonts w:eastAsia="MS Mincho" w:cs="Arial"/>
          <w:szCs w:val="24"/>
        </w:rPr>
        <w:t>N°</w:t>
      </w:r>
      <w:proofErr w:type="spellEnd"/>
      <w:r w:rsidRPr="00716D56">
        <w:rPr>
          <w:rFonts w:eastAsia="MS Mincho" w:cs="Arial"/>
          <w:szCs w:val="24"/>
        </w:rPr>
        <w:t xml:space="preserve"> </w:t>
      </w:r>
      <w:r>
        <w:rPr>
          <w:rFonts w:eastAsia="MS Mincho" w:cs="Arial"/>
          <w:b/>
          <w:bCs/>
          <w:szCs w:val="24"/>
        </w:rPr>
        <w:t>50</w:t>
      </w:r>
      <w:r w:rsidRPr="00716D56">
        <w:rPr>
          <w:rFonts w:eastAsia="MS Mincho" w:cs="Arial"/>
          <w:szCs w:val="24"/>
        </w:rPr>
        <w:t xml:space="preserve">, de </w:t>
      </w:r>
      <w:r>
        <w:rPr>
          <w:rFonts w:eastAsia="MS Mincho" w:cs="Arial"/>
          <w:szCs w:val="24"/>
        </w:rPr>
        <w:t>2</w:t>
      </w:r>
      <w:r>
        <w:rPr>
          <w:rFonts w:eastAsia="MS Mincho" w:cs="Arial"/>
          <w:szCs w:val="24"/>
        </w:rPr>
        <w:t>6</w:t>
      </w:r>
      <w:r w:rsidRPr="00716D56">
        <w:rPr>
          <w:rFonts w:eastAsia="MS Mincho" w:cs="Arial"/>
          <w:szCs w:val="24"/>
        </w:rPr>
        <w:t xml:space="preserve"> de </w:t>
      </w:r>
      <w:r>
        <w:rPr>
          <w:rFonts w:eastAsia="MS Mincho" w:cs="Arial"/>
          <w:szCs w:val="24"/>
        </w:rPr>
        <w:t>marzo</w:t>
      </w:r>
      <w:r w:rsidRPr="00716D56">
        <w:rPr>
          <w:rFonts w:eastAsia="MS Mincho" w:cs="Arial"/>
          <w:szCs w:val="24"/>
        </w:rPr>
        <w:t xml:space="preserve"> de 20</w:t>
      </w:r>
      <w:r>
        <w:rPr>
          <w:rFonts w:eastAsia="MS Mincho" w:cs="Arial"/>
          <w:szCs w:val="24"/>
        </w:rPr>
        <w:t>20</w:t>
      </w:r>
      <w:r w:rsidRPr="00716D56">
        <w:rPr>
          <w:rFonts w:eastAsia="MS Mincho" w:cs="Arial"/>
          <w:szCs w:val="24"/>
        </w:rPr>
        <w:t>, que señala, de modo textual, lo siguiente:</w:t>
      </w:r>
    </w:p>
    <w:p w14:paraId="6258A5F6" w14:textId="7DE3B3F7" w:rsidR="00526D2E" w:rsidRDefault="00526D2E" w:rsidP="003879F9">
      <w:pPr>
        <w:ind w:firstLine="2835"/>
        <w:jc w:val="both"/>
        <w:rPr>
          <w:rFonts w:eastAsia="Courier New" w:cs="Arial"/>
          <w:color w:val="000000"/>
          <w:szCs w:val="24"/>
          <w:lang w:bidi="es-ES"/>
        </w:rPr>
      </w:pPr>
    </w:p>
    <w:p w14:paraId="17E873CB" w14:textId="20D3E658" w:rsidR="00526D2E" w:rsidRPr="00526D2E" w:rsidRDefault="00526D2E" w:rsidP="00526D2E">
      <w:pPr>
        <w:widowControl w:val="0"/>
        <w:ind w:firstLine="2835"/>
        <w:jc w:val="both"/>
        <w:rPr>
          <w:rFonts w:eastAsia="Courier New" w:cs="Arial"/>
          <w:b/>
          <w:bCs/>
          <w:color w:val="000000"/>
          <w:szCs w:val="24"/>
          <w:lang w:val="es-ES" w:eastAsia="es-ES" w:bidi="es-ES"/>
        </w:rPr>
      </w:pPr>
      <w:bookmarkStart w:id="2" w:name="bookmark3"/>
      <w:r w:rsidRPr="00526D2E">
        <w:rPr>
          <w:rFonts w:eastAsia="Courier New" w:cs="Arial"/>
          <w:color w:val="000000"/>
          <w:szCs w:val="24"/>
          <w:lang w:val="es-ES" w:eastAsia="es-ES" w:bidi="es-ES"/>
        </w:rPr>
        <w:t>“</w:t>
      </w:r>
      <w:r w:rsidRPr="00526D2E">
        <w:rPr>
          <w:rFonts w:eastAsia="Courier New" w:cs="Arial"/>
          <w:b/>
          <w:bCs/>
          <w:color w:val="000000"/>
          <w:szCs w:val="24"/>
          <w:lang w:val="es-ES" w:eastAsia="es-ES" w:bidi="es-ES"/>
        </w:rPr>
        <w:t>I. Antecedentes</w:t>
      </w:r>
      <w:bookmarkEnd w:id="2"/>
    </w:p>
    <w:p w14:paraId="4BAEF296"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119D350B"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El proyecto de ley establece medidas laborales en dirección a proteger a los trabajadores en atención a la crisis sanitaria y económica provocada por la enfermedad COVID-19, facultando el acceso a prestaciones del Seguro de Desempleo de la Ley 19.728.</w:t>
      </w:r>
    </w:p>
    <w:p w14:paraId="5708A496"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019EF42D"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 xml:space="preserve">Al respecto, se presentan las siguientes </w:t>
      </w:r>
      <w:r w:rsidRPr="00526D2E">
        <w:rPr>
          <w:rFonts w:eastAsia="Courier New" w:cs="Arial"/>
          <w:color w:val="000000"/>
          <w:szCs w:val="24"/>
          <w:lang w:val="es-ES" w:eastAsia="es-ES" w:bidi="es-ES"/>
        </w:rPr>
        <w:lastRenderedPageBreak/>
        <w:t>indicaciones del Mensaje 021-368:</w:t>
      </w:r>
    </w:p>
    <w:p w14:paraId="4A0A021E"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7D001356"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En relación al acceso extraordinario a las prestaciones de cesantía por efecto de la declaración o acto de autoridad que disponga la paralización de actividades, las principales materias abordadas por las indicaciones son:</w:t>
      </w:r>
    </w:p>
    <w:p w14:paraId="06F2B8C4"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28A6E7AF"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 xml:space="preserve">a. Se faculta a los trabajadores afiliados al Seguro de Desempleo de la Ley </w:t>
      </w:r>
      <w:proofErr w:type="spellStart"/>
      <w:r w:rsidRPr="00526D2E">
        <w:rPr>
          <w:rFonts w:eastAsia="Courier New" w:cs="Arial"/>
          <w:color w:val="000000"/>
          <w:szCs w:val="24"/>
          <w:lang w:val="es-ES" w:eastAsia="es-ES" w:bidi="es-ES"/>
        </w:rPr>
        <w:t>N°</w:t>
      </w:r>
      <w:proofErr w:type="spellEnd"/>
      <w:r w:rsidRPr="00526D2E">
        <w:rPr>
          <w:rFonts w:eastAsia="Courier New" w:cs="Arial"/>
          <w:color w:val="000000"/>
          <w:szCs w:val="24"/>
          <w:lang w:val="es-ES" w:eastAsia="es-ES" w:bidi="es-ES"/>
        </w:rPr>
        <w:t xml:space="preserve"> 19.728, que hayan paralizado sus actividades desde el 18 de marzo de 2020 hasta la entrada en vigencia de la ley, a acceder a la prestación establecida en título I.</w:t>
      </w:r>
    </w:p>
    <w:p w14:paraId="2612EC0F"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3EF6B9DD"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b. Se precisa el requisito de número de cotizaciones para acceder al beneficio ante paralización de actividades.</w:t>
      </w:r>
    </w:p>
    <w:p w14:paraId="1A4538E4"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6CA441FE"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c. Se faculta al trabajador para solicitar directamente el beneficio ante paralización de actividades, en caso de que no haya sido solicitado por el empleador.</w:t>
      </w:r>
    </w:p>
    <w:p w14:paraId="74848BD4"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1BF54D36"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d. Se precisa la aplicación del proyecto de ley ante el otorgamiento de licencias médicas.</w:t>
      </w:r>
    </w:p>
    <w:p w14:paraId="2C9FDA93"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0B90F799"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e. Se exceptúa del pago de cotización y comisiones a la Administradora de Fondos de Pensiones para los trabajadores que reciban esta prestación.</w:t>
      </w:r>
    </w:p>
    <w:p w14:paraId="537752EA"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23B4CCE7"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f. Se precisa durante la vigencia de la suspensión, el trabajador tendrá derecho a licencia médica, si corresponde, y a los subsidios por incapacidad laboral derivados de las mismas, conforme a lo dispuesto a las normas que rigen la materia.</w:t>
      </w:r>
    </w:p>
    <w:p w14:paraId="6A2570FD"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396C8728"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g. Se precisa el porcentaje de los giros que realizará la Administradora de Fondos de Pensiones de la cuenta del trabajador, para el tiempo que esté vigente la declaración de autoridad.</w:t>
      </w:r>
    </w:p>
    <w:p w14:paraId="1389DCEE"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2AED504F"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h. Se incluye un mecanismo de distribución en el tiempo de la indemnización a todo evento para trabajadores de casa particular.</w:t>
      </w:r>
    </w:p>
    <w:p w14:paraId="6D2EA2DD"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312AF305"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En cuanto al acceso de prestaciones del seguro de desempleo en relación a los pactos de reducción temporal de la jornada de trabajo, las principales materias abordadas por las indicaciones son:</w:t>
      </w:r>
    </w:p>
    <w:p w14:paraId="57B9CEAC"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0E3A7DBF"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i. Se prohíbe la contratación de trabajadores para reemplazar las labores de los que hayan suscrito el pacto.</w:t>
      </w:r>
    </w:p>
    <w:p w14:paraId="74F6B305"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373EAE38"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j. Se suprime el requisito de pérdida financiera para suscribir este pacto.</w:t>
      </w:r>
    </w:p>
    <w:p w14:paraId="7AAE674B"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0FBD96FE"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En relación a las disposiciones finales, las principales materias abordadas por las indicaciones son:</w:t>
      </w:r>
    </w:p>
    <w:p w14:paraId="775653BB"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45D71562"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k. Se modifican las sanciones establecidas en el proyecto de ley.</w:t>
      </w:r>
    </w:p>
    <w:p w14:paraId="675C3288"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570B74C1"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l. Se precisa que las cotizaciones al Seguro de Cesantía utilizadas para acceder a las prestaciones del proyecto de ley se contabilizarán para acceder a las prestaciones del Seguro de Cesantía.</w:t>
      </w:r>
    </w:p>
    <w:p w14:paraId="6D8AF8C9"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07772DB6"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m. Se autoriza a comprometer recursos fiscales para contribuir a la sustentabilidad del Fondo de Cesantía Solidario, en la magnitud que lo defina un estudio actuarial desarrollado para este efecto, el que no podrá ser superior a $2.000 millones dólares. Estos recursos deberán ser reintegrados al Fisco en un plazo máximo de 10 años.</w:t>
      </w:r>
    </w:p>
    <w:p w14:paraId="022147CF"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51CC7583"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n. Se amplía el monto de retiros permitidos del Fondo de Reserva de Pensiones para los años 2020 y 2021.</w:t>
      </w:r>
    </w:p>
    <w:p w14:paraId="2BC50DF7"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41B59260"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o. Se establece que la Sociedad Administradora de Fondos de Cesantía tendrá derecho a una retribución determinada en base a la estimación de la comisión por los recursos destinados al pago de las prestaciones contenidas en el proyecto de ley, menos la comisión que se habría aplicado de no haber existido la ley.</w:t>
      </w:r>
    </w:p>
    <w:p w14:paraId="6DBD37F3"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0F1865A2"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p. Se precisa que los trabajadores beneficiarios de la ley que Crea un Subsidio de cargo fiscal para trabajadoras y trabadores de bajas remuneraciones continuarán recibiendo este beneficio durante la duración de la suspensión de la relación laboral o reducción de temporal de jornada.</w:t>
      </w:r>
    </w:p>
    <w:p w14:paraId="35FFB12C"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2D3CBD1A" w14:textId="77777777" w:rsidR="00526D2E" w:rsidRPr="00526D2E" w:rsidRDefault="00526D2E" w:rsidP="00526D2E">
      <w:pPr>
        <w:widowControl w:val="0"/>
        <w:ind w:firstLine="2835"/>
        <w:jc w:val="both"/>
        <w:rPr>
          <w:rFonts w:eastAsia="Courier New" w:cs="Arial"/>
          <w:b/>
          <w:bCs/>
          <w:color w:val="000000"/>
          <w:szCs w:val="24"/>
          <w:lang w:val="es-ES" w:eastAsia="es-ES" w:bidi="es-ES"/>
        </w:rPr>
      </w:pPr>
      <w:bookmarkStart w:id="3" w:name="bookmark4"/>
      <w:r w:rsidRPr="00526D2E">
        <w:rPr>
          <w:rFonts w:eastAsia="Courier New" w:cs="Arial"/>
          <w:b/>
          <w:bCs/>
          <w:color w:val="000000"/>
          <w:szCs w:val="24"/>
          <w:lang w:val="es-ES" w:eastAsia="es-ES" w:bidi="es-ES"/>
        </w:rPr>
        <w:t>II. Efecto de las indicaciones sobre el Presupuesto Fiscal</w:t>
      </w:r>
      <w:bookmarkEnd w:id="3"/>
    </w:p>
    <w:p w14:paraId="0E2F594D"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4981A40E"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Las presentes indicaciones permiten ampliar el monto de retiros permitidos del Fondo de Reserva de Pensiones transitoriamente, durante 2020 y 2021, por un monto aproximado de $2.000 millones de dólares en ese período. Este mayor retiro aumenta para dichos años la cantidad de recursos disponibles en los Otros Activos de Tesoro Público, sin impactar en el patrimonio neto del Fisco pues el gasto considerado en la ley de presupuestos no varía con estas indicaciones.</w:t>
      </w:r>
    </w:p>
    <w:p w14:paraId="0D7F9910"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731FA478"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 xml:space="preserve">En lo relacionado al aporte al Fondo de Cesantía Solidario, por un máximo de $2.000 millones de dólares, monto que será determinado por un estudio actuarial, esto representa transacciones entre activos financieros del fisco, por lo cual, no afecta el patrimonio neto fiscal. </w:t>
      </w:r>
      <w:r w:rsidRPr="00526D2E">
        <w:rPr>
          <w:rFonts w:eastAsia="Courier New" w:cs="Arial"/>
          <w:color w:val="000000"/>
          <w:szCs w:val="24"/>
          <w:lang w:val="es-ES" w:eastAsia="es-ES" w:bidi="es-ES"/>
        </w:rPr>
        <w:lastRenderedPageBreak/>
        <w:t>Finalmente, al momento en que desde el Fondo de Cesantía Solidario se reintegren al Fisco los fondos aportados durante 2020, en un plazo máximo de diez años, estos se traducirán en reintegros o reembolsos. El monto total de reembolsos dependerá del monto aportado al Fondo de Cesantía Solidario (máximo $2.000 millones de dólares) y el plazo dependerá de cómo aumente el Fondo de Cesantía Solidario en los próximos años, con un máximo de diez años.</w:t>
      </w:r>
    </w:p>
    <w:p w14:paraId="1FF58F80"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2A8ED760" w14:textId="77777777" w:rsidR="00526D2E" w:rsidRPr="00526D2E" w:rsidRDefault="00526D2E" w:rsidP="00526D2E">
      <w:pPr>
        <w:widowControl w:val="0"/>
        <w:ind w:firstLine="2835"/>
        <w:jc w:val="both"/>
        <w:rPr>
          <w:rFonts w:eastAsia="Courier New" w:cs="Arial"/>
          <w:color w:val="000000"/>
          <w:szCs w:val="24"/>
          <w:lang w:val="es-ES" w:eastAsia="es-ES" w:bidi="es-ES"/>
        </w:rPr>
      </w:pPr>
      <w:r w:rsidRPr="00526D2E">
        <w:rPr>
          <w:rFonts w:eastAsia="Courier New" w:cs="Arial"/>
          <w:color w:val="000000"/>
          <w:szCs w:val="24"/>
          <w:lang w:val="es-ES" w:eastAsia="es-ES" w:bidi="es-ES"/>
        </w:rPr>
        <w:t>En relación a los beneficiarios de la ley que Crea un Subsidio de cargo fiscal para trabajadoras y trabadores de bajas remuneraciones, que producto de estas indicaciones, no se genera mayor gasto fiscal. Esto pues el universo de trabajadores que consideró la citada ley, contempló en su diseño original a todos quieres perciben ingresos laborales inferiores.</w:t>
      </w:r>
    </w:p>
    <w:p w14:paraId="44E9485B" w14:textId="77777777" w:rsidR="00526D2E" w:rsidRPr="00526D2E" w:rsidRDefault="00526D2E" w:rsidP="00526D2E">
      <w:pPr>
        <w:widowControl w:val="0"/>
        <w:ind w:firstLine="2835"/>
        <w:jc w:val="both"/>
        <w:rPr>
          <w:rFonts w:eastAsia="Courier New" w:cs="Arial"/>
          <w:color w:val="000000"/>
          <w:szCs w:val="24"/>
          <w:lang w:val="es-ES" w:eastAsia="es-ES" w:bidi="es-ES"/>
        </w:rPr>
      </w:pPr>
    </w:p>
    <w:p w14:paraId="448993AA" w14:textId="11DA6049" w:rsidR="00526D2E" w:rsidRPr="00526D2E" w:rsidRDefault="00526D2E" w:rsidP="00526D2E">
      <w:pPr>
        <w:widowControl w:val="0"/>
        <w:ind w:firstLine="2835"/>
        <w:jc w:val="both"/>
        <w:rPr>
          <w:rFonts w:eastAsia="Courier New" w:cs="Arial"/>
          <w:b/>
          <w:bCs/>
          <w:color w:val="000000"/>
          <w:szCs w:val="24"/>
          <w:lang w:val="es-ES" w:eastAsia="es-ES" w:bidi="es-ES"/>
        </w:rPr>
      </w:pPr>
      <w:bookmarkStart w:id="4" w:name="bookmark5"/>
      <w:r w:rsidRPr="00526D2E">
        <w:rPr>
          <w:rFonts w:eastAsia="Courier New" w:cs="Arial"/>
          <w:b/>
          <w:bCs/>
          <w:color w:val="000000"/>
          <w:szCs w:val="24"/>
          <w:lang w:val="es-ES" w:eastAsia="es-ES" w:bidi="es-ES"/>
        </w:rPr>
        <w:t>Por lo tanto, las modificaciones que se presentan a través de estas indicaciones, no irrogan un mayor gasto fiscal.</w:t>
      </w:r>
      <w:bookmarkEnd w:id="4"/>
      <w:r w:rsidRPr="00526D2E">
        <w:rPr>
          <w:rFonts w:eastAsia="Courier New" w:cs="Arial"/>
          <w:color w:val="000000"/>
          <w:szCs w:val="24"/>
          <w:lang w:val="es-ES" w:eastAsia="es-ES" w:bidi="es-ES"/>
        </w:rPr>
        <w:t>”.</w:t>
      </w:r>
    </w:p>
    <w:p w14:paraId="6CF2BAF8" w14:textId="77777777" w:rsidR="00526D2E" w:rsidRPr="00526D2E" w:rsidRDefault="00526D2E" w:rsidP="00526D2E">
      <w:pPr>
        <w:widowControl w:val="0"/>
        <w:ind w:firstLine="2835"/>
        <w:jc w:val="both"/>
        <w:rPr>
          <w:rFonts w:eastAsia="Courier New" w:cs="Arial"/>
          <w:b/>
          <w:bCs/>
          <w:color w:val="000000"/>
          <w:szCs w:val="24"/>
          <w:lang w:val="es-ES" w:eastAsia="es-ES" w:bidi="es-ES"/>
        </w:rPr>
      </w:pPr>
    </w:p>
    <w:p w14:paraId="4E2D7CDF" w14:textId="77777777" w:rsidR="003879F9" w:rsidRDefault="003879F9" w:rsidP="009D4F3F">
      <w:pPr>
        <w:ind w:firstLine="2835"/>
        <w:jc w:val="both"/>
        <w:rPr>
          <w:rFonts w:eastAsia="Times New Roman" w:cs="Arial"/>
          <w:szCs w:val="24"/>
          <w:lang w:eastAsia="es-ES"/>
        </w:rPr>
      </w:pPr>
    </w:p>
    <w:p w14:paraId="42D56BB1" w14:textId="3E888D06" w:rsidR="00175443" w:rsidRPr="00716D56" w:rsidRDefault="00175443" w:rsidP="00175443">
      <w:pPr>
        <w:autoSpaceDE w:val="0"/>
        <w:autoSpaceDN w:val="0"/>
        <w:ind w:firstLine="2835"/>
        <w:jc w:val="both"/>
        <w:rPr>
          <w:rFonts w:eastAsia="Calibri" w:cs="Arial"/>
          <w:szCs w:val="24"/>
          <w:lang w:val="es-ES_tradnl"/>
        </w:rPr>
      </w:pPr>
      <w:r w:rsidRPr="00716D56">
        <w:rPr>
          <w:rFonts w:eastAsia="Calibri" w:cs="Arial"/>
          <w:szCs w:val="24"/>
          <w:lang w:val="es-ES_tradnl"/>
        </w:rPr>
        <w:t>Se deja constancia de</w:t>
      </w:r>
      <w:r w:rsidR="001A03C9">
        <w:rPr>
          <w:rFonts w:eastAsia="Calibri" w:cs="Arial"/>
          <w:szCs w:val="24"/>
          <w:lang w:val="es-ES_tradnl"/>
        </w:rPr>
        <w:t xml:space="preserve"> </w:t>
      </w:r>
      <w:r w:rsidRPr="00716D56">
        <w:rPr>
          <w:rFonts w:eastAsia="Calibri" w:cs="Arial"/>
          <w:szCs w:val="24"/>
          <w:lang w:val="es-ES_tradnl"/>
        </w:rPr>
        <w:t>l</w:t>
      </w:r>
      <w:r w:rsidR="001A03C9">
        <w:rPr>
          <w:rFonts w:eastAsia="Calibri" w:cs="Arial"/>
          <w:szCs w:val="24"/>
          <w:lang w:val="es-ES_tradnl"/>
        </w:rPr>
        <w:t>os</w:t>
      </w:r>
      <w:r w:rsidRPr="00716D56">
        <w:rPr>
          <w:rFonts w:eastAsia="Calibri" w:cs="Arial"/>
          <w:szCs w:val="24"/>
          <w:lang w:val="es-ES_tradnl"/>
        </w:rPr>
        <w:t xml:space="preserve"> precedente</w:t>
      </w:r>
      <w:r w:rsidR="001A03C9">
        <w:rPr>
          <w:rFonts w:eastAsia="Calibri" w:cs="Arial"/>
          <w:szCs w:val="24"/>
          <w:lang w:val="es-ES_tradnl"/>
        </w:rPr>
        <w:t>s</w:t>
      </w:r>
      <w:r w:rsidRPr="00716D56">
        <w:rPr>
          <w:rFonts w:eastAsia="Calibri" w:cs="Arial"/>
          <w:szCs w:val="24"/>
          <w:lang w:val="es-ES_tradnl"/>
        </w:rPr>
        <w:t xml:space="preserve"> informe</w:t>
      </w:r>
      <w:r w:rsidR="001A03C9">
        <w:rPr>
          <w:rFonts w:eastAsia="Calibri" w:cs="Arial"/>
          <w:szCs w:val="24"/>
          <w:lang w:val="es-ES_tradnl"/>
        </w:rPr>
        <w:t>s</w:t>
      </w:r>
      <w:r w:rsidRPr="00716D56">
        <w:rPr>
          <w:rFonts w:eastAsia="Calibri" w:cs="Arial"/>
          <w:szCs w:val="24"/>
          <w:lang w:val="es-ES_tradnl"/>
        </w:rPr>
        <w:t xml:space="preserve"> financiero</w:t>
      </w:r>
      <w:r w:rsidR="001A03C9">
        <w:rPr>
          <w:rFonts w:eastAsia="Calibri" w:cs="Arial"/>
          <w:szCs w:val="24"/>
          <w:lang w:val="es-ES_tradnl"/>
        </w:rPr>
        <w:t>s</w:t>
      </w:r>
      <w:bookmarkStart w:id="5" w:name="_GoBack"/>
      <w:bookmarkEnd w:id="5"/>
      <w:r w:rsidRPr="00716D56">
        <w:rPr>
          <w:rFonts w:eastAsia="Calibri" w:cs="Arial"/>
          <w:szCs w:val="24"/>
          <w:lang w:val="es-ES_tradnl"/>
        </w:rPr>
        <w:t>, en cumplimiento de lo dispuesto en el artículo 17, inciso segundo, de la Ley Orgánica Constitucional del Congreso Nacional.</w:t>
      </w:r>
    </w:p>
    <w:p w14:paraId="351D5F15" w14:textId="77777777" w:rsidR="00175443" w:rsidRPr="00175443" w:rsidRDefault="00175443" w:rsidP="009D4F3F">
      <w:pPr>
        <w:ind w:firstLine="2835"/>
        <w:jc w:val="both"/>
        <w:rPr>
          <w:rFonts w:eastAsia="Times New Roman" w:cs="Arial"/>
          <w:szCs w:val="24"/>
          <w:lang w:eastAsia="es-ES"/>
        </w:rPr>
      </w:pPr>
    </w:p>
    <w:p w14:paraId="6730470E" w14:textId="77777777" w:rsidR="009D4F3F" w:rsidRPr="009D4F3F" w:rsidRDefault="009D4F3F" w:rsidP="009D4F3F">
      <w:pPr>
        <w:tabs>
          <w:tab w:val="left" w:pos="2835"/>
        </w:tabs>
        <w:jc w:val="center"/>
        <w:rPr>
          <w:rFonts w:eastAsia="Times New Roman" w:cs="Times New Roman"/>
          <w:b/>
          <w:szCs w:val="24"/>
          <w:lang w:val="es-ES_tradnl" w:eastAsia="es-ES"/>
        </w:rPr>
      </w:pPr>
      <w:r w:rsidRPr="009D4F3F">
        <w:rPr>
          <w:rFonts w:eastAsia="Times New Roman" w:cs="Times New Roman"/>
          <w:b/>
          <w:szCs w:val="24"/>
          <w:lang w:val="es-ES_tradnl" w:eastAsia="es-ES"/>
        </w:rPr>
        <w:t>- - -</w:t>
      </w:r>
    </w:p>
    <w:p w14:paraId="4222D707" w14:textId="77777777" w:rsidR="009D4F3F" w:rsidRPr="009D4F3F" w:rsidRDefault="009D4F3F" w:rsidP="009D4F3F">
      <w:pPr>
        <w:tabs>
          <w:tab w:val="left" w:pos="2835"/>
        </w:tabs>
        <w:jc w:val="center"/>
        <w:rPr>
          <w:rFonts w:eastAsia="Times New Roman" w:cs="Times New Roman"/>
          <w:b/>
          <w:szCs w:val="24"/>
          <w:lang w:val="es-ES_tradnl" w:eastAsia="es-ES"/>
        </w:rPr>
      </w:pPr>
    </w:p>
    <w:p w14:paraId="4D9FF372" w14:textId="77777777" w:rsidR="009D4F3F" w:rsidRPr="009D4F3F" w:rsidRDefault="009D4F3F" w:rsidP="009D4F3F">
      <w:pPr>
        <w:tabs>
          <w:tab w:val="left" w:pos="0"/>
        </w:tabs>
        <w:jc w:val="center"/>
        <w:rPr>
          <w:rFonts w:eastAsia="Times New Roman" w:cs="Arial"/>
          <w:b/>
          <w:szCs w:val="24"/>
          <w:lang w:val="es-ES_tradnl" w:eastAsia="es-ES"/>
        </w:rPr>
      </w:pPr>
      <w:r w:rsidRPr="009D4F3F">
        <w:rPr>
          <w:rFonts w:eastAsia="Times New Roman" w:cs="Arial"/>
          <w:b/>
          <w:szCs w:val="24"/>
          <w:lang w:val="es-ES_tradnl" w:eastAsia="es-ES"/>
        </w:rPr>
        <w:t>TEXTO DEL PROYECTO</w:t>
      </w:r>
    </w:p>
    <w:p w14:paraId="0C4B3655" w14:textId="77777777" w:rsidR="009D4F3F" w:rsidRPr="009D4F3F" w:rsidRDefault="009D4F3F" w:rsidP="009D4F3F">
      <w:pPr>
        <w:tabs>
          <w:tab w:val="left" w:pos="2835"/>
        </w:tabs>
        <w:jc w:val="both"/>
        <w:rPr>
          <w:rFonts w:eastAsia="Times New Roman" w:cs="Arial"/>
          <w:szCs w:val="24"/>
          <w:lang w:val="es-ES_tradnl" w:eastAsia="es-ES"/>
        </w:rPr>
      </w:pPr>
      <w:r w:rsidRPr="009D4F3F">
        <w:rPr>
          <w:rFonts w:eastAsia="Times New Roman" w:cs="Arial"/>
          <w:szCs w:val="24"/>
          <w:lang w:val="es-ES_tradnl" w:eastAsia="es-ES"/>
        </w:rPr>
        <w:t xml:space="preserve"> </w:t>
      </w:r>
      <w:r w:rsidRPr="009D4F3F">
        <w:rPr>
          <w:rFonts w:eastAsia="Times New Roman" w:cs="Arial"/>
          <w:szCs w:val="24"/>
          <w:lang w:val="es-ES_tradnl" w:eastAsia="es-ES"/>
        </w:rPr>
        <w:tab/>
      </w:r>
    </w:p>
    <w:p w14:paraId="3C700D28" w14:textId="0C67BA43" w:rsidR="009D4F3F" w:rsidRPr="009D4F3F" w:rsidRDefault="009D4F3F" w:rsidP="009D4F3F">
      <w:pPr>
        <w:tabs>
          <w:tab w:val="left" w:pos="2835"/>
        </w:tabs>
        <w:jc w:val="both"/>
        <w:rPr>
          <w:rFonts w:eastAsia="Times New Roman" w:cs="Times New Roman"/>
          <w:spacing w:val="-3"/>
          <w:szCs w:val="24"/>
          <w:lang w:val="es-ES_tradnl" w:eastAsia="es-ES"/>
        </w:rPr>
      </w:pPr>
      <w:r w:rsidRPr="009D4F3F">
        <w:rPr>
          <w:rFonts w:eastAsia="Times New Roman" w:cs="Times New Roman"/>
          <w:spacing w:val="-3"/>
          <w:szCs w:val="24"/>
          <w:lang w:val="es-ES_tradnl" w:eastAsia="es-ES"/>
        </w:rPr>
        <w:tab/>
        <w:t>En mérito del acuerdo precedentemente expuesto, vuestra Comisión de Hacienda tiene el honor de proponer la aprobación del proyecto de ley en informe</w:t>
      </w:r>
      <w:r w:rsidRPr="00526D2E">
        <w:rPr>
          <w:rFonts w:eastAsia="Times New Roman" w:cs="Times New Roman"/>
          <w:spacing w:val="-3"/>
          <w:szCs w:val="24"/>
          <w:lang w:val="es-ES_tradnl" w:eastAsia="es-ES"/>
        </w:rPr>
        <w:t>,</w:t>
      </w:r>
      <w:r w:rsidR="00175443" w:rsidRPr="00526D2E">
        <w:rPr>
          <w:rFonts w:eastAsia="Times New Roman" w:cs="Times New Roman"/>
          <w:spacing w:val="-3"/>
          <w:szCs w:val="24"/>
          <w:lang w:val="es-ES_tradnl" w:eastAsia="es-ES"/>
        </w:rPr>
        <w:t xml:space="preserve"> en los mismos términos en que fue despachado por la Comisión de </w:t>
      </w:r>
      <w:r w:rsidR="003879F9" w:rsidRPr="00526D2E">
        <w:rPr>
          <w:rFonts w:eastAsia="Times New Roman" w:cs="Times New Roman"/>
          <w:spacing w:val="-3"/>
          <w:szCs w:val="24"/>
          <w:lang w:eastAsia="es-ES"/>
        </w:rPr>
        <w:t>Trabajo y Previsión Social</w:t>
      </w:r>
      <w:r w:rsidR="00175443">
        <w:rPr>
          <w:rFonts w:eastAsia="Times New Roman" w:cs="Times New Roman"/>
          <w:spacing w:val="-3"/>
          <w:szCs w:val="24"/>
          <w:lang w:val="es-ES_tradnl" w:eastAsia="es-ES"/>
        </w:rPr>
        <w:t>,</w:t>
      </w:r>
      <w:r w:rsidRPr="009D4F3F">
        <w:rPr>
          <w:rFonts w:eastAsia="Times New Roman" w:cs="Times New Roman"/>
          <w:spacing w:val="-3"/>
          <w:szCs w:val="24"/>
          <w:lang w:val="es-ES_tradnl" w:eastAsia="es-ES"/>
        </w:rPr>
        <w:t xml:space="preserve"> cuyo texto es el siguiente:</w:t>
      </w:r>
    </w:p>
    <w:p w14:paraId="0E422660" w14:textId="77777777" w:rsidR="00175443" w:rsidRDefault="00175443" w:rsidP="009D4F3F">
      <w:pPr>
        <w:keepNext/>
        <w:tabs>
          <w:tab w:val="left" w:pos="2835"/>
        </w:tabs>
        <w:jc w:val="center"/>
        <w:outlineLvl w:val="0"/>
        <w:rPr>
          <w:rFonts w:eastAsia="Times New Roman" w:cs="Times New Roman"/>
          <w:b/>
          <w:szCs w:val="24"/>
          <w:lang w:val="es-ES_tradnl" w:eastAsia="es-ES"/>
        </w:rPr>
      </w:pPr>
    </w:p>
    <w:p w14:paraId="1CE76313" w14:textId="0955C2AD" w:rsidR="009D4F3F" w:rsidRPr="000B65C6" w:rsidRDefault="009D4F3F" w:rsidP="009D4F3F">
      <w:pPr>
        <w:keepNext/>
        <w:tabs>
          <w:tab w:val="left" w:pos="2835"/>
        </w:tabs>
        <w:jc w:val="center"/>
        <w:outlineLvl w:val="0"/>
        <w:rPr>
          <w:rFonts w:eastAsia="Times New Roman" w:cs="Times New Roman"/>
          <w:bCs/>
          <w:szCs w:val="24"/>
          <w:lang w:val="es-ES_tradnl" w:eastAsia="es-ES"/>
        </w:rPr>
      </w:pPr>
      <w:r w:rsidRPr="000B65C6">
        <w:rPr>
          <w:rFonts w:eastAsia="Times New Roman" w:cs="Times New Roman"/>
          <w:bCs/>
          <w:szCs w:val="24"/>
          <w:lang w:val="es-ES_tradnl" w:eastAsia="es-ES"/>
        </w:rPr>
        <w:t>PROYECTO DE LEY</w:t>
      </w:r>
    </w:p>
    <w:p w14:paraId="73D09821" w14:textId="77777777" w:rsidR="009D4F3F" w:rsidRPr="009D4F3F" w:rsidRDefault="009D4F3F" w:rsidP="009D4F3F">
      <w:pPr>
        <w:jc w:val="both"/>
        <w:rPr>
          <w:rFonts w:eastAsia="Arial Unicode MS" w:cs="Arial"/>
          <w:szCs w:val="24"/>
          <w:lang w:val="es-ES" w:eastAsia="es-ES"/>
        </w:rPr>
      </w:pPr>
    </w:p>
    <w:p w14:paraId="4147E744" w14:textId="18567DF9" w:rsidR="00526D2E" w:rsidRPr="003A2507" w:rsidRDefault="00526D2E" w:rsidP="00526D2E">
      <w:pPr>
        <w:jc w:val="center"/>
        <w:rPr>
          <w:rFonts w:eastAsia="Times New Roman"/>
          <w:szCs w:val="20"/>
          <w:lang w:eastAsia="es-ES"/>
        </w:rPr>
      </w:pPr>
      <w:r w:rsidRPr="003A2507">
        <w:rPr>
          <w:rFonts w:eastAsia="Times New Roman"/>
          <w:szCs w:val="20"/>
          <w:lang w:eastAsia="es-ES"/>
        </w:rPr>
        <w:t>“Título I</w:t>
      </w:r>
    </w:p>
    <w:p w14:paraId="7E7FF1F1" w14:textId="77777777" w:rsidR="00526D2E" w:rsidRPr="003A2507" w:rsidRDefault="00526D2E" w:rsidP="00526D2E">
      <w:pPr>
        <w:jc w:val="center"/>
        <w:rPr>
          <w:rFonts w:eastAsia="Times New Roman"/>
          <w:szCs w:val="20"/>
          <w:lang w:eastAsia="es-ES"/>
        </w:rPr>
      </w:pPr>
      <w:r w:rsidRPr="003A2507">
        <w:rPr>
          <w:rFonts w:eastAsia="Times New Roman"/>
          <w:szCs w:val="20"/>
          <w:lang w:eastAsia="es-ES"/>
        </w:rPr>
        <w:t>Efectos laborales de la enfermedad COVID-19</w:t>
      </w:r>
    </w:p>
    <w:p w14:paraId="0D71AD61" w14:textId="77777777" w:rsidR="00526D2E" w:rsidRPr="003A2507" w:rsidRDefault="00526D2E" w:rsidP="00526D2E">
      <w:pPr>
        <w:jc w:val="both"/>
        <w:rPr>
          <w:rFonts w:eastAsia="Times New Roman"/>
          <w:szCs w:val="20"/>
          <w:lang w:eastAsia="es-ES"/>
        </w:rPr>
      </w:pPr>
    </w:p>
    <w:p w14:paraId="5D151B68"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Artículo 1.- En el evento </w:t>
      </w:r>
      <w:r>
        <w:rPr>
          <w:rFonts w:eastAsia="Times New Roman"/>
          <w:szCs w:val="20"/>
          <w:lang w:eastAsia="es-ES"/>
        </w:rPr>
        <w:t xml:space="preserve">de </w:t>
      </w:r>
      <w:r w:rsidRPr="003A2507">
        <w:rPr>
          <w:rFonts w:eastAsia="Times New Roman"/>
          <w:szCs w:val="20"/>
          <w:lang w:eastAsia="es-ES"/>
        </w:rPr>
        <w:t xml:space="preserve">que exista un acto o declaración de la autoridad competente que establezca medidas sanitarias o de seguridad interior para el control de la enfermedad denominada COVID-19, que impliquen la paralización de actividades en todo o parte del territorio del país y que impida o prohíba totalmente la prestación de los servicios contratados, los trabajadores afiliados al </w:t>
      </w:r>
      <w:r>
        <w:rPr>
          <w:rFonts w:eastAsia="Times New Roman"/>
          <w:szCs w:val="20"/>
          <w:lang w:eastAsia="es-ES"/>
        </w:rPr>
        <w:t>s</w:t>
      </w:r>
      <w:r w:rsidRPr="003A2507">
        <w:rPr>
          <w:rFonts w:eastAsia="Times New Roman"/>
          <w:szCs w:val="20"/>
          <w:lang w:eastAsia="es-ES"/>
        </w:rPr>
        <w:t xml:space="preserve">eguro de </w:t>
      </w:r>
      <w:r>
        <w:rPr>
          <w:rFonts w:eastAsia="Times New Roman"/>
          <w:szCs w:val="20"/>
          <w:lang w:eastAsia="es-ES"/>
        </w:rPr>
        <w:t>d</w:t>
      </w:r>
      <w:r w:rsidRPr="003A2507">
        <w:rPr>
          <w:rFonts w:eastAsia="Times New Roman"/>
          <w:szCs w:val="20"/>
          <w:lang w:eastAsia="es-ES"/>
        </w:rPr>
        <w:t xml:space="preserve">esempleo de la ley N°19.728 que cumplan con las condiciones establecidas en el presente </w:t>
      </w:r>
      <w:r>
        <w:rPr>
          <w:rFonts w:eastAsia="Times New Roman"/>
          <w:szCs w:val="20"/>
          <w:lang w:eastAsia="es-ES"/>
        </w:rPr>
        <w:t>T</w:t>
      </w:r>
      <w:r w:rsidRPr="003A2507">
        <w:rPr>
          <w:rFonts w:eastAsia="Times New Roman"/>
          <w:szCs w:val="20"/>
          <w:lang w:eastAsia="es-ES"/>
        </w:rPr>
        <w:t xml:space="preserve">ítulo, excepcionalmente tendrán derecho a la prestación que establecen los artículos </w:t>
      </w:r>
      <w:r w:rsidRPr="003A2507">
        <w:rPr>
          <w:rFonts w:eastAsia="Times New Roman"/>
          <w:szCs w:val="20"/>
          <w:lang w:eastAsia="es-ES"/>
        </w:rPr>
        <w:lastRenderedPageBreak/>
        <w:t xml:space="preserve">15 y 25 de dicha ley, según corresponda, en las condiciones que se indican en los artículos siguientes.  </w:t>
      </w:r>
    </w:p>
    <w:p w14:paraId="0DC95554" w14:textId="77777777" w:rsidR="00526D2E" w:rsidRPr="003A2507" w:rsidRDefault="00526D2E" w:rsidP="00526D2E">
      <w:pPr>
        <w:jc w:val="both"/>
        <w:rPr>
          <w:rFonts w:eastAsia="Times New Roman"/>
          <w:szCs w:val="20"/>
          <w:lang w:eastAsia="es-ES"/>
        </w:rPr>
      </w:pPr>
    </w:p>
    <w:p w14:paraId="7FDB243F"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Para los efectos de acceder a la prestación señalada en el inciso anterior, el Subsecretario de Hacienda, deberá dictar una resolución fundada en la que señalará la zona o territorio afectado de conformidad a los efectos del acto o declaración de autoridad a que se refiere el inciso primero y, en su caso, las actividades o establecimientos exceptuados de la paralización de actividades. Dicha resolución deberá además ser suscrita por el Subsecretario del Trabajo, previa </w:t>
      </w:r>
      <w:proofErr w:type="spellStart"/>
      <w:r w:rsidRPr="003A2507">
        <w:rPr>
          <w:rFonts w:eastAsia="Times New Roman"/>
          <w:szCs w:val="20"/>
          <w:lang w:eastAsia="es-ES"/>
        </w:rPr>
        <w:t>visación</w:t>
      </w:r>
      <w:proofErr w:type="spellEnd"/>
      <w:r w:rsidRPr="003A2507">
        <w:rPr>
          <w:rFonts w:eastAsia="Times New Roman"/>
          <w:szCs w:val="20"/>
          <w:lang w:eastAsia="es-ES"/>
        </w:rPr>
        <w:t xml:space="preserve"> del Director de Presupuestos. Esta resolución estará vigente durante el mismo período de las medidas indicadas en el inciso anterior.</w:t>
      </w:r>
    </w:p>
    <w:p w14:paraId="150A6F96" w14:textId="77777777" w:rsidR="00526D2E" w:rsidRPr="003A2507" w:rsidRDefault="00526D2E" w:rsidP="00526D2E">
      <w:pPr>
        <w:jc w:val="both"/>
        <w:rPr>
          <w:rFonts w:eastAsia="Times New Roman"/>
          <w:szCs w:val="20"/>
          <w:lang w:eastAsia="es-ES"/>
        </w:rPr>
      </w:pPr>
    </w:p>
    <w:p w14:paraId="4C679A25"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No podrá acceder a la prestación señalada en el inciso primero, el trabajador que, al momento de dictarse el acto o la declaración de la autoridad, hubiere suscrito con su empleador un pacto que permita asegurar la continuidad de la prestación de los servicios durante la vigencia de este evento incluidos aquellos a los que se refiere el Título II de la presente ley, y que implique continuar recibiendo todo o parte de su remuneración mensual. Tampoco podrá acceder el trabajador que, en este mismo período, perciba subsidio por incapacidad laboral, cualquiera sea la naturaleza de la licencia médica o motivo de salud que le dio origen, durante el tiempo en que perciba dicho subsidio. </w:t>
      </w:r>
    </w:p>
    <w:p w14:paraId="3D915050" w14:textId="77777777" w:rsidR="00526D2E" w:rsidRPr="003A2507" w:rsidRDefault="00526D2E" w:rsidP="00526D2E">
      <w:pPr>
        <w:jc w:val="both"/>
        <w:rPr>
          <w:rFonts w:eastAsia="Times New Roman"/>
          <w:szCs w:val="20"/>
          <w:lang w:eastAsia="es-ES"/>
        </w:rPr>
      </w:pPr>
    </w:p>
    <w:p w14:paraId="0AC2E2DC" w14:textId="77777777" w:rsidR="00526D2E" w:rsidRPr="006B49EA"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6B49EA">
        <w:rPr>
          <w:rFonts w:eastAsia="Times New Roman"/>
          <w:b/>
          <w:bCs/>
          <w:szCs w:val="20"/>
          <w:lang w:eastAsia="es-ES"/>
        </w:rPr>
        <w:t xml:space="preserve">En el período comprendido entre la declaración de Estado de Catástrofe, por calamidad pública, de fecha 18 de marzo de 2020, en virtud del decreto supremo </w:t>
      </w:r>
      <w:proofErr w:type="spellStart"/>
      <w:r w:rsidRPr="006B49EA">
        <w:rPr>
          <w:rFonts w:eastAsia="Times New Roman"/>
          <w:b/>
          <w:bCs/>
          <w:szCs w:val="20"/>
          <w:lang w:eastAsia="es-ES"/>
        </w:rPr>
        <w:t>Nº</w:t>
      </w:r>
      <w:proofErr w:type="spellEnd"/>
      <w:r w:rsidRPr="006B49EA">
        <w:rPr>
          <w:rFonts w:eastAsia="Times New Roman"/>
          <w:b/>
          <w:bCs/>
          <w:szCs w:val="20"/>
          <w:lang w:eastAsia="es-ES"/>
        </w:rPr>
        <w:t xml:space="preserve"> 104, del Ministerio del Interior y de Seguridad Pública, y la entrada en vigencia de la presente ley, los trabajadores afiliados al Seguro de Desempleo de la ley </w:t>
      </w:r>
      <w:proofErr w:type="spellStart"/>
      <w:r w:rsidRPr="006B49EA">
        <w:rPr>
          <w:rFonts w:eastAsia="Times New Roman"/>
          <w:b/>
          <w:bCs/>
          <w:szCs w:val="20"/>
          <w:lang w:eastAsia="es-ES"/>
        </w:rPr>
        <w:t>N°</w:t>
      </w:r>
      <w:proofErr w:type="spellEnd"/>
      <w:r w:rsidRPr="006B49EA">
        <w:rPr>
          <w:rFonts w:eastAsia="Times New Roman"/>
          <w:b/>
          <w:bCs/>
          <w:szCs w:val="20"/>
          <w:lang w:eastAsia="es-ES"/>
        </w:rPr>
        <w:t xml:space="preserve"> 19.728, cuyos empleadores hayan tenido que paralizar sus actividades por mutuo acuerdo o a consecuencia de un acto o declaración de autoridad o que hayan pactado la continuidad de la prestación de los servicios, podrán acceder a las prestaciones establecidas en el presente título, una vez dictada la respectiva resolución a la que se refiere el inciso segundo de este artículo.</w:t>
      </w:r>
    </w:p>
    <w:p w14:paraId="7185C492" w14:textId="77777777" w:rsidR="00526D2E" w:rsidRPr="003A2507" w:rsidRDefault="00526D2E" w:rsidP="00526D2E">
      <w:pPr>
        <w:jc w:val="both"/>
        <w:rPr>
          <w:rFonts w:eastAsia="Times New Roman"/>
          <w:szCs w:val="20"/>
          <w:lang w:eastAsia="es-ES"/>
        </w:rPr>
      </w:pPr>
    </w:p>
    <w:p w14:paraId="33D30D26"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Artículo 2.- Los trabajadores señalados en el artículo anterior, tendrán derecho a la prestación establecida en los artículos 15 y 25 de la ley N°19.728, según sea el caso, siempre que registren tres cotizaciones continuas con el mismo empleador en los últimos tres meses inmediatamente anteriores al acto o declaración de autoridad a que se refiere el inciso primero del artículo anterior, </w:t>
      </w:r>
      <w:r w:rsidRPr="006B49EA">
        <w:rPr>
          <w:rFonts w:eastAsia="Times New Roman"/>
          <w:b/>
          <w:bCs/>
          <w:szCs w:val="20"/>
          <w:lang w:eastAsia="es-ES"/>
        </w:rPr>
        <w:t>en el caso de trabajadores con contrato indefinido, y tres cotizaciones continuas inmediatamente anteriores al referido evento, en el caso de trabajadores con contrato a plazo fijo, o por una obra, trabajo o servicio determinado.</w:t>
      </w:r>
      <w:r w:rsidRPr="006B49EA">
        <w:rPr>
          <w:rFonts w:eastAsia="Times New Roman"/>
          <w:szCs w:val="20"/>
          <w:lang w:eastAsia="es-ES"/>
        </w:rPr>
        <w:t xml:space="preserve"> </w:t>
      </w:r>
      <w:r>
        <w:rPr>
          <w:rFonts w:eastAsia="Times New Roman"/>
          <w:szCs w:val="20"/>
          <w:lang w:eastAsia="es-ES"/>
        </w:rPr>
        <w:t>En</w:t>
      </w:r>
      <w:r w:rsidRPr="006B49EA">
        <w:rPr>
          <w:rFonts w:eastAsia="Times New Roman"/>
          <w:szCs w:val="20"/>
          <w:lang w:eastAsia="es-ES"/>
        </w:rPr>
        <w:t xml:space="preserve"> ambos casos</w:t>
      </w:r>
      <w:r>
        <w:rPr>
          <w:rFonts w:eastAsia="Times New Roman"/>
          <w:szCs w:val="20"/>
          <w:lang w:eastAsia="es-ES"/>
        </w:rPr>
        <w:t>, no les será</w:t>
      </w:r>
      <w:r w:rsidRPr="003A2507">
        <w:rPr>
          <w:rFonts w:eastAsia="Times New Roman"/>
          <w:szCs w:val="20"/>
          <w:lang w:eastAsia="es-ES"/>
        </w:rPr>
        <w:t xml:space="preserve"> aplicable el requisito de cesantía ni los demás requisitos de acceso a las referidas prestaciones de la ley N°19.728, incluida la señalada en el </w:t>
      </w:r>
      <w:r w:rsidRPr="003A2507">
        <w:rPr>
          <w:rFonts w:eastAsia="Times New Roman"/>
          <w:szCs w:val="20"/>
          <w:lang w:eastAsia="es-ES"/>
        </w:rPr>
        <w:lastRenderedPageBreak/>
        <w:t>artículo 28 de dicho cuerpo legal. Para determinar la prestación a que tendrán derecho de conformidad a este título, se considerará el promedio de las remuneraciones imponibles devengadas en los últimos tres meses inmediatamente anteriores al inicio del acto o declaración de autoridad, sin considerar la remuneración que se pueda pactar en virtud del inciso tercero del artículo 1 o del artículo 7.</w:t>
      </w:r>
    </w:p>
    <w:p w14:paraId="42AC4B3D" w14:textId="77777777" w:rsidR="00526D2E" w:rsidRPr="003A2507" w:rsidRDefault="00526D2E" w:rsidP="00526D2E">
      <w:pPr>
        <w:jc w:val="both"/>
        <w:rPr>
          <w:rFonts w:eastAsia="Times New Roman"/>
          <w:szCs w:val="20"/>
          <w:lang w:eastAsia="es-ES"/>
        </w:rPr>
      </w:pPr>
    </w:p>
    <w:p w14:paraId="66CF343B"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Para el financiamiento de las prestaciones a que se refiere el inciso precedente, se girarán los recursos de la </w:t>
      </w:r>
      <w:r>
        <w:rPr>
          <w:rFonts w:eastAsia="Times New Roman"/>
          <w:szCs w:val="20"/>
          <w:lang w:eastAsia="es-ES"/>
        </w:rPr>
        <w:t>c</w:t>
      </w:r>
      <w:r w:rsidRPr="003A2507">
        <w:rPr>
          <w:rFonts w:eastAsia="Times New Roman"/>
          <w:szCs w:val="20"/>
          <w:lang w:eastAsia="es-ES"/>
        </w:rPr>
        <w:t xml:space="preserve">uenta </w:t>
      </w:r>
      <w:r>
        <w:rPr>
          <w:rFonts w:eastAsia="Times New Roman"/>
          <w:szCs w:val="20"/>
          <w:lang w:eastAsia="es-ES"/>
        </w:rPr>
        <w:t>i</w:t>
      </w:r>
      <w:r w:rsidRPr="003A2507">
        <w:rPr>
          <w:rFonts w:eastAsia="Times New Roman"/>
          <w:szCs w:val="20"/>
          <w:lang w:eastAsia="es-ES"/>
        </w:rPr>
        <w:t xml:space="preserve">ndividual por </w:t>
      </w:r>
      <w:r>
        <w:rPr>
          <w:rFonts w:eastAsia="Times New Roman"/>
          <w:szCs w:val="20"/>
          <w:lang w:eastAsia="es-ES"/>
        </w:rPr>
        <w:t>c</w:t>
      </w:r>
      <w:r w:rsidRPr="003A2507">
        <w:rPr>
          <w:rFonts w:eastAsia="Times New Roman"/>
          <w:szCs w:val="20"/>
          <w:lang w:eastAsia="es-ES"/>
        </w:rPr>
        <w:t xml:space="preserve">esantía del trabajador, </w:t>
      </w:r>
      <w:r w:rsidRPr="00D8057E">
        <w:rPr>
          <w:rFonts w:eastAsia="Times New Roman"/>
          <w:b/>
          <w:bCs/>
          <w:szCs w:val="20"/>
          <w:lang w:eastAsia="es-ES"/>
        </w:rPr>
        <w:t>compuesta por los aportes del empleador correspondiente a un 1,6% de la remuneración en caso de los contratos indefinidos o de un 2,8% en los contratos a plazo fijo o por obra o faena determinada, y del trabajador, de un 0,6%,</w:t>
      </w:r>
      <w:r>
        <w:rPr>
          <w:rFonts w:eastAsia="Times New Roman"/>
          <w:szCs w:val="20"/>
          <w:lang w:eastAsia="es-ES"/>
        </w:rPr>
        <w:t xml:space="preserve"> </w:t>
      </w:r>
      <w:r w:rsidRPr="003A2507">
        <w:rPr>
          <w:rFonts w:eastAsia="Times New Roman"/>
          <w:szCs w:val="20"/>
          <w:lang w:eastAsia="es-ES"/>
        </w:rPr>
        <w:t xml:space="preserve">en los porcentajes y meses que se establecen en la tabla del artículo 15 de ley N°19.728 y, cuando </w:t>
      </w:r>
      <w:r>
        <w:rPr>
          <w:rFonts w:eastAsia="Times New Roman"/>
          <w:szCs w:val="20"/>
          <w:lang w:eastAsia="es-ES"/>
        </w:rPr>
        <w:t>é</w:t>
      </w:r>
      <w:r w:rsidRPr="003A2507">
        <w:rPr>
          <w:rFonts w:eastAsia="Times New Roman"/>
          <w:szCs w:val="20"/>
          <w:lang w:eastAsia="es-ES"/>
        </w:rPr>
        <w:t>stos fueren insuficientes, se financiarán con cargo al Fondo de Cesantía Solidario, en los porcentajes y meses que se establecen en la tabla del artículo 25 de la referida ley.</w:t>
      </w:r>
    </w:p>
    <w:p w14:paraId="3613A9CE" w14:textId="77777777" w:rsidR="00526D2E" w:rsidRPr="003A2507" w:rsidRDefault="00526D2E" w:rsidP="00526D2E">
      <w:pPr>
        <w:jc w:val="both"/>
        <w:rPr>
          <w:rFonts w:eastAsia="Times New Roman"/>
          <w:szCs w:val="20"/>
          <w:lang w:eastAsia="es-ES"/>
        </w:rPr>
      </w:pPr>
    </w:p>
    <w:p w14:paraId="2B660CAB" w14:textId="77777777" w:rsidR="00526D2E" w:rsidRPr="00744A75" w:rsidRDefault="00526D2E" w:rsidP="00526D2E">
      <w:pPr>
        <w:jc w:val="both"/>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El empleador deberá solicitar ante la Sociedad Administradora del Fondo de Cesantía, preferentemente de forma electrónica, la prestación que conforme al presente título le corresponda a uno o más de sus trabajadores que se hayan visto afectados por el acto o declaración de autoridad a que se refiere el inciso primero del artículo 1. Para tales efectos, el empleador deberá presentar una declaración jurada simple que dé cuenta que el o los trabajadores respecto de los cuales se solicita la prestación, no se encuentran en alguna de las situaciones descritas en el inciso tercero del artículo 1 de la presente ley, junto con la información necesaria para efectuar el pago correspondiente al trabajador. El empleador será personalmente responsable de la veracidad de las declaraciones del documento.</w:t>
      </w:r>
      <w:r w:rsidRPr="006B49EA">
        <w:t xml:space="preserve"> </w:t>
      </w:r>
      <w:r w:rsidRPr="006B49EA">
        <w:rPr>
          <w:rFonts w:eastAsia="Times New Roman"/>
          <w:b/>
          <w:bCs/>
          <w:szCs w:val="20"/>
          <w:lang w:eastAsia="es-ES"/>
        </w:rPr>
        <w:t xml:space="preserve">Con todo, el trabajador respecto del cual no se haya solicitado el beneficio podrá, individual o colectivamente, requerir la prestación establecida en el presente título ante la Sociedad Administradora de Fondo de Cesantía, preferentemente de forma electrónica, presentándose para tales efectos una declaración jurada simple en los términos </w:t>
      </w:r>
      <w:r>
        <w:rPr>
          <w:rFonts w:eastAsia="Times New Roman"/>
          <w:b/>
          <w:bCs/>
          <w:szCs w:val="20"/>
          <w:lang w:eastAsia="es-ES"/>
        </w:rPr>
        <w:t>ya señalados</w:t>
      </w:r>
      <w:r w:rsidRPr="006B49EA">
        <w:rPr>
          <w:rFonts w:eastAsia="Times New Roman"/>
          <w:b/>
          <w:bCs/>
          <w:szCs w:val="20"/>
          <w:lang w:eastAsia="es-ES"/>
        </w:rPr>
        <w:t>.</w:t>
      </w:r>
    </w:p>
    <w:p w14:paraId="0500C4E1"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p>
    <w:p w14:paraId="098DAD87"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La prestación de este artículo se pagará por mensualidades vencidas y se devengará a partir de la fecha en que comience a regir el acto o declaración de autoridad señalado en el inciso primero de artículo 1. En el caso de que el evento a que se refiere el inciso primero del artículo 1 tenga una duración inferior a un mes calendario, la prestación que no comprenda una mensualidad completa se pagará de forma proporcional al tiempo de su duración. </w:t>
      </w:r>
    </w:p>
    <w:p w14:paraId="1B46D9F4" w14:textId="77777777" w:rsidR="00526D2E" w:rsidRDefault="00526D2E" w:rsidP="00526D2E">
      <w:pPr>
        <w:jc w:val="both"/>
        <w:rPr>
          <w:rFonts w:eastAsia="Times New Roman"/>
          <w:szCs w:val="20"/>
          <w:lang w:eastAsia="es-ES"/>
        </w:rPr>
      </w:pPr>
    </w:p>
    <w:p w14:paraId="08242B2E" w14:textId="77777777" w:rsidR="00526D2E" w:rsidRPr="006B49EA"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6B49EA">
        <w:rPr>
          <w:rFonts w:eastAsia="Times New Roman"/>
          <w:b/>
          <w:bCs/>
          <w:szCs w:val="20"/>
          <w:lang w:eastAsia="es-ES"/>
        </w:rPr>
        <w:t xml:space="preserve">Si, durante el período en que esté vigente el acto o declaración de autoridad señalado en el inciso primero del artículo 1º, se le otorgare al trabajador licencia médica con derecho a subsidio por incapacidad laboral, cualquiera sea la causal que la motive, se </w:t>
      </w:r>
      <w:r w:rsidRPr="006B49EA">
        <w:rPr>
          <w:rFonts w:eastAsia="Times New Roman"/>
          <w:b/>
          <w:bCs/>
          <w:szCs w:val="20"/>
          <w:lang w:eastAsia="es-ES"/>
        </w:rPr>
        <w:lastRenderedPageBreak/>
        <w:t>interrumpirá el pago de la prestación establecida en la presente ley si hubiere tenido acceso a ella, reanudándose el pago de la misma, según corresponda, una vez finalizado el periodo de licencia médica.</w:t>
      </w:r>
    </w:p>
    <w:p w14:paraId="6E992666" w14:textId="77777777" w:rsidR="00526D2E" w:rsidRPr="003A2507" w:rsidRDefault="00526D2E" w:rsidP="00526D2E">
      <w:pPr>
        <w:jc w:val="both"/>
        <w:rPr>
          <w:rFonts w:eastAsia="Times New Roman"/>
          <w:szCs w:val="20"/>
          <w:lang w:eastAsia="es-ES"/>
        </w:rPr>
      </w:pPr>
    </w:p>
    <w:p w14:paraId="04631B15"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3.</w:t>
      </w:r>
      <w:r>
        <w:rPr>
          <w:rFonts w:eastAsia="Times New Roman"/>
          <w:szCs w:val="20"/>
          <w:lang w:eastAsia="es-ES"/>
        </w:rPr>
        <w:t>-</w:t>
      </w:r>
      <w:r w:rsidRPr="003A2507">
        <w:rPr>
          <w:rFonts w:eastAsia="Times New Roman"/>
          <w:szCs w:val="20"/>
          <w:lang w:eastAsia="es-ES"/>
        </w:rPr>
        <w:t xml:space="preserve"> El acto o la declaración de autoridad a que se refiere el inciso primero del artículo 1 tendrá por consecuencia la suspensión temporal, de pleno derecho y por el solo ministerio de la ley, de los efectos de los contratos individuales regidos por el Código del Trabajo en el o los territorios que correspondan, salvo acuerdo en contrario de las partes a efectos de dar continuidad a la relación laboral durante este período, el que deberá constar por escrito. La vigencia de la suspensión se circunscribirá únicamente al período que la autoridad determine.</w:t>
      </w:r>
    </w:p>
    <w:p w14:paraId="6912AA33" w14:textId="77777777" w:rsidR="00526D2E" w:rsidRPr="003A2507" w:rsidRDefault="00526D2E" w:rsidP="00526D2E">
      <w:pPr>
        <w:jc w:val="both"/>
        <w:rPr>
          <w:rFonts w:eastAsia="Times New Roman"/>
          <w:szCs w:val="20"/>
          <w:lang w:eastAsia="es-ES"/>
        </w:rPr>
      </w:pPr>
    </w:p>
    <w:p w14:paraId="0C1861DD"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La suspensión de los efectos del contrato individual de trabajo implicará el cese temporal, por el período de tiempo que el acto o declaración de autoridad determine, de la obligación de prestar servicios por parte del trabajador y de la obligación de pagar la remuneración y demás asignaciones que no constituyan remuneración, señaladas en el inciso segundo del artículo 41 del Código del Trabajo, por parte del empleador.</w:t>
      </w:r>
    </w:p>
    <w:p w14:paraId="1E6F0E04" w14:textId="77777777" w:rsidR="00526D2E" w:rsidRPr="003A2507" w:rsidRDefault="00526D2E" w:rsidP="00526D2E">
      <w:pPr>
        <w:jc w:val="both"/>
        <w:rPr>
          <w:rFonts w:eastAsia="Times New Roman"/>
          <w:szCs w:val="20"/>
          <w:lang w:eastAsia="es-ES"/>
        </w:rPr>
      </w:pPr>
    </w:p>
    <w:p w14:paraId="257961CF"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No obstante lo anterior, durante la vigencia de la suspensión producida por el acto o declaración de autoridad a que se refiere el inciso primero del artículo 1, el empleador estará obligado a pagar las cotizaciones previsionales y de seguridad social, tanto de su cargo como aquellas del trabajador, con excepción de las cotizaciones del seguro social de la ley N°16.744, y sólo podrá poner término a la relación laboral por aplicación de la causal establecida en el artículo 161 del Código del Trabajo.</w:t>
      </w:r>
    </w:p>
    <w:p w14:paraId="3CA9F813" w14:textId="77777777" w:rsidR="00526D2E" w:rsidRPr="003A2507" w:rsidRDefault="00526D2E" w:rsidP="00526D2E">
      <w:pPr>
        <w:jc w:val="both"/>
        <w:rPr>
          <w:rFonts w:eastAsia="Times New Roman"/>
          <w:szCs w:val="20"/>
          <w:lang w:eastAsia="es-ES"/>
        </w:rPr>
      </w:pPr>
    </w:p>
    <w:p w14:paraId="5F9EBB61" w14:textId="77777777" w:rsidR="00526D2E"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Aquellos empleadores que hayan pactado con uno o más de sus trabajadores la continuidad de la relación laboral durante el evento del acto o declaración de autoridad a que se refiere el inciso primero del artículo 1, deberán continuar, dentro de dicho período, pagando y enterando las cotizaciones previsionales y de seguridad social</w:t>
      </w:r>
      <w:r>
        <w:rPr>
          <w:rFonts w:eastAsia="Times New Roman"/>
          <w:szCs w:val="20"/>
          <w:lang w:eastAsia="es-ES"/>
        </w:rPr>
        <w:t>.</w:t>
      </w:r>
      <w:r w:rsidRPr="003A2507">
        <w:rPr>
          <w:rFonts w:eastAsia="Times New Roman"/>
          <w:szCs w:val="20"/>
          <w:lang w:eastAsia="es-ES"/>
        </w:rPr>
        <w:t xml:space="preserve"> </w:t>
      </w:r>
    </w:p>
    <w:p w14:paraId="67876734" w14:textId="77777777" w:rsidR="00526D2E" w:rsidRPr="003A2507" w:rsidRDefault="00526D2E" w:rsidP="00526D2E">
      <w:pPr>
        <w:jc w:val="both"/>
        <w:rPr>
          <w:rFonts w:eastAsia="Times New Roman"/>
          <w:szCs w:val="20"/>
          <w:lang w:eastAsia="es-ES"/>
        </w:rPr>
      </w:pPr>
    </w:p>
    <w:p w14:paraId="508F3678" w14:textId="0F647EBE" w:rsidR="00526D2E" w:rsidRPr="00D8057E"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4.- En el evento señalado en el inciso primero del artículo 1, los trabajadores de casa particular podrán impetrar el derecho a percibir el beneficio a que se refiere el literal a) del inciso quinto del artículo 163 del Código del Trabajo.</w:t>
      </w:r>
      <w:r w:rsidRPr="00D8057E">
        <w:t xml:space="preserve"> </w:t>
      </w:r>
      <w:r w:rsidRPr="00D8057E">
        <w:rPr>
          <w:rFonts w:eastAsia="Times New Roman"/>
          <w:b/>
          <w:bCs/>
          <w:szCs w:val="20"/>
          <w:lang w:eastAsia="es-ES"/>
        </w:rPr>
        <w:t>En este caso, la Administradora de Fondos de Pensiones respectiva deberá girar de la cuenta del trabajador, el equivalente a un 70% de su remuneración mensual imponible o el saldo total si este fuere inferior. Si el acto o declaración de autoridad se extendiere por más de 30 días y el trabajador tuviere saldo en dicha cuenta, la Administradora de Fondos de Pensiones girará la suma equivalente al 55%, 45%, 40% y 35% de la remuneración imponible, para los meses segundo, tercero, cuarto y quinto, respectivamente.</w:t>
      </w:r>
    </w:p>
    <w:p w14:paraId="212967BF" w14:textId="77777777" w:rsidR="00526D2E" w:rsidRPr="003A2507" w:rsidRDefault="00526D2E" w:rsidP="00526D2E">
      <w:pPr>
        <w:jc w:val="both"/>
        <w:rPr>
          <w:rFonts w:eastAsia="Times New Roman"/>
          <w:szCs w:val="20"/>
          <w:lang w:eastAsia="es-ES"/>
        </w:rPr>
      </w:pPr>
    </w:p>
    <w:p w14:paraId="4C7DCF2C" w14:textId="77777777" w:rsidR="00526D2E" w:rsidRPr="003A2507" w:rsidRDefault="00526D2E" w:rsidP="00526D2E">
      <w:pPr>
        <w:jc w:val="both"/>
        <w:rPr>
          <w:rFonts w:eastAsia="Times New Roman"/>
          <w:szCs w:val="20"/>
          <w:lang w:eastAsia="es-ES"/>
        </w:rPr>
      </w:pPr>
      <w:r>
        <w:rPr>
          <w:rFonts w:eastAsia="Times New Roman"/>
          <w:szCs w:val="20"/>
          <w:lang w:eastAsia="es-ES"/>
        </w:rPr>
        <w:lastRenderedPageBreak/>
        <w:t xml:space="preserve"> </w:t>
      </w:r>
      <w:r>
        <w:rPr>
          <w:rFonts w:eastAsia="Times New Roman"/>
          <w:szCs w:val="20"/>
          <w:lang w:eastAsia="es-ES"/>
        </w:rPr>
        <w:tab/>
      </w:r>
      <w:r w:rsidRPr="003A2507">
        <w:rPr>
          <w:rFonts w:eastAsia="Times New Roman"/>
          <w:szCs w:val="20"/>
          <w:lang w:eastAsia="es-ES"/>
        </w:rPr>
        <w:t>Para tales efectos, el trabajador deberá presentar una declaración jurada simple ante la entidad pagadora del beneficio, preferentemente de forma electrónica, que dé cuenta que no se encuentra en alguna de las situaciones descritas en el inciso tercero del artículo 1 de la presente ley. El trabajador será personalmente responsable de la veracidad de las declaraciones del documento.</w:t>
      </w:r>
    </w:p>
    <w:p w14:paraId="11819B16" w14:textId="77777777" w:rsidR="00526D2E" w:rsidRDefault="00526D2E" w:rsidP="00526D2E">
      <w:pPr>
        <w:jc w:val="both"/>
        <w:rPr>
          <w:rFonts w:eastAsia="Times New Roman"/>
          <w:szCs w:val="20"/>
          <w:lang w:eastAsia="es-ES"/>
        </w:rPr>
      </w:pPr>
    </w:p>
    <w:p w14:paraId="34275523" w14:textId="77777777" w:rsidR="00526D2E" w:rsidRPr="00D8057E"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D8057E">
        <w:rPr>
          <w:rFonts w:eastAsia="Times New Roman"/>
          <w:b/>
          <w:bCs/>
          <w:szCs w:val="20"/>
          <w:lang w:eastAsia="es-ES"/>
        </w:rPr>
        <w:t>Los trabajadores de casa particular podrán suscribir el pacto al que se refiere el artículo 5º, aplicándose para tales efectos todas las reglas de este artículo.</w:t>
      </w:r>
    </w:p>
    <w:p w14:paraId="63F9F7C1" w14:textId="77777777" w:rsidR="00526D2E" w:rsidRPr="003A2507" w:rsidRDefault="00526D2E" w:rsidP="00526D2E">
      <w:pPr>
        <w:jc w:val="both"/>
        <w:rPr>
          <w:rFonts w:eastAsia="Times New Roman"/>
          <w:szCs w:val="20"/>
          <w:lang w:eastAsia="es-ES"/>
        </w:rPr>
      </w:pPr>
    </w:p>
    <w:p w14:paraId="07A2915E"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En este caso, el empleador solo estará obligado a continuar pagando y enterando la cotización de salud, y del seguro de invalidez y sobrevivencia.</w:t>
      </w:r>
    </w:p>
    <w:p w14:paraId="02AF65FF" w14:textId="77777777" w:rsidR="00526D2E" w:rsidRPr="003A2507" w:rsidRDefault="00526D2E" w:rsidP="00526D2E">
      <w:pPr>
        <w:jc w:val="both"/>
        <w:rPr>
          <w:rFonts w:eastAsia="Times New Roman"/>
          <w:szCs w:val="20"/>
          <w:lang w:eastAsia="es-ES"/>
        </w:rPr>
      </w:pPr>
    </w:p>
    <w:p w14:paraId="1DE88682"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Artículo 5.- Los empleadores cuya actividad se vea afectada total o parcialmente, podrán suscribir con el o los trabajadores a los que se hace referencia en el inciso primero del artículo 1, personalmente o por medio de la organización sindical a la que se encuentre afiliado, un pacto de suspensión temporal del contrato de trabajo, el que se regirá por las normas del presente </w:t>
      </w:r>
      <w:r>
        <w:rPr>
          <w:rFonts w:eastAsia="Times New Roman"/>
          <w:szCs w:val="20"/>
          <w:lang w:eastAsia="es-ES"/>
        </w:rPr>
        <w:t>T</w:t>
      </w:r>
      <w:r w:rsidRPr="003A2507">
        <w:rPr>
          <w:rFonts w:eastAsia="Times New Roman"/>
          <w:szCs w:val="20"/>
          <w:lang w:eastAsia="es-ES"/>
        </w:rPr>
        <w:t xml:space="preserve">ítulo, sin perjuicio de las que se establecen en los siguientes incisos. Este pacto solamente podrá celebrarse fuera de los periodos comprendidos en el evento al que se refiere el inciso primero del artículo 1 y durante la vigencia establecida en el inciso segundo del artículo 16. </w:t>
      </w:r>
    </w:p>
    <w:p w14:paraId="62050214" w14:textId="77777777" w:rsidR="000B65C6"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p>
    <w:p w14:paraId="7C7CFCC5" w14:textId="1D5F09BB" w:rsidR="00526D2E" w:rsidRPr="003A2507" w:rsidRDefault="00526D2E" w:rsidP="000B65C6">
      <w:pPr>
        <w:ind w:firstLine="2835"/>
        <w:jc w:val="both"/>
        <w:rPr>
          <w:rFonts w:eastAsia="Times New Roman"/>
          <w:szCs w:val="20"/>
          <w:lang w:eastAsia="es-ES"/>
        </w:rPr>
      </w:pPr>
      <w:r w:rsidRPr="003A2507">
        <w:rPr>
          <w:rFonts w:eastAsia="Times New Roman"/>
          <w:szCs w:val="20"/>
          <w:lang w:eastAsia="es-ES"/>
        </w:rPr>
        <w:t xml:space="preserve">En caso de que durante la vigencia del pacto se decrete un acto o declaración de autoridad en conformidad al inciso primero del artículo 1, se interrumpirá su vigencia, la que continuará de pleno derecho una vez finalizada la vigencia del mandato de autoridad. </w:t>
      </w:r>
    </w:p>
    <w:p w14:paraId="61FA16B6" w14:textId="77777777" w:rsidR="00526D2E" w:rsidRPr="003A2507" w:rsidRDefault="00526D2E" w:rsidP="00526D2E">
      <w:pPr>
        <w:jc w:val="both"/>
        <w:rPr>
          <w:rFonts w:eastAsia="Times New Roman"/>
          <w:szCs w:val="20"/>
          <w:lang w:eastAsia="es-ES"/>
        </w:rPr>
      </w:pPr>
    </w:p>
    <w:p w14:paraId="52463BC7"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Para estos efectos, el empleador y el trabajador y/o el representante de la organización sindical respectiva, que lo represente, según sea el caso, deberán presentar ante la Sociedad Administradora del Fondo de Cesantía, preferentemente de forma electrónica, una declaración jurada simple, suscrita por ambas partes, en la que deberán dar cuenta de la situación de hecho señalada en el inciso primero precedente y que el trabajador o los trabajadores, según sea el caso, no se encuentran en alguna de las situaciones descritas en el inciso tercero del artículo 1 de la presente ley. Las partes serán personalmente responsables de la veracidad de las declaraciones del documento. </w:t>
      </w:r>
    </w:p>
    <w:p w14:paraId="6B701E34" w14:textId="77777777" w:rsidR="00526D2E" w:rsidRPr="003A2507" w:rsidRDefault="00526D2E" w:rsidP="00526D2E">
      <w:pPr>
        <w:jc w:val="both"/>
        <w:rPr>
          <w:rFonts w:eastAsia="Times New Roman"/>
          <w:szCs w:val="20"/>
          <w:lang w:eastAsia="es-ES"/>
        </w:rPr>
      </w:pPr>
    </w:p>
    <w:p w14:paraId="474393B9"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Para efectos de fiscalización de lo dispuesto en el inciso anterior, la Sociedad Administradora del Fondo de Cesantía remitirá, mensualmente y por medios electrónicos, a la Dirección del Trabajo, la nómina de empleadores y sus respectivos trabajadores que suscribieron el pacto mencionado en este artículo.</w:t>
      </w:r>
    </w:p>
    <w:p w14:paraId="0686EA2A" w14:textId="77777777" w:rsidR="00526D2E" w:rsidRPr="003A2507" w:rsidRDefault="00526D2E" w:rsidP="00526D2E">
      <w:pPr>
        <w:jc w:val="both"/>
        <w:rPr>
          <w:rFonts w:eastAsia="Times New Roman"/>
          <w:szCs w:val="20"/>
          <w:lang w:eastAsia="es-ES"/>
        </w:rPr>
      </w:pPr>
    </w:p>
    <w:p w14:paraId="00D20B74" w14:textId="141B36EE" w:rsidR="00526D2E" w:rsidRPr="003A2507" w:rsidRDefault="00526D2E" w:rsidP="00526D2E">
      <w:pPr>
        <w:jc w:val="both"/>
        <w:rPr>
          <w:rFonts w:eastAsia="Times New Roman"/>
          <w:szCs w:val="20"/>
          <w:lang w:eastAsia="es-ES"/>
        </w:rPr>
      </w:pPr>
      <w:r>
        <w:rPr>
          <w:rFonts w:eastAsia="Times New Roman"/>
          <w:szCs w:val="20"/>
          <w:lang w:eastAsia="es-ES"/>
        </w:rPr>
        <w:lastRenderedPageBreak/>
        <w:t xml:space="preserve"> </w:t>
      </w:r>
      <w:r>
        <w:rPr>
          <w:rFonts w:eastAsia="Times New Roman"/>
          <w:szCs w:val="20"/>
          <w:lang w:eastAsia="es-ES"/>
        </w:rPr>
        <w:tab/>
      </w:r>
      <w:r w:rsidRPr="003A2507">
        <w:rPr>
          <w:rFonts w:eastAsia="Times New Roman"/>
          <w:szCs w:val="20"/>
          <w:lang w:eastAsia="es-ES"/>
        </w:rPr>
        <w:t>El pacto tendrá los efectos indicados en l</w:t>
      </w:r>
      <w:r w:rsidR="000B65C6">
        <w:rPr>
          <w:rFonts w:eastAsia="Times New Roman"/>
          <w:szCs w:val="20"/>
          <w:lang w:eastAsia="es-ES"/>
        </w:rPr>
        <w:t>os</w:t>
      </w:r>
      <w:r w:rsidRPr="003A2507">
        <w:rPr>
          <w:rFonts w:eastAsia="Times New Roman"/>
          <w:szCs w:val="20"/>
          <w:lang w:eastAsia="es-ES"/>
        </w:rPr>
        <w:t xml:space="preserve"> inciso</w:t>
      </w:r>
      <w:r w:rsidR="000B65C6">
        <w:rPr>
          <w:rFonts w:eastAsia="Times New Roman"/>
          <w:szCs w:val="20"/>
          <w:lang w:eastAsia="es-ES"/>
        </w:rPr>
        <w:t>s</w:t>
      </w:r>
      <w:r w:rsidRPr="003A2507">
        <w:rPr>
          <w:rFonts w:eastAsia="Times New Roman"/>
          <w:szCs w:val="20"/>
          <w:lang w:eastAsia="es-ES"/>
        </w:rPr>
        <w:t xml:space="preserve"> segundo y tercero del artículo 3 y dará lugar a la prestación señalada en el inciso primero del artículo 1, siempre que cumpla con los requisitos del inciso primero del artículo 2. Para estos efectos, la prestación, considerará el promedio de las remuneraciones imponibles señaladas en el inciso primero del artículo 2</w:t>
      </w:r>
      <w:r>
        <w:rPr>
          <w:rFonts w:eastAsia="Times New Roman"/>
          <w:szCs w:val="20"/>
          <w:lang w:eastAsia="es-ES"/>
        </w:rPr>
        <w:t>.</w:t>
      </w:r>
    </w:p>
    <w:p w14:paraId="150E0B7A" w14:textId="77777777" w:rsidR="00526D2E" w:rsidRPr="003A2507" w:rsidRDefault="00526D2E" w:rsidP="00526D2E">
      <w:pPr>
        <w:jc w:val="both"/>
        <w:rPr>
          <w:rFonts w:eastAsia="Times New Roman"/>
          <w:szCs w:val="20"/>
          <w:lang w:eastAsia="es-ES"/>
        </w:rPr>
      </w:pPr>
    </w:p>
    <w:p w14:paraId="56DB12D9"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Las partes no podrán pactar la ejecución diferida de la suspensión. Todos sus efectos deberán ejecutarse, al menos, a partir del primer día del mes siguiente a la fecha de celebración del pacto respectivo.</w:t>
      </w:r>
    </w:p>
    <w:p w14:paraId="2D6EF7C5" w14:textId="77777777" w:rsidR="00526D2E" w:rsidRPr="003A2507" w:rsidRDefault="00526D2E" w:rsidP="00526D2E">
      <w:pPr>
        <w:jc w:val="both"/>
        <w:rPr>
          <w:rFonts w:eastAsia="Times New Roman"/>
          <w:szCs w:val="20"/>
          <w:lang w:eastAsia="es-ES"/>
        </w:rPr>
      </w:pPr>
    </w:p>
    <w:p w14:paraId="15241623"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6.- En el caso de trabajadores que hayan recibido las prestaciones establecid</w:t>
      </w:r>
      <w:r>
        <w:rPr>
          <w:rFonts w:eastAsia="Times New Roman"/>
          <w:szCs w:val="20"/>
          <w:lang w:eastAsia="es-ES"/>
        </w:rPr>
        <w:t>a</w:t>
      </w:r>
      <w:r w:rsidRPr="003A2507">
        <w:rPr>
          <w:rFonts w:eastAsia="Times New Roman"/>
          <w:szCs w:val="20"/>
          <w:lang w:eastAsia="es-ES"/>
        </w:rPr>
        <w:t xml:space="preserve">s </w:t>
      </w:r>
      <w:r w:rsidRPr="00F846C3">
        <w:rPr>
          <w:rFonts w:eastAsia="Times New Roman"/>
          <w:b/>
          <w:bCs/>
          <w:szCs w:val="20"/>
          <w:lang w:eastAsia="es-ES"/>
        </w:rPr>
        <w:t>en la presente ley</w:t>
      </w:r>
      <w:r w:rsidRPr="003A2507">
        <w:rPr>
          <w:rFonts w:eastAsia="Times New Roman"/>
          <w:szCs w:val="20"/>
          <w:lang w:eastAsia="es-ES"/>
        </w:rPr>
        <w:t xml:space="preserve">, no les será aplicable lo dispuesto en el inciso segundo del artículo 13 de la ley N°19.728, respecto de aquellas cotizaciones que fueron parte de dichas prestaciones. </w:t>
      </w:r>
    </w:p>
    <w:p w14:paraId="247200D4" w14:textId="77777777" w:rsidR="00526D2E" w:rsidRPr="003A2507" w:rsidRDefault="00526D2E" w:rsidP="00526D2E">
      <w:pPr>
        <w:jc w:val="both"/>
        <w:rPr>
          <w:rFonts w:eastAsia="Times New Roman"/>
          <w:szCs w:val="20"/>
          <w:lang w:eastAsia="es-ES"/>
        </w:rPr>
      </w:pPr>
    </w:p>
    <w:p w14:paraId="44967CC3" w14:textId="77777777" w:rsidR="00526D2E" w:rsidRPr="003A2507" w:rsidRDefault="00526D2E" w:rsidP="00526D2E">
      <w:pPr>
        <w:jc w:val="center"/>
        <w:rPr>
          <w:rFonts w:eastAsia="Times New Roman"/>
          <w:szCs w:val="20"/>
          <w:lang w:eastAsia="es-ES"/>
        </w:rPr>
      </w:pPr>
      <w:r w:rsidRPr="003A2507">
        <w:rPr>
          <w:rFonts w:eastAsia="Times New Roman"/>
          <w:szCs w:val="20"/>
          <w:lang w:eastAsia="es-ES"/>
        </w:rPr>
        <w:t>Título II</w:t>
      </w:r>
    </w:p>
    <w:p w14:paraId="5C3D2413" w14:textId="77777777" w:rsidR="00526D2E" w:rsidRPr="003A2507" w:rsidRDefault="00526D2E" w:rsidP="00526D2E">
      <w:pPr>
        <w:jc w:val="center"/>
        <w:rPr>
          <w:rFonts w:eastAsia="Times New Roman"/>
          <w:szCs w:val="20"/>
          <w:lang w:eastAsia="es-ES"/>
        </w:rPr>
      </w:pPr>
      <w:r w:rsidRPr="003A2507">
        <w:rPr>
          <w:rFonts w:eastAsia="Times New Roman"/>
          <w:szCs w:val="20"/>
          <w:lang w:eastAsia="es-ES"/>
        </w:rPr>
        <w:t>Pactos de reducción temporal de jornadas de trabajo</w:t>
      </w:r>
    </w:p>
    <w:p w14:paraId="309DC193" w14:textId="77777777" w:rsidR="00526D2E" w:rsidRPr="003A2507" w:rsidRDefault="00526D2E" w:rsidP="00526D2E">
      <w:pPr>
        <w:jc w:val="both"/>
        <w:rPr>
          <w:rFonts w:eastAsia="Times New Roman"/>
          <w:szCs w:val="20"/>
          <w:lang w:eastAsia="es-ES"/>
        </w:rPr>
      </w:pPr>
    </w:p>
    <w:p w14:paraId="2F17E19F"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7.-</w:t>
      </w:r>
      <w:r>
        <w:rPr>
          <w:rFonts w:eastAsia="Times New Roman"/>
          <w:szCs w:val="20"/>
          <w:lang w:eastAsia="es-ES"/>
        </w:rPr>
        <w:t xml:space="preserve"> </w:t>
      </w:r>
      <w:r w:rsidRPr="003A2507">
        <w:rPr>
          <w:rFonts w:eastAsia="Times New Roman"/>
          <w:szCs w:val="20"/>
          <w:lang w:eastAsia="es-ES"/>
        </w:rPr>
        <w:t xml:space="preserve">Los empleadores, y los trabajadores afiliados al </w:t>
      </w:r>
      <w:r>
        <w:rPr>
          <w:rFonts w:eastAsia="Times New Roman"/>
          <w:szCs w:val="20"/>
          <w:lang w:eastAsia="es-ES"/>
        </w:rPr>
        <w:t>s</w:t>
      </w:r>
      <w:r w:rsidRPr="003A2507">
        <w:rPr>
          <w:rFonts w:eastAsia="Times New Roman"/>
          <w:szCs w:val="20"/>
          <w:lang w:eastAsia="es-ES"/>
        </w:rPr>
        <w:t xml:space="preserve">eguro de </w:t>
      </w:r>
      <w:r>
        <w:rPr>
          <w:rFonts w:eastAsia="Times New Roman"/>
          <w:szCs w:val="20"/>
          <w:lang w:eastAsia="es-ES"/>
        </w:rPr>
        <w:t>d</w:t>
      </w:r>
      <w:r w:rsidRPr="003A2507">
        <w:rPr>
          <w:rFonts w:eastAsia="Times New Roman"/>
          <w:szCs w:val="20"/>
          <w:lang w:eastAsia="es-ES"/>
        </w:rPr>
        <w:t xml:space="preserve">esempleo de la ley N°19.728, personalmente o por medio de la organización sindical a la que se encuentren afiliados, podrán pactar la reducción temporal de la jornada de trabajo, cuando el empleador se encuentre en alguna de las situaciones descritas en el artículo siguiente. En este caso, el trabajador tendrá derecho a una remuneración de cargo del empleador, equivalente a la jornada reducida, y a un complemento de cargo a su </w:t>
      </w:r>
      <w:r>
        <w:rPr>
          <w:rFonts w:eastAsia="Times New Roman"/>
          <w:szCs w:val="20"/>
          <w:lang w:eastAsia="es-ES"/>
        </w:rPr>
        <w:t>c</w:t>
      </w:r>
      <w:r w:rsidRPr="003A2507">
        <w:rPr>
          <w:rFonts w:eastAsia="Times New Roman"/>
          <w:szCs w:val="20"/>
          <w:lang w:eastAsia="es-ES"/>
        </w:rPr>
        <w:t xml:space="preserve">uenta </w:t>
      </w:r>
      <w:r>
        <w:rPr>
          <w:rFonts w:eastAsia="Times New Roman"/>
          <w:szCs w:val="20"/>
          <w:lang w:eastAsia="es-ES"/>
        </w:rPr>
        <w:t>i</w:t>
      </w:r>
      <w:r w:rsidRPr="003A2507">
        <w:rPr>
          <w:rFonts w:eastAsia="Times New Roman"/>
          <w:szCs w:val="20"/>
          <w:lang w:eastAsia="es-ES"/>
        </w:rPr>
        <w:t xml:space="preserve">ndividual por </w:t>
      </w:r>
      <w:r>
        <w:rPr>
          <w:rFonts w:eastAsia="Times New Roman"/>
          <w:szCs w:val="20"/>
          <w:lang w:eastAsia="es-ES"/>
        </w:rPr>
        <w:t>c</w:t>
      </w:r>
      <w:r w:rsidRPr="003A2507">
        <w:rPr>
          <w:rFonts w:eastAsia="Times New Roman"/>
          <w:szCs w:val="20"/>
          <w:lang w:eastAsia="es-ES"/>
        </w:rPr>
        <w:t xml:space="preserve">esantía y, una vez agotado el saldo, con cargo al Fondo de Cesantía Solidario de la mencionada ley, conforme a lo dispuesto en el artículo 11 de la presente ley. </w:t>
      </w:r>
    </w:p>
    <w:p w14:paraId="42375399"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Para la aplicación de esta ley no se podrá pactar una reducción temporal superior al 50% de la jornada de trabajo originalmente convenida. </w:t>
      </w:r>
    </w:p>
    <w:p w14:paraId="5F8EEF52" w14:textId="77777777" w:rsidR="00526D2E" w:rsidRDefault="00526D2E" w:rsidP="00526D2E">
      <w:pPr>
        <w:jc w:val="both"/>
        <w:rPr>
          <w:rFonts w:eastAsia="Times New Roman"/>
          <w:szCs w:val="20"/>
          <w:lang w:eastAsia="es-ES"/>
        </w:rPr>
      </w:pPr>
    </w:p>
    <w:p w14:paraId="097FF55C" w14:textId="77777777" w:rsidR="00526D2E" w:rsidRPr="00D8057E"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D8057E">
        <w:rPr>
          <w:rFonts w:eastAsia="Times New Roman"/>
          <w:b/>
          <w:bCs/>
          <w:szCs w:val="20"/>
          <w:lang w:eastAsia="es-ES"/>
        </w:rPr>
        <w:t>Durante la vigencia de los pactos de reducción temporal de jornada de trabajo, los empleadores que hubieren pactado dicha reducción con uno o más trabajadores no podrán contratar nuevos trabajadores que realicen iguales o similares funciones desarrolladas por aquellos que hubieren suscrito dichos pactos. Con todo, esta limitación se circunscribirá al número de trabajadores que hayan suscrito el pacto de reducción temporal de jornada de trabajo. En caso de infringirse esta disposición, la Dirección del Trabajo deberá aplicar la multa más alta que corresponda conforme a las reglas establecidas en el artículo 506 del Código del Trabajo.</w:t>
      </w:r>
    </w:p>
    <w:p w14:paraId="0CF4725D" w14:textId="77777777" w:rsidR="00526D2E" w:rsidRPr="00D8057E" w:rsidRDefault="00526D2E" w:rsidP="00526D2E">
      <w:pPr>
        <w:jc w:val="both"/>
        <w:rPr>
          <w:rFonts w:eastAsia="Times New Roman"/>
          <w:b/>
          <w:bCs/>
          <w:szCs w:val="20"/>
          <w:lang w:eastAsia="es-ES"/>
        </w:rPr>
      </w:pPr>
    </w:p>
    <w:p w14:paraId="18D40625"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8.- El pacto de reducción temporal de la jornada de trabajo podrá ser suscrito por el empleador que se encuentre en alguna de las siguientes situaciones:</w:t>
      </w:r>
    </w:p>
    <w:p w14:paraId="18FC814D" w14:textId="77777777" w:rsidR="00526D2E" w:rsidRPr="003A2507" w:rsidRDefault="00526D2E" w:rsidP="00526D2E">
      <w:pPr>
        <w:jc w:val="both"/>
        <w:rPr>
          <w:rFonts w:eastAsia="Times New Roman"/>
          <w:szCs w:val="20"/>
          <w:lang w:eastAsia="es-ES"/>
        </w:rPr>
      </w:pPr>
    </w:p>
    <w:p w14:paraId="29F921DE"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w:t>
      </w:r>
      <w:r>
        <w:rPr>
          <w:rFonts w:eastAsia="Times New Roman"/>
          <w:szCs w:val="20"/>
          <w:lang w:eastAsia="es-ES"/>
        </w:rPr>
        <w:t xml:space="preserve"> </w:t>
      </w:r>
      <w:r w:rsidRPr="003A2507">
        <w:rPr>
          <w:rFonts w:eastAsia="Times New Roman"/>
          <w:szCs w:val="20"/>
          <w:lang w:eastAsia="es-ES"/>
        </w:rPr>
        <w:t>Tratándose de empleadores contribuyentes del Impuesto al Valor Agregado conforme al artículo 3° de la Ley sobre Impuesto a las Ventas y Servicios, contenida en el decreto ley N 825, de 1974, que a contar de octubre de 2019 hayan experimentado una disminución del promedio de sus ventas declaradas al Servicio de Impuestos Internos en un período cualquiera de 3 meses consecutivos, que exceda de un 20% calculado respecto del promedio de sus ventas declaradas en el mismo período de 3 meses del ejercicio anterior</w:t>
      </w:r>
      <w:r>
        <w:rPr>
          <w:rFonts w:eastAsia="Times New Roman"/>
          <w:szCs w:val="20"/>
          <w:lang w:eastAsia="es-ES"/>
        </w:rPr>
        <w:t>.</w:t>
      </w:r>
    </w:p>
    <w:p w14:paraId="559512A5"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p>
    <w:p w14:paraId="52F92B57"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t>b</w:t>
      </w:r>
      <w:r w:rsidRPr="003A2507">
        <w:rPr>
          <w:rFonts w:eastAsia="Times New Roman"/>
          <w:szCs w:val="20"/>
          <w:lang w:eastAsia="es-ES"/>
        </w:rPr>
        <w:t>) Que se encuentre actualmente en un procedimiento concursal de reorganización, según resolución publicada en el Boletín Concursal en conformidad al artículo 57 de la ley N°20.720, de reorganización y liquidación de empresas y personas</w:t>
      </w:r>
      <w:r>
        <w:rPr>
          <w:rFonts w:eastAsia="Times New Roman"/>
          <w:szCs w:val="20"/>
          <w:lang w:eastAsia="es-ES"/>
        </w:rPr>
        <w:t>.</w:t>
      </w:r>
    </w:p>
    <w:p w14:paraId="3C009BEC" w14:textId="77777777" w:rsidR="00526D2E" w:rsidRPr="003A2507" w:rsidRDefault="00526D2E" w:rsidP="00526D2E">
      <w:pPr>
        <w:jc w:val="both"/>
        <w:rPr>
          <w:rFonts w:eastAsia="Times New Roman"/>
          <w:szCs w:val="20"/>
          <w:lang w:eastAsia="es-ES"/>
        </w:rPr>
      </w:pPr>
    </w:p>
    <w:p w14:paraId="7E6A751D"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t>c</w:t>
      </w:r>
      <w:r w:rsidRPr="003A2507">
        <w:rPr>
          <w:rFonts w:eastAsia="Times New Roman"/>
          <w:szCs w:val="20"/>
          <w:lang w:eastAsia="es-ES"/>
        </w:rPr>
        <w:t xml:space="preserve">) Que se encuentre actualmente en un procedimiento de asesoría económica de insolvencia, según conste en certificado emitido y validado en los términos de los artículos 17 y 18 de la </w:t>
      </w:r>
      <w:r>
        <w:rPr>
          <w:rFonts w:eastAsia="Times New Roman"/>
          <w:szCs w:val="20"/>
          <w:lang w:eastAsia="es-ES"/>
        </w:rPr>
        <w:t>L</w:t>
      </w:r>
      <w:r w:rsidRPr="003A2507">
        <w:rPr>
          <w:rFonts w:eastAsia="Times New Roman"/>
          <w:szCs w:val="20"/>
          <w:lang w:eastAsia="es-ES"/>
        </w:rPr>
        <w:t>ey de Reorganización o Cierre de Micro y Pequeñas Empresas en Crisis, contenida en el artículo undécimo de la ley N°20.416, que fija normas especiales para las empresas de menor tamaño</w:t>
      </w:r>
      <w:r>
        <w:rPr>
          <w:rFonts w:eastAsia="Times New Roman"/>
          <w:szCs w:val="20"/>
          <w:lang w:eastAsia="es-ES"/>
        </w:rPr>
        <w:t>,</w:t>
      </w:r>
      <w:r w:rsidRPr="003A2507">
        <w:rPr>
          <w:rFonts w:eastAsia="Times New Roman"/>
          <w:szCs w:val="20"/>
          <w:lang w:eastAsia="es-ES"/>
        </w:rPr>
        <w:t xml:space="preserve"> o</w:t>
      </w:r>
    </w:p>
    <w:p w14:paraId="551BC535" w14:textId="77777777" w:rsidR="00526D2E" w:rsidRPr="003A2507" w:rsidRDefault="00526D2E" w:rsidP="00526D2E">
      <w:pPr>
        <w:jc w:val="both"/>
        <w:rPr>
          <w:rFonts w:eastAsia="Times New Roman"/>
          <w:szCs w:val="20"/>
          <w:lang w:eastAsia="es-ES"/>
        </w:rPr>
      </w:pPr>
    </w:p>
    <w:p w14:paraId="25695CD8"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t>d</w:t>
      </w:r>
      <w:r w:rsidRPr="003A2507">
        <w:rPr>
          <w:rFonts w:eastAsia="Times New Roman"/>
          <w:szCs w:val="20"/>
          <w:lang w:eastAsia="es-ES"/>
        </w:rPr>
        <w:t>) Que, aquellos empleadores cuyas empresas, establecimientos o faenas hayan sido exceptuadas del acto o declaración de autoridad o resolución a que se refiere el artículo 1° de la presente ley, necesiten reducir o redistribuir la jornada ordinaria de trabajo de sus trabajadores para poder mantener su continuidad operacional o para proteger eficazmente la vida y salud de sus trabajadores.</w:t>
      </w:r>
    </w:p>
    <w:p w14:paraId="561B9519" w14:textId="77777777" w:rsidR="00526D2E" w:rsidRPr="003A2507" w:rsidRDefault="00526D2E" w:rsidP="00526D2E">
      <w:pPr>
        <w:jc w:val="both"/>
        <w:rPr>
          <w:rFonts w:eastAsia="Times New Roman"/>
          <w:szCs w:val="20"/>
          <w:lang w:eastAsia="es-ES"/>
        </w:rPr>
      </w:pPr>
    </w:p>
    <w:p w14:paraId="7B33B69F"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Para efectos de acogerse a los beneficios de este </w:t>
      </w:r>
      <w:r>
        <w:rPr>
          <w:rFonts w:eastAsia="Times New Roman"/>
          <w:szCs w:val="20"/>
          <w:lang w:eastAsia="es-ES"/>
        </w:rPr>
        <w:t>T</w:t>
      </w:r>
      <w:r w:rsidRPr="003A2507">
        <w:rPr>
          <w:rFonts w:eastAsia="Times New Roman"/>
          <w:szCs w:val="20"/>
          <w:lang w:eastAsia="es-ES"/>
        </w:rPr>
        <w:t>ítulo el empleador que se encuentra en la situación descrita en la letra a) del inciso anterior deberá otorgar una autorización para que el Servicio de Impuestos Internos remita, por medios electrónicos, a la Dirección del Trabajo, la confirmación de que efectivamente se encuentra en dicha situación.</w:t>
      </w:r>
    </w:p>
    <w:p w14:paraId="09F1EA1A" w14:textId="77777777" w:rsidR="00526D2E" w:rsidRPr="003A2507" w:rsidRDefault="00526D2E" w:rsidP="00526D2E">
      <w:pPr>
        <w:jc w:val="both"/>
        <w:rPr>
          <w:rFonts w:eastAsia="Times New Roman"/>
          <w:szCs w:val="20"/>
          <w:lang w:eastAsia="es-ES"/>
        </w:rPr>
      </w:pPr>
    </w:p>
    <w:p w14:paraId="20AE9022"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t xml:space="preserve"> </w:t>
      </w:r>
      <w:r w:rsidRPr="003A2507">
        <w:rPr>
          <w:rFonts w:eastAsia="Times New Roman"/>
          <w:szCs w:val="20"/>
          <w:lang w:eastAsia="es-ES"/>
        </w:rPr>
        <w:t xml:space="preserve">Para verificar que el empleador se encuentra en alguna de las situaciones descritas en las letras </w:t>
      </w:r>
      <w:r>
        <w:rPr>
          <w:rFonts w:eastAsia="Times New Roman"/>
          <w:szCs w:val="20"/>
          <w:lang w:eastAsia="es-ES"/>
        </w:rPr>
        <w:t>b</w:t>
      </w:r>
      <w:r w:rsidRPr="003A2507">
        <w:rPr>
          <w:rFonts w:eastAsia="Times New Roman"/>
          <w:szCs w:val="20"/>
          <w:lang w:eastAsia="es-ES"/>
        </w:rPr>
        <w:t xml:space="preserve">) y </w:t>
      </w:r>
      <w:r>
        <w:rPr>
          <w:rFonts w:eastAsia="Times New Roman"/>
          <w:szCs w:val="20"/>
          <w:lang w:eastAsia="es-ES"/>
        </w:rPr>
        <w:t>c</w:t>
      </w:r>
      <w:r w:rsidRPr="003A2507">
        <w:rPr>
          <w:rFonts w:eastAsia="Times New Roman"/>
          <w:szCs w:val="20"/>
          <w:lang w:eastAsia="es-ES"/>
        </w:rPr>
        <w:t xml:space="preserve">), del inciso primero de este artículo, la Dirección del Trabajo solicitará a la Superintendencia de Insolvencia y </w:t>
      </w:r>
      <w:proofErr w:type="spellStart"/>
      <w:r w:rsidRPr="003A2507">
        <w:rPr>
          <w:rFonts w:eastAsia="Times New Roman"/>
          <w:szCs w:val="20"/>
          <w:lang w:eastAsia="es-ES"/>
        </w:rPr>
        <w:t>Reemprendimiento</w:t>
      </w:r>
      <w:proofErr w:type="spellEnd"/>
      <w:r w:rsidRPr="003A2507">
        <w:rPr>
          <w:rFonts w:eastAsia="Times New Roman"/>
          <w:szCs w:val="20"/>
          <w:lang w:eastAsia="es-ES"/>
        </w:rPr>
        <w:t xml:space="preserve"> la nómina de personas naturales y jurídicas que se encuentran en dichas circunstancias. </w:t>
      </w:r>
    </w:p>
    <w:p w14:paraId="63DC3407" w14:textId="77777777" w:rsidR="00526D2E" w:rsidRPr="003A2507" w:rsidRDefault="00526D2E" w:rsidP="00526D2E">
      <w:pPr>
        <w:jc w:val="both"/>
        <w:rPr>
          <w:rFonts w:eastAsia="Times New Roman"/>
          <w:szCs w:val="20"/>
          <w:lang w:eastAsia="es-ES"/>
        </w:rPr>
      </w:pPr>
    </w:p>
    <w:p w14:paraId="11C4DBEB"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Respecto de la letra </w:t>
      </w:r>
      <w:r>
        <w:rPr>
          <w:rFonts w:eastAsia="Times New Roman"/>
          <w:szCs w:val="20"/>
          <w:lang w:eastAsia="es-ES"/>
        </w:rPr>
        <w:t>d</w:t>
      </w:r>
      <w:r w:rsidRPr="003A2507">
        <w:rPr>
          <w:rFonts w:eastAsia="Times New Roman"/>
          <w:szCs w:val="20"/>
          <w:lang w:eastAsia="es-ES"/>
        </w:rPr>
        <w:t xml:space="preserve">), del inciso primero de este artículo, el empleador conjuntamente con el o los trabajadores respectivos deberán, al momento de celebrar el pacto, realizar una declaración jurada simple ante la Dirección del Trabajo, en la que den cuenta de la efectividad de los hechos o circunstancias descritas en el referido literal. </w:t>
      </w:r>
    </w:p>
    <w:p w14:paraId="48358503" w14:textId="77777777" w:rsidR="00526D2E" w:rsidRPr="003A2507" w:rsidRDefault="00526D2E" w:rsidP="00526D2E">
      <w:pPr>
        <w:jc w:val="both"/>
        <w:rPr>
          <w:rFonts w:eastAsia="Times New Roman"/>
          <w:szCs w:val="20"/>
          <w:lang w:eastAsia="es-ES"/>
        </w:rPr>
      </w:pPr>
    </w:p>
    <w:p w14:paraId="483C983C" w14:textId="77777777" w:rsidR="00526D2E" w:rsidRPr="003A2507" w:rsidRDefault="00526D2E" w:rsidP="00526D2E">
      <w:pPr>
        <w:jc w:val="both"/>
        <w:rPr>
          <w:rFonts w:eastAsia="Times New Roman"/>
          <w:szCs w:val="20"/>
          <w:lang w:eastAsia="es-ES"/>
        </w:rPr>
      </w:pPr>
      <w:r>
        <w:rPr>
          <w:rFonts w:eastAsia="Times New Roman"/>
          <w:szCs w:val="20"/>
          <w:lang w:eastAsia="es-ES"/>
        </w:rPr>
        <w:lastRenderedPageBreak/>
        <w:t xml:space="preserve"> </w:t>
      </w:r>
      <w:r>
        <w:rPr>
          <w:rFonts w:eastAsia="Times New Roman"/>
          <w:szCs w:val="20"/>
          <w:lang w:eastAsia="es-ES"/>
        </w:rPr>
        <w:tab/>
      </w:r>
      <w:r w:rsidRPr="003A2507">
        <w:rPr>
          <w:rFonts w:eastAsia="Times New Roman"/>
          <w:szCs w:val="20"/>
          <w:lang w:eastAsia="es-ES"/>
        </w:rPr>
        <w:t>Sólo se podrá mantener vigente un pacto de reducción temporal de jornada por cada relación laboral.</w:t>
      </w:r>
    </w:p>
    <w:p w14:paraId="57A90EF6" w14:textId="77777777" w:rsidR="00526D2E" w:rsidRPr="003A2507" w:rsidRDefault="00526D2E" w:rsidP="00526D2E">
      <w:pPr>
        <w:jc w:val="both"/>
        <w:rPr>
          <w:rFonts w:eastAsia="Times New Roman"/>
          <w:szCs w:val="20"/>
          <w:lang w:eastAsia="es-ES"/>
        </w:rPr>
      </w:pPr>
    </w:p>
    <w:p w14:paraId="0BAFD30E"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9.-</w:t>
      </w:r>
      <w:r>
        <w:rPr>
          <w:rFonts w:eastAsia="Times New Roman"/>
          <w:szCs w:val="20"/>
          <w:lang w:eastAsia="es-ES"/>
        </w:rPr>
        <w:t xml:space="preserve"> </w:t>
      </w:r>
      <w:r w:rsidRPr="003A2507">
        <w:rPr>
          <w:rFonts w:eastAsia="Times New Roman"/>
          <w:szCs w:val="20"/>
          <w:lang w:eastAsia="es-ES"/>
        </w:rPr>
        <w:t xml:space="preserve">El pacto de reducción temporal de la jornada de trabajo a que se refiere este </w:t>
      </w:r>
      <w:r>
        <w:rPr>
          <w:rFonts w:eastAsia="Times New Roman"/>
          <w:szCs w:val="20"/>
          <w:lang w:eastAsia="es-ES"/>
        </w:rPr>
        <w:t>T</w:t>
      </w:r>
      <w:r w:rsidRPr="003A2507">
        <w:rPr>
          <w:rFonts w:eastAsia="Times New Roman"/>
          <w:szCs w:val="20"/>
          <w:lang w:eastAsia="es-ES"/>
        </w:rPr>
        <w:t xml:space="preserve">ítulo, podrá ser suscrito por el trabajador que registre diez cotizaciones mensuales en el Fondo de Cesantía, continuas o discontinuas, en el caso de trabajadores con contrato de trabajo indefinido, y cinco cotizaciones mensuales, continuas o discontinuas, en el caso de trabajadores con contrato a plazo fijo, o por una obra, trabajo o servicio determinado; en ambos casos, desde su afiliación al </w:t>
      </w:r>
      <w:r>
        <w:rPr>
          <w:rFonts w:eastAsia="Times New Roman"/>
          <w:szCs w:val="20"/>
          <w:lang w:eastAsia="es-ES"/>
        </w:rPr>
        <w:t>s</w:t>
      </w:r>
      <w:r w:rsidRPr="003A2507">
        <w:rPr>
          <w:rFonts w:eastAsia="Times New Roman"/>
          <w:szCs w:val="20"/>
          <w:lang w:eastAsia="es-ES"/>
        </w:rPr>
        <w:t xml:space="preserve">eguro de </w:t>
      </w:r>
      <w:r>
        <w:rPr>
          <w:rFonts w:eastAsia="Times New Roman"/>
          <w:szCs w:val="20"/>
          <w:lang w:eastAsia="es-ES"/>
        </w:rPr>
        <w:t>d</w:t>
      </w:r>
      <w:r w:rsidRPr="003A2507">
        <w:rPr>
          <w:rFonts w:eastAsia="Times New Roman"/>
          <w:szCs w:val="20"/>
          <w:lang w:eastAsia="es-ES"/>
        </w:rPr>
        <w:t xml:space="preserve">esempleo o desde que se devengó el último giro por cesantía a que hubieren tenido derecho. Para acceder a las prestaciones con cargo al Fondo de Cesantía Solidario, dichas cotizaciones deberán haberse registrado en los últimos 24 meses anteriores a la fecha de la celebración del pacto respectivo. Adicionalmente, el trabajador debe registrar las tres últimas cotizaciones continuas con el mismo empleador con quien suscriba el pacto de reducción temporal de jornada. </w:t>
      </w:r>
    </w:p>
    <w:p w14:paraId="734071D6" w14:textId="77777777" w:rsidR="00526D2E" w:rsidRPr="003A2507" w:rsidRDefault="00526D2E" w:rsidP="00526D2E">
      <w:pPr>
        <w:jc w:val="both"/>
        <w:rPr>
          <w:rFonts w:eastAsia="Times New Roman"/>
          <w:szCs w:val="20"/>
          <w:lang w:eastAsia="es-ES"/>
        </w:rPr>
      </w:pPr>
    </w:p>
    <w:p w14:paraId="0A5C0FF6"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No podrán pactar la reducción temporal de la jornada de trabajo, aquellos trabajadores que se encuentren gozando de fuero laboral.</w:t>
      </w:r>
    </w:p>
    <w:p w14:paraId="08DD1588" w14:textId="77777777" w:rsidR="00526D2E" w:rsidRPr="003A2507" w:rsidRDefault="00526D2E" w:rsidP="00526D2E">
      <w:pPr>
        <w:jc w:val="both"/>
        <w:rPr>
          <w:rFonts w:eastAsia="Times New Roman"/>
          <w:szCs w:val="20"/>
          <w:lang w:eastAsia="es-ES"/>
        </w:rPr>
      </w:pPr>
    </w:p>
    <w:p w14:paraId="248FA89F"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Para efectos de que la Dirección del Trabajo verifique que el trabajador está habilitado para suscribir este pacto, la Sociedad Administradora de Fondos de Cesantía deberá remitirle, por medios electrónicos y al menos mensualmente, la nómina de los trabajadores que cumplen los requisitos de cotizaciones a que se refiere el inciso primero cuyos empleadores estén habilitados para celebrar el pacto conforme a esta ley.</w:t>
      </w:r>
    </w:p>
    <w:p w14:paraId="3644A7AA" w14:textId="77777777" w:rsidR="00526D2E" w:rsidRPr="003A2507" w:rsidRDefault="00526D2E" w:rsidP="00526D2E">
      <w:pPr>
        <w:jc w:val="both"/>
        <w:rPr>
          <w:rFonts w:eastAsia="Times New Roman"/>
          <w:szCs w:val="20"/>
          <w:lang w:eastAsia="es-ES"/>
        </w:rPr>
      </w:pPr>
    </w:p>
    <w:p w14:paraId="02E0FEAD"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10.-</w:t>
      </w:r>
      <w:r>
        <w:rPr>
          <w:rFonts w:eastAsia="Times New Roman"/>
          <w:szCs w:val="20"/>
          <w:lang w:eastAsia="es-ES"/>
        </w:rPr>
        <w:t xml:space="preserve"> </w:t>
      </w:r>
      <w:r w:rsidRPr="003A2507">
        <w:rPr>
          <w:rFonts w:eastAsia="Times New Roman"/>
          <w:szCs w:val="20"/>
          <w:lang w:eastAsia="es-ES"/>
        </w:rPr>
        <w:t xml:space="preserve">La reducción temporal de la jornada de trabajo se podrá pactar durante la vigencia de la presente ley por un periodo máximo de cinco meses continuos, para trabajadores con contrato de trabajo indefinido, y de tres meses continuos, para trabajadores con contrato de trabajo a plazo fijo, por una obra, trabajo o servicio determinado. La duración mínima de un pacto de reducción temporal de la jornada de trabajo será de un mes. Cada pacto deberá cumplir con los requisitos establecidos en esta ley y su duración quedará sujeta a los límites señalados precedentemente. </w:t>
      </w:r>
    </w:p>
    <w:p w14:paraId="0C96E521" w14:textId="77777777" w:rsidR="00526D2E" w:rsidRPr="003A2507" w:rsidRDefault="00526D2E" w:rsidP="00526D2E">
      <w:pPr>
        <w:jc w:val="both"/>
        <w:rPr>
          <w:rFonts w:eastAsia="Times New Roman"/>
          <w:szCs w:val="20"/>
          <w:lang w:eastAsia="es-ES"/>
        </w:rPr>
      </w:pPr>
    </w:p>
    <w:p w14:paraId="13E0D1E6"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Las partes no podrán pactar la ejecución diferida de la reducción temporal de la jornada de trabajo. Todos sus efectos deberán ejecutarse a partir del primer día del mes siguiente a la fecha de celebración del pacto respectivo. </w:t>
      </w:r>
    </w:p>
    <w:p w14:paraId="32E123C9" w14:textId="77777777" w:rsidR="00526D2E" w:rsidRPr="003A2507" w:rsidRDefault="00526D2E" w:rsidP="00526D2E">
      <w:pPr>
        <w:jc w:val="both"/>
        <w:rPr>
          <w:rFonts w:eastAsia="Times New Roman"/>
          <w:szCs w:val="20"/>
          <w:lang w:eastAsia="es-ES"/>
        </w:rPr>
      </w:pPr>
    </w:p>
    <w:p w14:paraId="0226AC4E"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Una vez finalizado el plazo establecido en el pacto de reducción temporal de la jornada de trabajo se reestablecerán, de pleno derecho, las condiciones contractuales originalmente convenidas, teniéndose por no escrita cualquier disposición en contrario.</w:t>
      </w:r>
    </w:p>
    <w:p w14:paraId="20ACD2BD" w14:textId="77777777" w:rsidR="00526D2E" w:rsidRPr="003A2507" w:rsidRDefault="00526D2E" w:rsidP="00526D2E">
      <w:pPr>
        <w:jc w:val="both"/>
        <w:rPr>
          <w:rFonts w:eastAsia="Times New Roman"/>
          <w:szCs w:val="20"/>
          <w:lang w:eastAsia="es-ES"/>
        </w:rPr>
      </w:pPr>
    </w:p>
    <w:p w14:paraId="211D66CE" w14:textId="77777777" w:rsidR="00526D2E"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11.-</w:t>
      </w:r>
      <w:r>
        <w:rPr>
          <w:rFonts w:eastAsia="Times New Roman"/>
          <w:szCs w:val="20"/>
          <w:lang w:eastAsia="es-ES"/>
        </w:rPr>
        <w:t xml:space="preserve"> </w:t>
      </w:r>
      <w:r w:rsidRPr="003A2507">
        <w:rPr>
          <w:rFonts w:eastAsia="Times New Roman"/>
          <w:szCs w:val="20"/>
          <w:lang w:eastAsia="es-ES"/>
        </w:rPr>
        <w:t xml:space="preserve">Durante la vigencia del pacto de reducción temporal de la jornada de trabajo, el trabajador tendrá derecho a recibir una remuneración de cargo del empleador equivalente a la jornada reducida. Para este efecto, se considerará el promedio de las remuneraciones imponibles devengadas en los últimos tres meses inmediatamente anteriores al inicio del pacto, sin considerar la remuneración que se pueda pactar en virtud del inciso tercero del artículo 1. </w:t>
      </w:r>
    </w:p>
    <w:p w14:paraId="7FFDC044" w14:textId="77777777" w:rsidR="00526D2E" w:rsidRPr="003A2507" w:rsidRDefault="00526D2E" w:rsidP="00526D2E">
      <w:pPr>
        <w:jc w:val="both"/>
        <w:rPr>
          <w:rFonts w:eastAsia="Times New Roman"/>
          <w:szCs w:val="20"/>
          <w:lang w:eastAsia="es-ES"/>
        </w:rPr>
      </w:pPr>
    </w:p>
    <w:p w14:paraId="44C5E794"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El trabajador tendrá derecho a continuar percibiendo las remuneraciones o beneficios cuyo pago corresponda efectuarse durante la vigencia del pacto, tales como aguinaldos, asignaciones, bonos y otros conceptos excepcionales o esporádicos, y cualquier otra contraprestación que no constituya remuneración de acuerdo con lo dispuesto en el inciso segundo del artículo 41 del Código del Trabajo, sin perjuicio de los descuentos que correspondieren conforme a lo establecido en el artículo 58 del mismo Código.</w:t>
      </w:r>
    </w:p>
    <w:p w14:paraId="7751E62A" w14:textId="77777777" w:rsidR="00526D2E" w:rsidRPr="003A2507" w:rsidRDefault="00526D2E" w:rsidP="00526D2E">
      <w:pPr>
        <w:jc w:val="both"/>
        <w:rPr>
          <w:rFonts w:eastAsia="Times New Roman"/>
          <w:szCs w:val="20"/>
          <w:lang w:eastAsia="es-ES"/>
        </w:rPr>
      </w:pPr>
    </w:p>
    <w:p w14:paraId="1BF7CB73"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Durante la vigencia del pacto, el empleador estará obligado a pagar y enterar las cotizaciones previsionales y de seguridad social, correspondientes a la remuneración imponible convenida en el pacto. </w:t>
      </w:r>
    </w:p>
    <w:p w14:paraId="0C44CDBA" w14:textId="77777777" w:rsidR="00526D2E" w:rsidRPr="003A2507" w:rsidRDefault="00526D2E" w:rsidP="00526D2E">
      <w:pPr>
        <w:jc w:val="both"/>
        <w:rPr>
          <w:rFonts w:eastAsia="Times New Roman"/>
          <w:szCs w:val="20"/>
          <w:lang w:eastAsia="es-ES"/>
        </w:rPr>
      </w:pPr>
    </w:p>
    <w:p w14:paraId="46950EF8"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Asimismo, durante dicho período, los trabajadores tendrán derecho a un complemento con cargo a los recursos de su </w:t>
      </w:r>
      <w:r>
        <w:rPr>
          <w:rFonts w:eastAsia="Times New Roman"/>
          <w:szCs w:val="20"/>
          <w:lang w:eastAsia="es-ES"/>
        </w:rPr>
        <w:t>c</w:t>
      </w:r>
      <w:r w:rsidRPr="003A2507">
        <w:rPr>
          <w:rFonts w:eastAsia="Times New Roman"/>
          <w:szCs w:val="20"/>
          <w:lang w:eastAsia="es-ES"/>
        </w:rPr>
        <w:t xml:space="preserve">uenta </w:t>
      </w:r>
      <w:r>
        <w:rPr>
          <w:rFonts w:eastAsia="Times New Roman"/>
          <w:szCs w:val="20"/>
          <w:lang w:eastAsia="es-ES"/>
        </w:rPr>
        <w:t>i</w:t>
      </w:r>
      <w:r w:rsidRPr="003A2507">
        <w:rPr>
          <w:rFonts w:eastAsia="Times New Roman"/>
          <w:szCs w:val="20"/>
          <w:lang w:eastAsia="es-ES"/>
        </w:rPr>
        <w:t xml:space="preserve">ndividual por </w:t>
      </w:r>
      <w:r>
        <w:rPr>
          <w:rFonts w:eastAsia="Times New Roman"/>
          <w:szCs w:val="20"/>
          <w:lang w:eastAsia="es-ES"/>
        </w:rPr>
        <w:t>c</w:t>
      </w:r>
      <w:r w:rsidRPr="003A2507">
        <w:rPr>
          <w:rFonts w:eastAsia="Times New Roman"/>
          <w:szCs w:val="20"/>
          <w:lang w:eastAsia="es-ES"/>
        </w:rPr>
        <w:t>esantía del trabajador, y, cuando estos se agoten, se financiarán con cargo al Fondo de Cesantía Solidario. En caso de que la jornada de trabajo se reduzca en un 50%, este complemento ascenderá a un 25% del promedio de la remuneración imponible del trabajador devengada en los últimos tres meses anteriores al inicio del pacto. Si la reducción es inferior al 50%, el complemento se determinará proporcionalmente. Con todo, el complemento tendrá un límite máximo mensual de $225.000 por cada trabajador afecto a una jornada ordinaria, según lo dispuesto en el inciso primero del artículo 22 del Código del Trabajo. Este límite máximo se reducirá proporcionalmente en caso de jornadas inferiores a la antes señalada.</w:t>
      </w:r>
    </w:p>
    <w:p w14:paraId="5F6C14FC" w14:textId="77777777" w:rsidR="00526D2E" w:rsidRPr="003A2507" w:rsidRDefault="00526D2E" w:rsidP="00526D2E">
      <w:pPr>
        <w:jc w:val="both"/>
        <w:rPr>
          <w:rFonts w:eastAsia="Times New Roman"/>
          <w:szCs w:val="20"/>
          <w:lang w:eastAsia="es-ES"/>
        </w:rPr>
      </w:pPr>
    </w:p>
    <w:p w14:paraId="506E0008"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En el evento que se celebren pactos de reducción temporal de la jornada de trabajo sucesivos con un mismo empleador, el promedio de la remuneración imponible de los últimos tres meses se calculará considerando la remuneración imponible declarada con anterioridad a la celebración del primer pacto, sin considerar la remuneración que se pueda pactar en virtud del inciso tercero del artículo 1.</w:t>
      </w:r>
    </w:p>
    <w:p w14:paraId="27040FBF" w14:textId="77777777" w:rsidR="00526D2E" w:rsidRPr="003A2507" w:rsidRDefault="00526D2E" w:rsidP="00526D2E">
      <w:pPr>
        <w:jc w:val="both"/>
        <w:rPr>
          <w:rFonts w:eastAsia="Times New Roman"/>
          <w:szCs w:val="20"/>
          <w:lang w:eastAsia="es-ES"/>
        </w:rPr>
      </w:pPr>
    </w:p>
    <w:p w14:paraId="61DCC7E2"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El Fondo de Cesantía Solidario aportará a la cuenta de capitalización individual obligatoria para pensiones de los trabajadores afectos a pactos de reducción temporal de la jornada de trabajo, el monto equivalente al 10% del complemento a que se refiere este artículo. Este aporte deberá ser enterado por la Sociedad Administradora de Fondos de Cesantía y </w:t>
      </w:r>
      <w:r w:rsidRPr="003A2507">
        <w:rPr>
          <w:rFonts w:eastAsia="Times New Roman"/>
          <w:szCs w:val="20"/>
          <w:lang w:eastAsia="es-ES"/>
        </w:rPr>
        <w:lastRenderedPageBreak/>
        <w:t>no estará afecto al cobro de comisiones por parte de la Administradora de Fondos de Pensiones correspondiente.</w:t>
      </w:r>
    </w:p>
    <w:p w14:paraId="6DED1D76" w14:textId="77777777" w:rsidR="00526D2E" w:rsidRPr="003A2507" w:rsidRDefault="00526D2E" w:rsidP="00526D2E">
      <w:pPr>
        <w:jc w:val="both"/>
        <w:rPr>
          <w:rFonts w:eastAsia="Times New Roman"/>
          <w:szCs w:val="20"/>
          <w:lang w:eastAsia="es-ES"/>
        </w:rPr>
      </w:pPr>
    </w:p>
    <w:p w14:paraId="3C903B71"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El complemento no se considerará remuneración ni renta para todos los efectos legales y, sin perjuicio de lo dispuesto en el inciso anterior, no estará afecto a cotización previsional alguna, ni será embargable. Asimismo, será compatible con otros beneficios económicos que se otorguen u obtengan, con los requisitos pertinentes por aplicación de otras leyes.</w:t>
      </w:r>
    </w:p>
    <w:p w14:paraId="04453665" w14:textId="77777777" w:rsidR="00526D2E" w:rsidRPr="003A2507" w:rsidRDefault="00526D2E" w:rsidP="00526D2E">
      <w:pPr>
        <w:jc w:val="both"/>
        <w:rPr>
          <w:rFonts w:eastAsia="Times New Roman"/>
          <w:szCs w:val="20"/>
          <w:lang w:eastAsia="es-ES"/>
        </w:rPr>
      </w:pPr>
    </w:p>
    <w:p w14:paraId="6E447A15"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12.-</w:t>
      </w:r>
      <w:r>
        <w:rPr>
          <w:rFonts w:eastAsia="Times New Roman"/>
          <w:szCs w:val="20"/>
          <w:lang w:eastAsia="es-ES"/>
        </w:rPr>
        <w:t xml:space="preserve"> </w:t>
      </w:r>
      <w:r w:rsidRPr="003A2507">
        <w:rPr>
          <w:rFonts w:eastAsia="Times New Roman"/>
          <w:szCs w:val="20"/>
          <w:lang w:eastAsia="es-ES"/>
        </w:rPr>
        <w:t>El pacto de reducción temporal de la jornada de trabajo deberá suscribirse, preferentemente, de forma electrónica, a través de la plataforma en línea que habilite la Dirección del Trabajo para este efecto, entendiéndose el pacto suscrito electrónicamente como un anexo al contrato de trabajo, que deberá contener, a lo menos, las siguientes estipulaciones:</w:t>
      </w:r>
    </w:p>
    <w:p w14:paraId="540C7D13" w14:textId="77777777" w:rsidR="00526D2E" w:rsidRPr="003A2507" w:rsidRDefault="00526D2E" w:rsidP="00526D2E">
      <w:pPr>
        <w:jc w:val="both"/>
        <w:rPr>
          <w:rFonts w:eastAsia="Times New Roman"/>
          <w:szCs w:val="20"/>
          <w:lang w:eastAsia="es-ES"/>
        </w:rPr>
      </w:pPr>
    </w:p>
    <w:p w14:paraId="7E272F12"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w:t>
      </w:r>
      <w:r>
        <w:rPr>
          <w:rFonts w:eastAsia="Times New Roman"/>
          <w:szCs w:val="20"/>
          <w:lang w:eastAsia="es-ES"/>
        </w:rPr>
        <w:t xml:space="preserve"> </w:t>
      </w:r>
      <w:r w:rsidRPr="003A2507">
        <w:rPr>
          <w:rFonts w:eastAsia="Times New Roman"/>
          <w:szCs w:val="20"/>
          <w:lang w:eastAsia="es-ES"/>
        </w:rPr>
        <w:t>Individualización de las partes, con indicación del rol único tributario del empleador, del rol único nacional del trabajador e información necesaria para materializar el pago del complemento a que se refiere la presente ley que realizará la Sociedad Administradora de Fondos de Cesantía;</w:t>
      </w:r>
    </w:p>
    <w:p w14:paraId="4045B854" w14:textId="77777777" w:rsidR="00526D2E" w:rsidRPr="003A2507" w:rsidRDefault="00526D2E" w:rsidP="00526D2E">
      <w:pPr>
        <w:jc w:val="both"/>
        <w:rPr>
          <w:rFonts w:eastAsia="Times New Roman"/>
          <w:szCs w:val="20"/>
          <w:lang w:eastAsia="es-ES"/>
        </w:rPr>
      </w:pPr>
    </w:p>
    <w:p w14:paraId="4DBD52D8"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b)</w:t>
      </w:r>
      <w:r>
        <w:rPr>
          <w:rFonts w:eastAsia="Times New Roman"/>
          <w:szCs w:val="20"/>
          <w:lang w:eastAsia="es-ES"/>
        </w:rPr>
        <w:t xml:space="preserve"> </w:t>
      </w:r>
      <w:r w:rsidRPr="003A2507">
        <w:rPr>
          <w:rFonts w:eastAsia="Times New Roman"/>
          <w:szCs w:val="20"/>
          <w:lang w:eastAsia="es-ES"/>
        </w:rPr>
        <w:t>Duración y fecha de entrada en vigencia del pacto;</w:t>
      </w:r>
    </w:p>
    <w:p w14:paraId="73200A9F" w14:textId="77777777" w:rsidR="00526D2E" w:rsidRPr="003A2507" w:rsidRDefault="00526D2E" w:rsidP="00526D2E">
      <w:pPr>
        <w:jc w:val="both"/>
        <w:rPr>
          <w:rFonts w:eastAsia="Times New Roman"/>
          <w:szCs w:val="20"/>
          <w:lang w:eastAsia="es-ES"/>
        </w:rPr>
      </w:pPr>
    </w:p>
    <w:p w14:paraId="2F447404"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c)</w:t>
      </w:r>
      <w:r>
        <w:rPr>
          <w:rFonts w:eastAsia="Times New Roman"/>
          <w:szCs w:val="20"/>
          <w:lang w:eastAsia="es-ES"/>
        </w:rPr>
        <w:t xml:space="preserve"> </w:t>
      </w:r>
      <w:r w:rsidRPr="003A2507">
        <w:rPr>
          <w:rFonts w:eastAsia="Times New Roman"/>
          <w:szCs w:val="20"/>
          <w:lang w:eastAsia="es-ES"/>
        </w:rPr>
        <w:t>Promedio de las remuneraciones imponibles devengadas por el trabajador en los últimos tres meses anteriores a la celebración del pacto;</w:t>
      </w:r>
    </w:p>
    <w:p w14:paraId="702399D6" w14:textId="77777777" w:rsidR="00526D2E" w:rsidRPr="003A2507" w:rsidRDefault="00526D2E" w:rsidP="00526D2E">
      <w:pPr>
        <w:jc w:val="both"/>
        <w:rPr>
          <w:rFonts w:eastAsia="Times New Roman"/>
          <w:szCs w:val="20"/>
          <w:lang w:eastAsia="es-ES"/>
        </w:rPr>
      </w:pPr>
    </w:p>
    <w:p w14:paraId="20D1A586"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d)</w:t>
      </w:r>
      <w:r>
        <w:rPr>
          <w:rFonts w:eastAsia="Times New Roman"/>
          <w:szCs w:val="20"/>
          <w:lang w:eastAsia="es-ES"/>
        </w:rPr>
        <w:t xml:space="preserve"> </w:t>
      </w:r>
      <w:r w:rsidRPr="003A2507">
        <w:rPr>
          <w:rFonts w:eastAsia="Times New Roman"/>
          <w:szCs w:val="20"/>
          <w:lang w:eastAsia="es-ES"/>
        </w:rPr>
        <w:t>Jornada de trabajo reducida, porcentaje de la reducción de la jornada de trabajo convenida y remuneración correspondiente a dicha jornada; y</w:t>
      </w:r>
    </w:p>
    <w:p w14:paraId="25C7C60C" w14:textId="77777777" w:rsidR="00526D2E" w:rsidRPr="003A2507" w:rsidRDefault="00526D2E" w:rsidP="00526D2E">
      <w:pPr>
        <w:jc w:val="both"/>
        <w:rPr>
          <w:rFonts w:eastAsia="Times New Roman"/>
          <w:szCs w:val="20"/>
          <w:lang w:eastAsia="es-ES"/>
        </w:rPr>
      </w:pPr>
    </w:p>
    <w:p w14:paraId="7C056EF5"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e)</w:t>
      </w:r>
      <w:r>
        <w:rPr>
          <w:rFonts w:eastAsia="Times New Roman"/>
          <w:szCs w:val="20"/>
          <w:lang w:eastAsia="es-ES"/>
        </w:rPr>
        <w:t xml:space="preserve"> </w:t>
      </w:r>
      <w:r w:rsidRPr="003A2507">
        <w:rPr>
          <w:rFonts w:eastAsia="Times New Roman"/>
          <w:szCs w:val="20"/>
          <w:lang w:eastAsia="es-ES"/>
        </w:rPr>
        <w:t>Declaración jurada simple del empleador respecto a que se cumplen los requisitos establecidos en el presente título para la celebración del pacto de reducción temporal de la jornada de trabajo.</w:t>
      </w:r>
    </w:p>
    <w:p w14:paraId="777E9A79" w14:textId="77777777" w:rsidR="00526D2E" w:rsidRPr="003A2507" w:rsidRDefault="00526D2E" w:rsidP="00526D2E">
      <w:pPr>
        <w:jc w:val="both"/>
        <w:rPr>
          <w:rFonts w:eastAsia="Times New Roman"/>
          <w:szCs w:val="20"/>
          <w:lang w:eastAsia="es-ES"/>
        </w:rPr>
      </w:pPr>
    </w:p>
    <w:p w14:paraId="4EF8FC55"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En el evento que el pacto de reducción temporal de la jornada de trabajo sea suscrito entre el empleador y la organización sindical respectiva, éste deberá contener todas las estipulaciones señaladas en las letras precedentes respecto de los trabajadores a quienes dicha organización represente, debiendo registrarse el pacto suscrito, física o electrónicamente, ante la Dirección del Trabajo. </w:t>
      </w:r>
    </w:p>
    <w:p w14:paraId="40F523C4"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La Dirección del Trabajo informará por medios electrónicos y al menos mensualmente a la Sociedad Administradora de Fondos de Cesantía la individualización de los trabajadores y empleadores que celebren los referidos pactos y su contenido. </w:t>
      </w:r>
    </w:p>
    <w:p w14:paraId="1769FCB5" w14:textId="77777777" w:rsidR="00526D2E" w:rsidRPr="003A2507" w:rsidRDefault="00526D2E" w:rsidP="00526D2E">
      <w:pPr>
        <w:jc w:val="both"/>
        <w:rPr>
          <w:rFonts w:eastAsia="Times New Roman"/>
          <w:szCs w:val="20"/>
          <w:lang w:eastAsia="es-ES"/>
        </w:rPr>
      </w:pPr>
    </w:p>
    <w:p w14:paraId="581071D0"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El derecho del trabajador al complemento a que se refiere el artículo 11 de la presente ley, se devengará para el trabajador a partir del primer día del mes siguiente a la fecha de celebración del pacto respectivo. La Dirección del Trabajo deberá informar a la Sociedad Administradora de Fondos de Cesantía sobre la suscripción del pacto de reducción temporal de la jornada de trabajo. </w:t>
      </w:r>
      <w:r w:rsidRPr="003A2507">
        <w:rPr>
          <w:rFonts w:eastAsia="Times New Roman"/>
          <w:szCs w:val="20"/>
          <w:lang w:eastAsia="es-ES"/>
        </w:rPr>
        <w:tab/>
      </w:r>
    </w:p>
    <w:p w14:paraId="09EB0C09" w14:textId="77777777" w:rsidR="00526D2E" w:rsidRPr="003A2507" w:rsidRDefault="00526D2E" w:rsidP="00526D2E">
      <w:pPr>
        <w:jc w:val="both"/>
        <w:rPr>
          <w:rFonts w:eastAsia="Times New Roman"/>
          <w:szCs w:val="20"/>
          <w:lang w:eastAsia="es-ES"/>
        </w:rPr>
      </w:pPr>
    </w:p>
    <w:p w14:paraId="19397616"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La Sociedad Administradora de Fondos de Cesantía efectuará mensualmente los pagos del complemento en favor de cada trabajador y realizará los aportes respectivos a la cuenta de capitalización individual obligatoria para pensiones, a partir del primer día del mes siguiente a la fecha de ejecución del pacto respectivo, de acuerdo con la norma de carácter general que para tal efecto dicte la Superintendencia de Pensiones.</w:t>
      </w:r>
    </w:p>
    <w:p w14:paraId="4C73E20A" w14:textId="77777777" w:rsidR="00526D2E" w:rsidRPr="003A2507" w:rsidRDefault="00526D2E" w:rsidP="00526D2E">
      <w:pPr>
        <w:jc w:val="both"/>
        <w:rPr>
          <w:rFonts w:eastAsia="Times New Roman"/>
          <w:szCs w:val="20"/>
          <w:lang w:eastAsia="es-ES"/>
        </w:rPr>
      </w:pPr>
    </w:p>
    <w:p w14:paraId="14B36E61"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13.-</w:t>
      </w:r>
      <w:r>
        <w:rPr>
          <w:rFonts w:eastAsia="Times New Roman"/>
          <w:szCs w:val="20"/>
          <w:lang w:eastAsia="es-ES"/>
        </w:rPr>
        <w:t xml:space="preserve"> </w:t>
      </w:r>
      <w:r w:rsidRPr="003A2507">
        <w:rPr>
          <w:rFonts w:eastAsia="Times New Roman"/>
          <w:szCs w:val="20"/>
          <w:lang w:eastAsia="es-ES"/>
        </w:rPr>
        <w:t xml:space="preserve">En el evento que alguna de las partes pusiere término al contrato de trabajo durante la vigencia del pacto de reducción temporal de la jornada de trabajo o después de concluido éste, las indemnizaciones legales o convencionales que el trabajador tuviere derecho a percibir, se calcularán conforme a las remuneraciones y condiciones contractuales vigentes con anterioridad a la suscripción del pacto, sin considerar la remuneración que se pueda pactar en virtud del inciso tercero del artículo 1º. </w:t>
      </w:r>
    </w:p>
    <w:p w14:paraId="429E436C" w14:textId="77777777" w:rsidR="00526D2E" w:rsidRPr="003A2507" w:rsidRDefault="00526D2E" w:rsidP="00526D2E">
      <w:pPr>
        <w:jc w:val="both"/>
        <w:rPr>
          <w:rFonts w:eastAsia="Times New Roman"/>
          <w:szCs w:val="20"/>
          <w:lang w:eastAsia="es-ES"/>
        </w:rPr>
      </w:pPr>
    </w:p>
    <w:p w14:paraId="4C8D6B50"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La comunicación de término de contrato de trabajo a que se refiere el inciso tercero del artículo 162, el finiquito, renuncia y el mutuo acuerdo a que se refiere el artículo 177, ambos del Código del Trabajo, deberán informarse a la Dirección del Trabajo, preferentemente de forma electrónica. Dicha dirección deberá informar a la Sociedad Administradora de Fondos de Cesantía sobre el término de contrato de trabajo respectivo al más breve plazo.</w:t>
      </w:r>
    </w:p>
    <w:p w14:paraId="685AB72C" w14:textId="77777777" w:rsidR="00526D2E" w:rsidRPr="003A2507" w:rsidRDefault="00526D2E" w:rsidP="00526D2E">
      <w:pPr>
        <w:jc w:val="both"/>
        <w:rPr>
          <w:rFonts w:eastAsia="Times New Roman"/>
          <w:szCs w:val="20"/>
          <w:lang w:eastAsia="es-ES"/>
        </w:rPr>
      </w:pPr>
    </w:p>
    <w:p w14:paraId="7B320E63" w14:textId="77777777" w:rsidR="00526D2E" w:rsidRPr="003A2507" w:rsidRDefault="00526D2E" w:rsidP="00526D2E">
      <w:pPr>
        <w:jc w:val="center"/>
        <w:rPr>
          <w:rFonts w:eastAsia="Times New Roman"/>
          <w:szCs w:val="20"/>
          <w:lang w:eastAsia="es-ES"/>
        </w:rPr>
      </w:pPr>
      <w:r w:rsidRPr="003A2507">
        <w:rPr>
          <w:rFonts w:eastAsia="Times New Roman"/>
          <w:szCs w:val="20"/>
          <w:lang w:eastAsia="es-ES"/>
        </w:rPr>
        <w:t>Título III</w:t>
      </w:r>
    </w:p>
    <w:p w14:paraId="4A5EF263" w14:textId="77777777" w:rsidR="00526D2E" w:rsidRPr="003A2507" w:rsidRDefault="00526D2E" w:rsidP="00526D2E">
      <w:pPr>
        <w:jc w:val="center"/>
        <w:rPr>
          <w:rFonts w:eastAsia="Times New Roman"/>
          <w:szCs w:val="20"/>
          <w:lang w:eastAsia="es-ES"/>
        </w:rPr>
      </w:pPr>
      <w:r w:rsidRPr="003A2507">
        <w:rPr>
          <w:rFonts w:eastAsia="Times New Roman"/>
          <w:szCs w:val="20"/>
          <w:lang w:eastAsia="es-ES"/>
        </w:rPr>
        <w:t>Disposiciones finales</w:t>
      </w:r>
    </w:p>
    <w:p w14:paraId="378594B6" w14:textId="77777777" w:rsidR="00526D2E" w:rsidRPr="003A2507" w:rsidRDefault="00526D2E" w:rsidP="00526D2E">
      <w:pPr>
        <w:jc w:val="both"/>
        <w:rPr>
          <w:rFonts w:eastAsia="Times New Roman"/>
          <w:szCs w:val="20"/>
          <w:lang w:eastAsia="es-ES"/>
        </w:rPr>
      </w:pPr>
    </w:p>
    <w:p w14:paraId="1AA6CE4E"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14.-</w:t>
      </w:r>
      <w:r>
        <w:rPr>
          <w:rFonts w:eastAsia="Times New Roman"/>
          <w:szCs w:val="20"/>
          <w:lang w:eastAsia="es-ES"/>
        </w:rPr>
        <w:t xml:space="preserve"> </w:t>
      </w:r>
      <w:r w:rsidRPr="003A2507">
        <w:rPr>
          <w:rFonts w:eastAsia="Times New Roman"/>
          <w:szCs w:val="20"/>
          <w:lang w:eastAsia="es-ES"/>
        </w:rPr>
        <w:t>Las personas que, conforme a la presente ley, obtuvieren mediante simulación o engaño complementos y/o prestaciones y, qui</w:t>
      </w:r>
      <w:r>
        <w:rPr>
          <w:rFonts w:eastAsia="Times New Roman"/>
          <w:szCs w:val="20"/>
          <w:lang w:eastAsia="es-ES"/>
        </w:rPr>
        <w:t>é</w:t>
      </w:r>
      <w:r w:rsidRPr="003A2507">
        <w:rPr>
          <w:rFonts w:eastAsia="Times New Roman"/>
          <w:szCs w:val="20"/>
          <w:lang w:eastAsia="es-ES"/>
        </w:rPr>
        <w:t xml:space="preserve">nes de igual forma, obtuvieren un beneficio mayor al que les corresponda, serán sancionadas con reclusión menor en sus grados </w:t>
      </w:r>
      <w:r w:rsidRPr="00E15CF0">
        <w:rPr>
          <w:rFonts w:eastAsia="Times New Roman"/>
          <w:b/>
          <w:bCs/>
          <w:szCs w:val="20"/>
          <w:lang w:eastAsia="es-ES"/>
        </w:rPr>
        <w:t>medio a máximo</w:t>
      </w:r>
      <w:r w:rsidRPr="003A2507">
        <w:rPr>
          <w:rFonts w:eastAsia="Times New Roman"/>
          <w:szCs w:val="20"/>
          <w:lang w:eastAsia="es-ES"/>
        </w:rPr>
        <w:t>. Igual sanción será aplicable a quienes faciliten los medios para la comisión de tales delitos. Lo anterior, es sin perjuicio de la obligación de restituir</w:t>
      </w:r>
      <w:r>
        <w:rPr>
          <w:rFonts w:eastAsia="Times New Roman"/>
          <w:szCs w:val="20"/>
          <w:lang w:eastAsia="es-ES"/>
        </w:rPr>
        <w:t xml:space="preserve"> </w:t>
      </w:r>
      <w:r w:rsidRPr="003A2507">
        <w:rPr>
          <w:rFonts w:eastAsia="Times New Roman"/>
          <w:szCs w:val="20"/>
          <w:lang w:eastAsia="es-ES"/>
        </w:rPr>
        <w:t>las sumas indebidamente percibidas, con los reajustes que conforme a derecho correspondan</w:t>
      </w:r>
      <w:r>
        <w:rPr>
          <w:rFonts w:eastAsia="Times New Roman"/>
          <w:szCs w:val="20"/>
          <w:lang w:eastAsia="es-ES"/>
        </w:rPr>
        <w:t>.</w:t>
      </w:r>
      <w:r w:rsidRPr="003A2507">
        <w:rPr>
          <w:rFonts w:eastAsia="Times New Roman"/>
          <w:szCs w:val="20"/>
          <w:lang w:eastAsia="es-ES"/>
        </w:rPr>
        <w:t xml:space="preserve"> </w:t>
      </w:r>
    </w:p>
    <w:p w14:paraId="0C45450E" w14:textId="77777777" w:rsidR="00526D2E" w:rsidRPr="003A2507" w:rsidRDefault="00526D2E" w:rsidP="00526D2E">
      <w:pPr>
        <w:jc w:val="both"/>
        <w:rPr>
          <w:rFonts w:eastAsia="Times New Roman"/>
          <w:szCs w:val="20"/>
          <w:lang w:eastAsia="es-ES"/>
        </w:rPr>
      </w:pPr>
    </w:p>
    <w:p w14:paraId="5876DED6" w14:textId="77777777" w:rsidR="00526D2E" w:rsidRPr="00E15CF0"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15.-</w:t>
      </w:r>
      <w:r>
        <w:rPr>
          <w:rFonts w:eastAsia="Times New Roman"/>
          <w:szCs w:val="20"/>
          <w:lang w:eastAsia="es-ES"/>
        </w:rPr>
        <w:t xml:space="preserve"> </w:t>
      </w:r>
      <w:r w:rsidRPr="003A2507">
        <w:rPr>
          <w:rFonts w:eastAsia="Times New Roman"/>
          <w:szCs w:val="20"/>
          <w:lang w:eastAsia="es-ES"/>
        </w:rPr>
        <w:t xml:space="preserve">Los complementos y prestaciones de los títulos I y II de la presente ley no se considerarán para la aplicación de la restricción de acceso al Fondo de Cesantía Solidario, que contempla el inciso </w:t>
      </w:r>
      <w:r w:rsidRPr="003A2507">
        <w:rPr>
          <w:rFonts w:eastAsia="Times New Roman"/>
          <w:szCs w:val="20"/>
          <w:lang w:eastAsia="es-ES"/>
        </w:rPr>
        <w:lastRenderedPageBreak/>
        <w:t xml:space="preserve">segundo del artículo 24 de la ley N°19.728. </w:t>
      </w:r>
      <w:r w:rsidRPr="00E15CF0">
        <w:rPr>
          <w:rFonts w:eastAsia="Times New Roman"/>
          <w:b/>
          <w:bCs/>
          <w:szCs w:val="20"/>
          <w:lang w:eastAsia="es-ES"/>
        </w:rPr>
        <w:t xml:space="preserve">Asimismo, las cotizaciones al Seguro de Cesantía que se hayan considerado para efectos de acceder a los complementos y prestaciones de la presente ley, se contabilizarán para efectos de acceder a las prestaciones de cesantía de la ley </w:t>
      </w:r>
      <w:proofErr w:type="spellStart"/>
      <w:r w:rsidRPr="00E15CF0">
        <w:rPr>
          <w:rFonts w:eastAsia="Times New Roman"/>
          <w:b/>
          <w:bCs/>
          <w:szCs w:val="20"/>
          <w:lang w:eastAsia="es-ES"/>
        </w:rPr>
        <w:t>N°</w:t>
      </w:r>
      <w:proofErr w:type="spellEnd"/>
      <w:r w:rsidRPr="00E15CF0">
        <w:rPr>
          <w:rFonts w:eastAsia="Times New Roman"/>
          <w:b/>
          <w:bCs/>
          <w:szCs w:val="20"/>
          <w:lang w:eastAsia="es-ES"/>
        </w:rPr>
        <w:t xml:space="preserve"> 19.728, tanto aquellas de cargo de la Cuenta Individual por Cesantía como aquellas de cargo del Fondo de Cesantía Solidario.</w:t>
      </w:r>
    </w:p>
    <w:p w14:paraId="634F8CC9" w14:textId="77777777" w:rsidR="00526D2E" w:rsidRPr="00E15CF0" w:rsidRDefault="00526D2E" w:rsidP="00526D2E">
      <w:pPr>
        <w:jc w:val="both"/>
        <w:rPr>
          <w:rFonts w:eastAsia="Times New Roman"/>
          <w:b/>
          <w:bCs/>
          <w:szCs w:val="20"/>
          <w:lang w:eastAsia="es-ES"/>
        </w:rPr>
      </w:pPr>
    </w:p>
    <w:p w14:paraId="7DD8DB13"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Respecto de las prestaciones que se otorguen de conformidad a esta ley, el cálculo del promedio de las remuneraciones que en cada caso corresponde, excluirán aquellas remuneraciones pactadas conforme al inciso tercero del artículo 1 y al artículo 7.</w:t>
      </w:r>
    </w:p>
    <w:p w14:paraId="035962DD" w14:textId="77777777" w:rsidR="00526D2E" w:rsidRPr="003A2507" w:rsidRDefault="00526D2E" w:rsidP="00526D2E">
      <w:pPr>
        <w:jc w:val="both"/>
        <w:rPr>
          <w:rFonts w:eastAsia="Times New Roman"/>
          <w:szCs w:val="20"/>
          <w:lang w:eastAsia="es-ES"/>
        </w:rPr>
      </w:pPr>
    </w:p>
    <w:p w14:paraId="17326E9C"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16.-</w:t>
      </w:r>
      <w:r>
        <w:rPr>
          <w:rFonts w:eastAsia="Times New Roman"/>
          <w:szCs w:val="20"/>
          <w:lang w:eastAsia="es-ES"/>
        </w:rPr>
        <w:t xml:space="preserve"> </w:t>
      </w:r>
      <w:r w:rsidRPr="003A2507">
        <w:rPr>
          <w:rFonts w:eastAsia="Times New Roman"/>
          <w:szCs w:val="20"/>
          <w:lang w:eastAsia="es-ES"/>
        </w:rPr>
        <w:t xml:space="preserve">Las disposiciones de la presente ley regirán desde el día de su publicación en el Diario Oficial. </w:t>
      </w:r>
    </w:p>
    <w:p w14:paraId="04CA249A" w14:textId="77777777" w:rsidR="00526D2E" w:rsidRPr="003A2507" w:rsidRDefault="00526D2E" w:rsidP="00526D2E">
      <w:pPr>
        <w:jc w:val="both"/>
        <w:rPr>
          <w:rFonts w:eastAsia="Times New Roman"/>
          <w:szCs w:val="20"/>
          <w:lang w:eastAsia="es-ES"/>
        </w:rPr>
      </w:pPr>
    </w:p>
    <w:p w14:paraId="59EAD7D3"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Las disposiciones del Título I regirán por un plazo de 6 meses contado desde la entrada en vigencia de esta ley. </w:t>
      </w:r>
    </w:p>
    <w:p w14:paraId="2166961E" w14:textId="77777777" w:rsidR="00526D2E" w:rsidRPr="003A2507" w:rsidRDefault="00526D2E" w:rsidP="00526D2E">
      <w:pPr>
        <w:jc w:val="both"/>
        <w:rPr>
          <w:rFonts w:eastAsia="Times New Roman"/>
          <w:szCs w:val="20"/>
          <w:lang w:eastAsia="es-ES"/>
        </w:rPr>
      </w:pPr>
    </w:p>
    <w:p w14:paraId="7799B5EA"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 xml:space="preserve">Las disposiciones del Título II regirán hasta el último día del mes </w:t>
      </w:r>
      <w:r w:rsidRPr="000B65C6">
        <w:rPr>
          <w:rFonts w:eastAsia="Times New Roman"/>
          <w:b/>
          <w:bCs/>
          <w:szCs w:val="20"/>
          <w:lang w:eastAsia="es-ES"/>
        </w:rPr>
        <w:t>décimo</w:t>
      </w:r>
      <w:r w:rsidRPr="003A2507">
        <w:rPr>
          <w:rFonts w:eastAsia="Times New Roman"/>
          <w:szCs w:val="20"/>
          <w:lang w:eastAsia="es-ES"/>
        </w:rPr>
        <w:t xml:space="preserve"> desde su entrada en vigencia.</w:t>
      </w:r>
    </w:p>
    <w:p w14:paraId="5EE4DAFA" w14:textId="77777777" w:rsidR="00526D2E" w:rsidRPr="003A2507" w:rsidRDefault="00526D2E" w:rsidP="00526D2E">
      <w:pPr>
        <w:jc w:val="both"/>
        <w:rPr>
          <w:rFonts w:eastAsia="Times New Roman"/>
          <w:szCs w:val="20"/>
          <w:lang w:eastAsia="es-ES"/>
        </w:rPr>
      </w:pPr>
    </w:p>
    <w:p w14:paraId="0CB18429"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17.-</w:t>
      </w:r>
      <w:r>
        <w:rPr>
          <w:rFonts w:eastAsia="Times New Roman"/>
          <w:szCs w:val="20"/>
          <w:lang w:eastAsia="es-ES"/>
        </w:rPr>
        <w:t xml:space="preserve"> </w:t>
      </w:r>
      <w:r w:rsidRPr="003A2507">
        <w:rPr>
          <w:rFonts w:eastAsia="Times New Roman"/>
          <w:szCs w:val="20"/>
          <w:lang w:eastAsia="es-ES"/>
        </w:rPr>
        <w:t>Las partes podrán denunciar ante la Inspección del Trabajo los incumplimientos que se deriven de los pactos establecidos en la presente ley, sin perjuicio de la facultad de éstas para recurrir a los Tribunales de Justicia competentes.</w:t>
      </w:r>
    </w:p>
    <w:p w14:paraId="1127DC7C" w14:textId="77777777" w:rsidR="00526D2E" w:rsidRPr="003A2507" w:rsidRDefault="00526D2E" w:rsidP="00526D2E">
      <w:pPr>
        <w:jc w:val="both"/>
        <w:rPr>
          <w:rFonts w:eastAsia="Times New Roman"/>
          <w:szCs w:val="20"/>
          <w:lang w:eastAsia="es-ES"/>
        </w:rPr>
      </w:pPr>
    </w:p>
    <w:p w14:paraId="41422E61" w14:textId="77777777" w:rsidR="00526D2E" w:rsidRPr="00E15CF0"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E15CF0">
        <w:rPr>
          <w:rFonts w:eastAsia="Times New Roman"/>
          <w:b/>
          <w:bCs/>
          <w:szCs w:val="20"/>
          <w:lang w:eastAsia="es-ES"/>
        </w:rPr>
        <w:t xml:space="preserve">Artículo 18.- Con el fin de contribuir a la sustentabilidad del Fondo de Cesantía Solidario indicado en el párrafo 5° de la ley N°19.728, </w:t>
      </w:r>
      <w:proofErr w:type="spellStart"/>
      <w:r w:rsidRPr="00E15CF0">
        <w:rPr>
          <w:rFonts w:eastAsia="Times New Roman"/>
          <w:b/>
          <w:bCs/>
          <w:szCs w:val="20"/>
          <w:lang w:eastAsia="es-ES"/>
        </w:rPr>
        <w:t>autorízase</w:t>
      </w:r>
      <w:proofErr w:type="spellEnd"/>
      <w:r w:rsidRPr="00E15CF0">
        <w:rPr>
          <w:rFonts w:eastAsia="Times New Roman"/>
          <w:b/>
          <w:bCs/>
          <w:szCs w:val="20"/>
          <w:lang w:eastAsia="es-ES"/>
        </w:rPr>
        <w:t xml:space="preserve"> a comprometer recursos fiscales por la cantidad necesaria para el financiamiento de las prestaciones de cesantía definidas en dicho párrafo y en el Título I de la presente ley.</w:t>
      </w:r>
    </w:p>
    <w:p w14:paraId="22FA14F5" w14:textId="77777777" w:rsidR="00526D2E" w:rsidRPr="00E15CF0" w:rsidRDefault="00526D2E" w:rsidP="00526D2E">
      <w:pPr>
        <w:jc w:val="both"/>
        <w:rPr>
          <w:rFonts w:eastAsia="Times New Roman"/>
          <w:b/>
          <w:bCs/>
          <w:szCs w:val="20"/>
          <w:lang w:eastAsia="es-ES"/>
        </w:rPr>
      </w:pPr>
    </w:p>
    <w:p w14:paraId="6F02CD0C" w14:textId="77777777" w:rsidR="00526D2E" w:rsidRPr="00E15CF0" w:rsidRDefault="00526D2E" w:rsidP="00526D2E">
      <w:pPr>
        <w:jc w:val="both"/>
        <w:rPr>
          <w:rFonts w:eastAsia="Times New Roman"/>
          <w:b/>
          <w:bCs/>
          <w:szCs w:val="20"/>
          <w:lang w:eastAsia="es-ES"/>
        </w:rPr>
      </w:pPr>
      <w:r w:rsidRPr="00E15CF0">
        <w:rPr>
          <w:rFonts w:eastAsia="Times New Roman"/>
          <w:b/>
          <w:bCs/>
          <w:szCs w:val="20"/>
          <w:lang w:eastAsia="es-ES"/>
        </w:rPr>
        <w:t xml:space="preserve"> </w:t>
      </w:r>
      <w:r w:rsidRPr="00E15CF0">
        <w:rPr>
          <w:rFonts w:eastAsia="Times New Roman"/>
          <w:b/>
          <w:bCs/>
          <w:szCs w:val="20"/>
          <w:lang w:eastAsia="es-ES"/>
        </w:rPr>
        <w:tab/>
        <w:t>Los recursos fiscales que se comprometan de acuerdo al inciso anterior serán determinados mediante resolución exenta la Dirección de Presupuestos, en la magnitud que lo defina un estudio actuarial desarrollado para este efecto, el que en ningún caso podrá ser superior a $2.000 millones de dólares, moneda de los Estados Unidos de América. De la misma forma, se determinará la época en que se efectuará el aporte de dichos recursos. El aporte antes mencionado deberá ser abonado en su equivalente en moneda nacional al Fondo de Cesantía Solidario indicado en el inciso anterior.</w:t>
      </w:r>
    </w:p>
    <w:p w14:paraId="59814197" w14:textId="77777777" w:rsidR="00526D2E" w:rsidRPr="00E15CF0" w:rsidRDefault="00526D2E" w:rsidP="00526D2E">
      <w:pPr>
        <w:jc w:val="both"/>
        <w:rPr>
          <w:rFonts w:eastAsia="Times New Roman"/>
          <w:b/>
          <w:bCs/>
          <w:szCs w:val="20"/>
          <w:lang w:eastAsia="es-ES"/>
        </w:rPr>
      </w:pPr>
    </w:p>
    <w:p w14:paraId="4EBE1DFD" w14:textId="0F06B543" w:rsidR="00526D2E" w:rsidRPr="00E15CF0" w:rsidRDefault="00526D2E" w:rsidP="00526D2E">
      <w:pPr>
        <w:jc w:val="both"/>
        <w:rPr>
          <w:rFonts w:eastAsia="Times New Roman"/>
          <w:b/>
          <w:bCs/>
          <w:szCs w:val="20"/>
          <w:lang w:eastAsia="es-ES"/>
        </w:rPr>
      </w:pPr>
      <w:r w:rsidRPr="00E15CF0">
        <w:rPr>
          <w:rFonts w:eastAsia="Times New Roman"/>
          <w:b/>
          <w:bCs/>
          <w:szCs w:val="20"/>
          <w:lang w:eastAsia="es-ES"/>
        </w:rPr>
        <w:t xml:space="preserve"> </w:t>
      </w:r>
      <w:r w:rsidRPr="00E15CF0">
        <w:rPr>
          <w:rFonts w:eastAsia="Times New Roman"/>
          <w:b/>
          <w:bCs/>
          <w:szCs w:val="20"/>
          <w:lang w:eastAsia="es-ES"/>
        </w:rPr>
        <w:tab/>
        <w:t xml:space="preserve">Los recursos fiscales aportados deberán ser reintegrados al Fisco en un plazo que no podrá exceder los 10 años contado desde la fecha en la cual se ejecutó cada uno de dichos retiros, cuando el valor del Fondo de Cesantía Solidario sobrepase en 1,5 veces la magnitud indicada por el estudio al que hace referencia el inciso </w:t>
      </w:r>
      <w:r w:rsidRPr="00E15CF0">
        <w:rPr>
          <w:rFonts w:eastAsia="Times New Roman"/>
          <w:b/>
          <w:bCs/>
          <w:szCs w:val="20"/>
          <w:lang w:eastAsia="es-ES"/>
        </w:rPr>
        <w:lastRenderedPageBreak/>
        <w:t xml:space="preserve">segundo el que en ningún caso podrá ser superior a $2.000 millones de dólares, moneda de los Estados Unidos de América. Asimismo, se establece </w:t>
      </w:r>
      <w:proofErr w:type="gramStart"/>
      <w:r w:rsidRPr="00E15CF0">
        <w:rPr>
          <w:rFonts w:eastAsia="Times New Roman"/>
          <w:b/>
          <w:bCs/>
          <w:szCs w:val="20"/>
          <w:lang w:eastAsia="es-ES"/>
        </w:rPr>
        <w:t>que</w:t>
      </w:r>
      <w:proofErr w:type="gramEnd"/>
      <w:r w:rsidRPr="00E15CF0">
        <w:rPr>
          <w:rFonts w:eastAsia="Times New Roman"/>
          <w:b/>
          <w:bCs/>
          <w:szCs w:val="20"/>
          <w:lang w:eastAsia="es-ES"/>
        </w:rPr>
        <w:t xml:space="preserve"> con cargo a los recursos del Fondo de Cesantía Solidario, se efectuarán los reintegros al </w:t>
      </w:r>
      <w:r w:rsidR="000B65C6">
        <w:rPr>
          <w:rFonts w:eastAsia="Times New Roman"/>
          <w:b/>
          <w:bCs/>
          <w:szCs w:val="20"/>
          <w:lang w:eastAsia="es-ES"/>
        </w:rPr>
        <w:t>F</w:t>
      </w:r>
      <w:r w:rsidRPr="00E15CF0">
        <w:rPr>
          <w:rFonts w:eastAsia="Times New Roman"/>
          <w:b/>
          <w:bCs/>
          <w:szCs w:val="20"/>
          <w:lang w:eastAsia="es-ES"/>
        </w:rPr>
        <w:t>isco aplicando una tasa de interés equivalente a la tasa de endeudamiento del Fisco a igual plazo.</w:t>
      </w:r>
    </w:p>
    <w:p w14:paraId="7372A594" w14:textId="77777777" w:rsidR="000B65C6" w:rsidRDefault="00526D2E" w:rsidP="00526D2E">
      <w:pPr>
        <w:jc w:val="both"/>
        <w:rPr>
          <w:rFonts w:eastAsia="Times New Roman"/>
          <w:b/>
          <w:bCs/>
          <w:szCs w:val="20"/>
          <w:lang w:eastAsia="es-ES"/>
        </w:rPr>
      </w:pPr>
      <w:r w:rsidRPr="00E15CF0">
        <w:rPr>
          <w:rFonts w:eastAsia="Times New Roman"/>
          <w:b/>
          <w:bCs/>
          <w:szCs w:val="20"/>
          <w:lang w:eastAsia="es-ES"/>
        </w:rPr>
        <w:t xml:space="preserve"> </w:t>
      </w:r>
      <w:r w:rsidRPr="00E15CF0">
        <w:rPr>
          <w:rFonts w:eastAsia="Times New Roman"/>
          <w:b/>
          <w:bCs/>
          <w:szCs w:val="20"/>
          <w:lang w:eastAsia="es-ES"/>
        </w:rPr>
        <w:tab/>
      </w:r>
    </w:p>
    <w:p w14:paraId="6E914E78" w14:textId="171DF5FD" w:rsidR="00526D2E" w:rsidRPr="00E15CF0" w:rsidRDefault="00526D2E" w:rsidP="000B65C6">
      <w:pPr>
        <w:ind w:firstLine="2835"/>
        <w:jc w:val="both"/>
        <w:rPr>
          <w:rFonts w:eastAsia="Times New Roman"/>
          <w:b/>
          <w:bCs/>
          <w:szCs w:val="20"/>
          <w:lang w:eastAsia="es-ES"/>
        </w:rPr>
      </w:pPr>
      <w:r w:rsidRPr="00E15CF0">
        <w:rPr>
          <w:rFonts w:eastAsia="Times New Roman"/>
          <w:b/>
          <w:bCs/>
          <w:szCs w:val="20"/>
          <w:lang w:eastAsia="es-ES"/>
        </w:rPr>
        <w:t xml:space="preserve">Mediante decreto del Ministerio de Hacienda expedido bajo la fórmula “Por orden del </w:t>
      </w:r>
      <w:proofErr w:type="gramStart"/>
      <w:r w:rsidRPr="00E15CF0">
        <w:rPr>
          <w:rFonts w:eastAsia="Times New Roman"/>
          <w:b/>
          <w:bCs/>
          <w:szCs w:val="20"/>
          <w:lang w:eastAsia="es-ES"/>
        </w:rPr>
        <w:t>Presidente</w:t>
      </w:r>
      <w:proofErr w:type="gramEnd"/>
      <w:r w:rsidRPr="00E15CF0">
        <w:rPr>
          <w:rFonts w:eastAsia="Times New Roman"/>
          <w:b/>
          <w:bCs/>
          <w:szCs w:val="20"/>
          <w:lang w:eastAsia="es-ES"/>
        </w:rPr>
        <w:t xml:space="preserve"> de la República”, se establecerán los mecanismos para los aportes y reintegros definidos en este artículo, sus procedimientos y modalidades, junto a las demás normas necesarias para su realización.</w:t>
      </w:r>
    </w:p>
    <w:p w14:paraId="577C5072" w14:textId="77777777" w:rsidR="00526D2E" w:rsidRDefault="00526D2E" w:rsidP="00526D2E">
      <w:pPr>
        <w:jc w:val="both"/>
        <w:rPr>
          <w:rFonts w:eastAsia="Times New Roman"/>
          <w:szCs w:val="20"/>
          <w:lang w:eastAsia="es-ES"/>
        </w:rPr>
      </w:pPr>
    </w:p>
    <w:p w14:paraId="5727132F" w14:textId="77777777" w:rsidR="00526D2E" w:rsidRPr="00E15CF0"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E15CF0">
        <w:rPr>
          <w:rFonts w:eastAsia="Times New Roman"/>
          <w:b/>
          <w:bCs/>
          <w:szCs w:val="20"/>
          <w:lang w:eastAsia="es-ES"/>
        </w:rPr>
        <w:t>Artículo 19.- Sin perjuicio de lo dispuesto en el artículo 8° de la ley N°20.128, de Responsabilidad Fiscal, durante los años 2020 y 2021 el monto de los recursos del Fondo de Reserva de Pensiones que se utilizará corresponderá a la totalidad de la diferencia producida entre el gasto total que corresponda efectuar en cada uno de estos años por concepto del pago de las obligaciones a que se refiere el artículo 5° y el gasto total efectuado por dicho concepto en el año 2008, debiendo este último actualizarse anualmente, de acuerdo a la variación que experimente el Índice de Precios al Consumidor.</w:t>
      </w:r>
    </w:p>
    <w:p w14:paraId="1117CFE3" w14:textId="77777777" w:rsidR="00526D2E" w:rsidRPr="003A2507" w:rsidRDefault="00526D2E" w:rsidP="00526D2E">
      <w:pPr>
        <w:jc w:val="both"/>
        <w:rPr>
          <w:rFonts w:eastAsia="Times New Roman"/>
          <w:szCs w:val="20"/>
          <w:lang w:eastAsia="es-ES"/>
        </w:rPr>
      </w:pPr>
    </w:p>
    <w:p w14:paraId="598EFAD3"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E15CF0">
        <w:rPr>
          <w:rFonts w:eastAsia="Times New Roman"/>
          <w:b/>
          <w:bCs/>
          <w:szCs w:val="20"/>
          <w:lang w:eastAsia="es-ES"/>
        </w:rPr>
        <w:t>Artículo 20</w:t>
      </w:r>
      <w:r w:rsidRPr="003A2507">
        <w:rPr>
          <w:rFonts w:eastAsia="Times New Roman"/>
          <w:szCs w:val="20"/>
          <w:lang w:eastAsia="es-ES"/>
        </w:rPr>
        <w:t>.- Los empleadores cuyas empresas o establecimientos que, durante la vigencia de las normas del título I de la presente ley, deban continuar funcionando</w:t>
      </w:r>
      <w:r>
        <w:rPr>
          <w:rFonts w:eastAsia="Times New Roman"/>
          <w:szCs w:val="20"/>
          <w:lang w:eastAsia="es-ES"/>
        </w:rPr>
        <w:t>,</w:t>
      </w:r>
      <w:r w:rsidRPr="003A2507">
        <w:rPr>
          <w:rFonts w:eastAsia="Times New Roman"/>
          <w:szCs w:val="20"/>
          <w:lang w:eastAsia="es-ES"/>
        </w:rPr>
        <w:t xml:space="preserve"> </w:t>
      </w:r>
      <w:r w:rsidRPr="00E15CF0">
        <w:rPr>
          <w:rFonts w:eastAsia="Times New Roman"/>
          <w:b/>
          <w:bCs/>
          <w:szCs w:val="20"/>
          <w:lang w:eastAsia="es-ES"/>
        </w:rPr>
        <w:t>conforme a la resolución a que se refiere el inciso segundo del artículo 1º,</w:t>
      </w:r>
      <w:r w:rsidRPr="003A2507">
        <w:rPr>
          <w:rFonts w:eastAsia="Times New Roman"/>
          <w:szCs w:val="20"/>
          <w:lang w:eastAsia="es-ES"/>
        </w:rPr>
        <w:t xml:space="preserve"> para garantizar la prestación de servicios de utilidad pública, la atención de necesidades básicas de la población, incluidas las relacionadas con la vida, la salud, el abastecimiento de bienes esenciales, la alimentación o la seguridad de las personas, y para garantizar la prevención de daños ambientales y sanitarios, podrán alterar la naturaleza de las funciones que deberán desempeñar sus trabajadores durante dicho periodo, resguardando siempre los derechos fundamentales de estos. </w:t>
      </w:r>
    </w:p>
    <w:p w14:paraId="5D3955CE" w14:textId="77777777" w:rsidR="00526D2E" w:rsidRPr="003A2507" w:rsidRDefault="00526D2E" w:rsidP="00526D2E">
      <w:pPr>
        <w:jc w:val="both"/>
        <w:rPr>
          <w:rFonts w:eastAsia="Times New Roman"/>
          <w:szCs w:val="20"/>
          <w:lang w:eastAsia="es-ES"/>
        </w:rPr>
      </w:pPr>
    </w:p>
    <w:p w14:paraId="7B9DA1EA" w14:textId="77777777" w:rsidR="00526D2E" w:rsidRPr="003A2507"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Una vez finalizado el plazo establecido en el inciso anterior se reestablecerán, de pleno derecho, las condiciones contractuales originalmente convenidas teniéndose por no escrita cualquier disposición en contrario.</w:t>
      </w:r>
    </w:p>
    <w:p w14:paraId="6959854B" w14:textId="77777777" w:rsidR="00526D2E" w:rsidRPr="003A2507" w:rsidRDefault="00526D2E" w:rsidP="00526D2E">
      <w:pPr>
        <w:jc w:val="both"/>
        <w:rPr>
          <w:rFonts w:eastAsia="Times New Roman"/>
          <w:szCs w:val="20"/>
          <w:lang w:eastAsia="es-ES"/>
        </w:rPr>
      </w:pPr>
    </w:p>
    <w:p w14:paraId="2A5B6EAE" w14:textId="77777777" w:rsidR="00526D2E" w:rsidRDefault="00526D2E" w:rsidP="00526D2E">
      <w:pPr>
        <w:jc w:val="both"/>
        <w:rPr>
          <w:rFonts w:eastAsia="Times New Roman"/>
          <w:szCs w:val="20"/>
          <w:lang w:eastAsia="es-ES"/>
        </w:rPr>
      </w:pPr>
      <w:r>
        <w:rPr>
          <w:rFonts w:eastAsia="Times New Roman"/>
          <w:szCs w:val="20"/>
          <w:lang w:eastAsia="es-ES"/>
        </w:rPr>
        <w:t xml:space="preserve"> </w:t>
      </w:r>
      <w:r>
        <w:rPr>
          <w:rFonts w:eastAsia="Times New Roman"/>
          <w:szCs w:val="20"/>
          <w:lang w:eastAsia="es-ES"/>
        </w:rPr>
        <w:tab/>
      </w:r>
      <w:r w:rsidRPr="003A2507">
        <w:rPr>
          <w:rFonts w:eastAsia="Times New Roman"/>
          <w:szCs w:val="20"/>
          <w:lang w:eastAsia="es-ES"/>
        </w:rPr>
        <w:t>Artículo 2</w:t>
      </w:r>
      <w:r>
        <w:rPr>
          <w:rFonts w:eastAsia="Times New Roman"/>
          <w:szCs w:val="20"/>
          <w:lang w:eastAsia="es-ES"/>
        </w:rPr>
        <w:t>1</w:t>
      </w:r>
      <w:r w:rsidRPr="003A2507">
        <w:rPr>
          <w:rFonts w:eastAsia="Times New Roman"/>
          <w:szCs w:val="20"/>
          <w:lang w:eastAsia="es-ES"/>
        </w:rPr>
        <w:t xml:space="preserve">.- La Superintendencia de Pensiones estará facultada para dictar una norma de carácter general que regule la solicitud, registro, giro, cobro, pago, orden y sucesión de las prestaciones de los artículos 15 y 25 de ley N°19.728, así como también todas aquellas materias relacionadas con éstas.  </w:t>
      </w:r>
    </w:p>
    <w:p w14:paraId="10B1DA49" w14:textId="77777777" w:rsidR="00526D2E" w:rsidRDefault="00526D2E" w:rsidP="00526D2E">
      <w:pPr>
        <w:jc w:val="both"/>
        <w:rPr>
          <w:rFonts w:eastAsia="Times New Roman"/>
          <w:szCs w:val="20"/>
          <w:lang w:eastAsia="es-ES"/>
        </w:rPr>
      </w:pPr>
    </w:p>
    <w:p w14:paraId="120FEA87" w14:textId="77777777" w:rsidR="00526D2E" w:rsidRPr="00F846C3"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F846C3">
        <w:rPr>
          <w:rFonts w:eastAsia="Times New Roman"/>
          <w:b/>
          <w:bCs/>
          <w:szCs w:val="20"/>
          <w:lang w:eastAsia="es-ES"/>
        </w:rPr>
        <w:t xml:space="preserve">Artículo 22.- La Sociedad Administradora de Fondos de Cesantía tendrá derecho a una retribución adicional a la que </w:t>
      </w:r>
      <w:r w:rsidRPr="00F846C3">
        <w:rPr>
          <w:rFonts w:eastAsia="Times New Roman"/>
          <w:b/>
          <w:bCs/>
          <w:szCs w:val="20"/>
          <w:lang w:eastAsia="es-ES"/>
        </w:rPr>
        <w:lastRenderedPageBreak/>
        <w:t xml:space="preserve">se refiere el artículo 30 de la ley </w:t>
      </w:r>
      <w:proofErr w:type="spellStart"/>
      <w:r w:rsidRPr="00F846C3">
        <w:rPr>
          <w:rFonts w:eastAsia="Times New Roman"/>
          <w:b/>
          <w:bCs/>
          <w:szCs w:val="20"/>
          <w:lang w:eastAsia="es-ES"/>
        </w:rPr>
        <w:t>N°</w:t>
      </w:r>
      <w:proofErr w:type="spellEnd"/>
      <w:r w:rsidRPr="00F846C3">
        <w:rPr>
          <w:rFonts w:eastAsia="Times New Roman"/>
          <w:b/>
          <w:bCs/>
          <w:szCs w:val="20"/>
          <w:lang w:eastAsia="es-ES"/>
        </w:rPr>
        <w:t xml:space="preserve"> 19.728, que será determinada por un estudio el cual estimará la fluctuación que hubiese tenido el Fondo de Cesantía Solidario de no haberse otorgado las prestaciones de la presente ley. Dicho estudio será elaborado por la Superintendencia de Pensiones y la Dirección de Presupuestos en un plazo máximo dentro de los 6 meses posteriores terminada la vigencia de la presente ley.</w:t>
      </w:r>
    </w:p>
    <w:p w14:paraId="07A505E1" w14:textId="77777777" w:rsidR="00526D2E" w:rsidRDefault="00526D2E" w:rsidP="00526D2E">
      <w:pPr>
        <w:jc w:val="both"/>
        <w:rPr>
          <w:rFonts w:eastAsia="Times New Roman"/>
          <w:szCs w:val="20"/>
          <w:lang w:eastAsia="es-ES"/>
        </w:rPr>
      </w:pPr>
    </w:p>
    <w:p w14:paraId="60DF2B21" w14:textId="5E87585D" w:rsidR="00526D2E" w:rsidRPr="00F846C3" w:rsidRDefault="00526D2E" w:rsidP="00526D2E">
      <w:pPr>
        <w:jc w:val="both"/>
        <w:rPr>
          <w:rFonts w:eastAsia="Times New Roman"/>
          <w:b/>
          <w:bCs/>
          <w:szCs w:val="20"/>
          <w:lang w:eastAsia="es-ES"/>
        </w:rPr>
      </w:pPr>
      <w:r>
        <w:rPr>
          <w:rFonts w:eastAsia="Times New Roman"/>
          <w:szCs w:val="20"/>
          <w:lang w:eastAsia="es-ES"/>
        </w:rPr>
        <w:t xml:space="preserve"> </w:t>
      </w:r>
      <w:r>
        <w:rPr>
          <w:rFonts w:eastAsia="Times New Roman"/>
          <w:szCs w:val="20"/>
          <w:lang w:eastAsia="es-ES"/>
        </w:rPr>
        <w:tab/>
      </w:r>
      <w:r w:rsidRPr="00F846C3">
        <w:rPr>
          <w:rFonts w:eastAsia="Times New Roman"/>
          <w:b/>
          <w:bCs/>
          <w:szCs w:val="20"/>
          <w:lang w:eastAsia="es-ES"/>
        </w:rPr>
        <w:t>Artículo 23.- Los trabajadores beneficiarios de la prestación de la ley sobre el subsidio de cargo fiscal para trabajadoras y trabajadores de bajas remuneraciones, cuya relación laboral se suspenda por efecto de declaración o acto de autoridad o que subscriban un pacto de suspensión temporal del contrato de trabajo o un pacto de reducción temporal de jornada de trabajo, en conformidad a la presente ley, no perderán la calidad de beneficiarios del subsidio antes mencionado. En los casos señalados anteriormente, el monto del subsidio durante la suspensión o mientras esté vigente el acto respectivo, ascenderá al valor que se encontraren percibiendo en el mes anterior al de la declaración o pacto de autoridad o a la suscripción de los pactos que regula la presente ley.</w:t>
      </w:r>
    </w:p>
    <w:p w14:paraId="6C867923" w14:textId="77777777" w:rsidR="00526D2E" w:rsidRDefault="00526D2E" w:rsidP="00526D2E">
      <w:pPr>
        <w:jc w:val="both"/>
        <w:rPr>
          <w:rFonts w:eastAsia="Times New Roman"/>
          <w:b/>
          <w:bCs/>
          <w:szCs w:val="20"/>
          <w:lang w:eastAsia="es-ES"/>
        </w:rPr>
      </w:pPr>
    </w:p>
    <w:p w14:paraId="7DE21FFC" w14:textId="77777777" w:rsidR="00526D2E" w:rsidRPr="00F846C3" w:rsidRDefault="00526D2E" w:rsidP="00526D2E">
      <w:pPr>
        <w:jc w:val="both"/>
        <w:rPr>
          <w:b/>
          <w:bCs/>
        </w:rPr>
      </w:pPr>
      <w:r>
        <w:t xml:space="preserve"> </w:t>
      </w:r>
      <w:r>
        <w:tab/>
      </w:r>
      <w:r w:rsidRPr="00F846C3">
        <w:rPr>
          <w:b/>
          <w:bCs/>
        </w:rPr>
        <w:t xml:space="preserve">Artículo 24.- Durante el Estado de Catástrofe decretado por el </w:t>
      </w:r>
      <w:proofErr w:type="gramStart"/>
      <w:r w:rsidRPr="00F846C3">
        <w:rPr>
          <w:b/>
          <w:bCs/>
        </w:rPr>
        <w:t>Presidente</w:t>
      </w:r>
      <w:proofErr w:type="gramEnd"/>
      <w:r w:rsidRPr="00F846C3">
        <w:rPr>
          <w:b/>
          <w:bCs/>
        </w:rPr>
        <w:t xml:space="preserve"> de la República, no se podrá poner término a los contratos de trabajo por la causal del numeral 6° del artículo 159 del Código del Trabajo, invocando como motivo directo los efectos de la pandemia de COVID-19.</w:t>
      </w:r>
    </w:p>
    <w:p w14:paraId="66F1F284" w14:textId="77777777" w:rsidR="00526D2E" w:rsidRPr="00F846C3" w:rsidRDefault="00526D2E" w:rsidP="00526D2E">
      <w:pPr>
        <w:jc w:val="both"/>
        <w:rPr>
          <w:rFonts w:eastAsia="Times New Roman"/>
          <w:szCs w:val="20"/>
          <w:lang w:eastAsia="es-ES"/>
        </w:rPr>
      </w:pPr>
    </w:p>
    <w:p w14:paraId="281FA931" w14:textId="4A4C3C05" w:rsidR="009D4F3F" w:rsidRPr="009D4F3F" w:rsidRDefault="00526D2E" w:rsidP="00526D2E">
      <w:pPr>
        <w:shd w:val="clear" w:color="auto" w:fill="FFFFFF"/>
        <w:tabs>
          <w:tab w:val="left" w:pos="2835"/>
        </w:tabs>
        <w:ind w:firstLine="2835"/>
        <w:jc w:val="both"/>
        <w:rPr>
          <w:rFonts w:cs="Arial"/>
          <w:szCs w:val="24"/>
          <w:lang w:val="es-MX"/>
        </w:rPr>
      </w:pPr>
      <w:r>
        <w:rPr>
          <w:rFonts w:eastAsia="Times New Roman"/>
          <w:szCs w:val="20"/>
          <w:lang w:eastAsia="es-ES"/>
        </w:rPr>
        <w:t xml:space="preserve"> </w:t>
      </w:r>
      <w:r w:rsidRPr="003A2507">
        <w:rPr>
          <w:rFonts w:eastAsia="Times New Roman"/>
          <w:szCs w:val="20"/>
          <w:lang w:eastAsia="es-ES"/>
        </w:rPr>
        <w:t>Artículo 2</w:t>
      </w:r>
      <w:r>
        <w:rPr>
          <w:rFonts w:eastAsia="Times New Roman"/>
          <w:szCs w:val="20"/>
          <w:lang w:eastAsia="es-ES"/>
        </w:rPr>
        <w:t>5.</w:t>
      </w:r>
      <w:r w:rsidRPr="003A2507">
        <w:rPr>
          <w:rFonts w:eastAsia="Times New Roman"/>
          <w:szCs w:val="20"/>
          <w:lang w:eastAsia="es-ES"/>
        </w:rPr>
        <w:t>- El mayor gasto fiscal que represente la aplicación de esta ley durante el año presupuestario de su entrada en vigencia, se financiará con cargo a los recursos del Ministerio del Trabajo y Previsión Social y en lo que faltare, con cargo a la Partida Presupuestari</w:t>
      </w:r>
      <w:r>
        <w:rPr>
          <w:rFonts w:eastAsia="Times New Roman"/>
          <w:szCs w:val="20"/>
          <w:lang w:eastAsia="es-ES"/>
        </w:rPr>
        <w:t>a</w:t>
      </w:r>
      <w:r w:rsidRPr="003A2507">
        <w:rPr>
          <w:rFonts w:eastAsia="Times New Roman"/>
          <w:szCs w:val="20"/>
          <w:lang w:eastAsia="es-ES"/>
        </w:rPr>
        <w:t xml:space="preserve"> Tesoro Público. En el año siguiente, se financiará con cargo a los recursos que anualmente contemple la Ley de Presupuestos del Sector Público.</w:t>
      </w:r>
      <w:r w:rsidR="00175443" w:rsidRPr="00716D56">
        <w:rPr>
          <w:rFonts w:cs="Arial"/>
          <w:szCs w:val="24"/>
        </w:rPr>
        <w:t>”.</w:t>
      </w:r>
    </w:p>
    <w:p w14:paraId="61AA7FC9" w14:textId="77777777" w:rsidR="009D4F3F" w:rsidRPr="009D4F3F" w:rsidRDefault="009D4F3F" w:rsidP="009D4F3F">
      <w:pPr>
        <w:jc w:val="both"/>
        <w:rPr>
          <w:rFonts w:eastAsia="Arial Unicode MS" w:cs="Arial"/>
          <w:szCs w:val="24"/>
          <w:lang w:val="es-ES" w:eastAsia="es-ES"/>
        </w:rPr>
      </w:pPr>
    </w:p>
    <w:p w14:paraId="64F52AB1" w14:textId="77777777" w:rsidR="009D4F3F" w:rsidRPr="009D4F3F" w:rsidRDefault="009D4F3F" w:rsidP="009D4F3F">
      <w:pPr>
        <w:jc w:val="both"/>
        <w:rPr>
          <w:rFonts w:eastAsia="Arial Unicode MS" w:cs="Arial"/>
          <w:szCs w:val="24"/>
          <w:lang w:val="es-ES" w:eastAsia="es-ES"/>
        </w:rPr>
      </w:pPr>
    </w:p>
    <w:p w14:paraId="2C73BEFD" w14:textId="77777777" w:rsidR="009D4F3F" w:rsidRPr="009D4F3F" w:rsidRDefault="009D4F3F" w:rsidP="009D4F3F">
      <w:pPr>
        <w:jc w:val="center"/>
        <w:rPr>
          <w:rFonts w:eastAsia="Arial Unicode MS" w:cs="Arial"/>
          <w:b/>
          <w:szCs w:val="24"/>
          <w:lang w:val="es-ES" w:eastAsia="es-ES"/>
        </w:rPr>
      </w:pPr>
      <w:r w:rsidRPr="009D4F3F">
        <w:rPr>
          <w:rFonts w:eastAsia="Arial Unicode MS" w:cs="Arial"/>
          <w:b/>
          <w:szCs w:val="24"/>
          <w:lang w:val="es-ES" w:eastAsia="es-ES"/>
        </w:rPr>
        <w:t>- - -</w:t>
      </w:r>
    </w:p>
    <w:p w14:paraId="085675FF" w14:textId="77777777" w:rsidR="00175443" w:rsidRDefault="009D4F3F" w:rsidP="00175443">
      <w:pPr>
        <w:rPr>
          <w:rFonts w:eastAsia="Times New Roman" w:cs="Times New Roman"/>
          <w:szCs w:val="24"/>
          <w:lang w:val="es-ES_tradnl" w:eastAsia="es-ES"/>
        </w:rPr>
      </w:pPr>
      <w:r w:rsidRPr="009D4F3F">
        <w:rPr>
          <w:rFonts w:eastAsia="Times New Roman" w:cs="Times New Roman"/>
          <w:szCs w:val="24"/>
          <w:lang w:val="es-ES_tradnl" w:eastAsia="es-ES"/>
        </w:rPr>
        <w:tab/>
      </w:r>
    </w:p>
    <w:p w14:paraId="548C2484" w14:textId="1DCCFD5B" w:rsidR="009D4F3F" w:rsidRPr="009D4F3F" w:rsidRDefault="009D4F3F" w:rsidP="00175443">
      <w:pPr>
        <w:jc w:val="right"/>
        <w:rPr>
          <w:rFonts w:eastAsia="Times New Roman" w:cs="Times New Roman"/>
          <w:szCs w:val="24"/>
          <w:lang w:val="es-ES_tradnl" w:eastAsia="es-ES"/>
        </w:rPr>
      </w:pPr>
      <w:r w:rsidRPr="009D4F3F">
        <w:rPr>
          <w:rFonts w:eastAsia="Times New Roman" w:cs="Times New Roman"/>
          <w:szCs w:val="24"/>
          <w:lang w:val="es-ES_tradnl" w:eastAsia="es-ES"/>
        </w:rPr>
        <w:t xml:space="preserve">Sala de la Comisión, a </w:t>
      </w:r>
      <w:r w:rsidR="003879F9">
        <w:rPr>
          <w:rFonts w:eastAsia="Times New Roman" w:cs="Times New Roman"/>
          <w:szCs w:val="24"/>
          <w:lang w:val="es-ES_tradnl" w:eastAsia="es-ES"/>
        </w:rPr>
        <w:t>26</w:t>
      </w:r>
      <w:r w:rsidRPr="009D4F3F">
        <w:rPr>
          <w:rFonts w:eastAsia="Times New Roman" w:cs="Times New Roman"/>
          <w:szCs w:val="24"/>
          <w:lang w:val="es-ES_tradnl" w:eastAsia="es-ES"/>
        </w:rPr>
        <w:t xml:space="preserve"> de </w:t>
      </w:r>
      <w:r w:rsidR="003879F9">
        <w:rPr>
          <w:rFonts w:eastAsia="Times New Roman" w:cs="Times New Roman"/>
          <w:szCs w:val="24"/>
          <w:lang w:val="es-ES_tradnl" w:eastAsia="es-ES"/>
        </w:rPr>
        <w:t>marzo</w:t>
      </w:r>
      <w:r w:rsidRPr="009D4F3F">
        <w:rPr>
          <w:rFonts w:eastAsia="Times New Roman" w:cs="Times New Roman"/>
          <w:szCs w:val="24"/>
          <w:lang w:val="es-ES_tradnl" w:eastAsia="es-ES"/>
        </w:rPr>
        <w:t xml:space="preserve"> de 20</w:t>
      </w:r>
      <w:r w:rsidR="003879F9">
        <w:rPr>
          <w:rFonts w:eastAsia="Times New Roman" w:cs="Times New Roman"/>
          <w:szCs w:val="24"/>
          <w:lang w:val="es-ES_tradnl" w:eastAsia="es-ES"/>
        </w:rPr>
        <w:t>20</w:t>
      </w:r>
      <w:r w:rsidRPr="009D4F3F">
        <w:rPr>
          <w:rFonts w:eastAsia="Times New Roman" w:cs="Times New Roman"/>
          <w:szCs w:val="24"/>
          <w:lang w:val="es-ES_tradnl" w:eastAsia="es-ES"/>
        </w:rPr>
        <w:t>.</w:t>
      </w:r>
    </w:p>
    <w:p w14:paraId="1F61CEE5" w14:textId="77777777" w:rsidR="009D4F3F" w:rsidRPr="009D4F3F" w:rsidRDefault="009D4F3F" w:rsidP="009D4F3F">
      <w:pPr>
        <w:tabs>
          <w:tab w:val="left" w:pos="2835"/>
        </w:tabs>
        <w:jc w:val="both"/>
        <w:rPr>
          <w:rFonts w:eastAsia="Times New Roman" w:cs="Times New Roman"/>
          <w:szCs w:val="24"/>
          <w:lang w:val="es-ES_tradnl" w:eastAsia="es-ES"/>
        </w:rPr>
      </w:pPr>
    </w:p>
    <w:p w14:paraId="3CA57168" w14:textId="77777777" w:rsidR="009D4F3F" w:rsidRPr="009D4F3F" w:rsidRDefault="009D4F3F" w:rsidP="009D4F3F">
      <w:pPr>
        <w:tabs>
          <w:tab w:val="left" w:pos="2835"/>
        </w:tabs>
        <w:jc w:val="both"/>
        <w:rPr>
          <w:rFonts w:eastAsia="Times New Roman" w:cs="Times New Roman"/>
          <w:szCs w:val="24"/>
          <w:lang w:val="es-ES_tradnl" w:eastAsia="es-ES"/>
        </w:rPr>
      </w:pPr>
    </w:p>
    <w:p w14:paraId="31FC84F0" w14:textId="77777777" w:rsidR="009D4F3F" w:rsidRPr="009D4F3F" w:rsidRDefault="009D4F3F" w:rsidP="009D4F3F">
      <w:pPr>
        <w:tabs>
          <w:tab w:val="left" w:pos="2835"/>
        </w:tabs>
        <w:jc w:val="both"/>
        <w:rPr>
          <w:rFonts w:eastAsia="Times New Roman" w:cs="Times New Roman"/>
          <w:szCs w:val="24"/>
          <w:lang w:val="es-ES_tradnl" w:eastAsia="es-ES"/>
        </w:rPr>
      </w:pPr>
    </w:p>
    <w:p w14:paraId="3F84C314" w14:textId="77777777" w:rsidR="009D4F3F" w:rsidRPr="009D4F3F" w:rsidRDefault="009D4F3F" w:rsidP="009D4F3F">
      <w:pPr>
        <w:tabs>
          <w:tab w:val="left" w:pos="2835"/>
        </w:tabs>
        <w:jc w:val="both"/>
        <w:rPr>
          <w:rFonts w:eastAsia="Times New Roman" w:cs="Times New Roman"/>
          <w:szCs w:val="24"/>
          <w:lang w:val="es-ES_tradnl" w:eastAsia="es-ES"/>
        </w:rPr>
      </w:pPr>
    </w:p>
    <w:p w14:paraId="633CB293" w14:textId="77777777" w:rsidR="009D4F3F" w:rsidRPr="009D4F3F" w:rsidRDefault="009D4F3F" w:rsidP="009D4F3F">
      <w:pPr>
        <w:tabs>
          <w:tab w:val="left" w:pos="2835"/>
        </w:tabs>
        <w:jc w:val="both"/>
        <w:rPr>
          <w:rFonts w:eastAsia="Times New Roman" w:cs="Times New Roman"/>
          <w:szCs w:val="24"/>
          <w:lang w:val="es-ES_tradnl" w:eastAsia="es-ES"/>
        </w:rPr>
      </w:pPr>
    </w:p>
    <w:p w14:paraId="2A9BA937" w14:textId="77777777" w:rsidR="009D4F3F" w:rsidRPr="009D4F3F" w:rsidRDefault="009D4F3F" w:rsidP="009D4F3F">
      <w:pPr>
        <w:tabs>
          <w:tab w:val="left" w:pos="2835"/>
        </w:tabs>
        <w:jc w:val="both"/>
        <w:rPr>
          <w:rFonts w:eastAsia="Times New Roman" w:cs="Times New Roman"/>
          <w:szCs w:val="24"/>
          <w:lang w:val="es-ES_tradnl" w:eastAsia="es-ES"/>
        </w:rPr>
      </w:pPr>
    </w:p>
    <w:p w14:paraId="57A62D4F" w14:textId="77777777" w:rsidR="00175443" w:rsidRPr="000B65C6" w:rsidRDefault="00175443" w:rsidP="00175443">
      <w:pPr>
        <w:jc w:val="center"/>
        <w:rPr>
          <w:rFonts w:cs="Arial"/>
          <w:b/>
          <w:bCs/>
          <w:szCs w:val="24"/>
        </w:rPr>
      </w:pPr>
      <w:bookmarkStart w:id="6" w:name="_Hlk26176568"/>
      <w:r w:rsidRPr="000B65C6">
        <w:rPr>
          <w:rFonts w:cs="Arial"/>
          <w:b/>
          <w:bCs/>
          <w:szCs w:val="24"/>
        </w:rPr>
        <w:t>Soledad Aravena Cifuentes</w:t>
      </w:r>
    </w:p>
    <w:p w14:paraId="1D251142" w14:textId="77777777" w:rsidR="00175443" w:rsidRPr="000B65C6" w:rsidRDefault="00175443" w:rsidP="00175443">
      <w:pPr>
        <w:jc w:val="center"/>
        <w:rPr>
          <w:rFonts w:cs="Arial"/>
          <w:b/>
          <w:bCs/>
          <w:szCs w:val="24"/>
        </w:rPr>
      </w:pPr>
      <w:r w:rsidRPr="000B65C6">
        <w:rPr>
          <w:rFonts w:cs="Arial"/>
          <w:b/>
          <w:bCs/>
          <w:szCs w:val="24"/>
        </w:rPr>
        <w:t>Secretaria de la Comisión</w:t>
      </w:r>
    </w:p>
    <w:bookmarkEnd w:id="6"/>
    <w:p w14:paraId="07091AD3" w14:textId="3EFEFFC0" w:rsidR="009D4F3F" w:rsidRPr="00175443" w:rsidRDefault="009D4F3F" w:rsidP="009D4F3F">
      <w:pPr>
        <w:tabs>
          <w:tab w:val="left" w:pos="2835"/>
        </w:tabs>
        <w:jc w:val="both"/>
        <w:rPr>
          <w:rFonts w:eastAsia="Times New Roman" w:cs="Times New Roman"/>
          <w:b/>
          <w:szCs w:val="24"/>
          <w:lang w:eastAsia="es-ES"/>
        </w:rPr>
      </w:pPr>
    </w:p>
    <w:p w14:paraId="0356B4EC" w14:textId="77777777" w:rsidR="00FA6C44" w:rsidRPr="009D4F3F" w:rsidRDefault="00FA6C44" w:rsidP="002360C6">
      <w:pPr>
        <w:tabs>
          <w:tab w:val="left" w:pos="2835"/>
        </w:tabs>
        <w:jc w:val="center"/>
        <w:rPr>
          <w:szCs w:val="24"/>
        </w:rPr>
      </w:pPr>
    </w:p>
    <w:sectPr w:rsidR="00FA6C44" w:rsidRPr="009D4F3F" w:rsidSect="000B65C6">
      <w:headerReference w:type="even" r:id="rId7"/>
      <w:headerReference w:type="default" r:id="rId8"/>
      <w:pgSz w:w="12240" w:h="18720" w:code="14"/>
      <w:pgMar w:top="2835" w:right="1701" w:bottom="2835" w:left="2268" w:header="1701" w:footer="720" w:gutter="0"/>
      <w:paperSrc w:first="2"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DD2F1" w14:textId="77777777" w:rsidR="006D642E" w:rsidRDefault="006D642E">
      <w:r>
        <w:separator/>
      </w:r>
    </w:p>
  </w:endnote>
  <w:endnote w:type="continuationSeparator" w:id="0">
    <w:p w14:paraId="47A99251" w14:textId="77777777" w:rsidR="006D642E" w:rsidRDefault="006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41B0A" w14:textId="77777777" w:rsidR="006D642E" w:rsidRDefault="006D642E">
      <w:r>
        <w:separator/>
      </w:r>
    </w:p>
  </w:footnote>
  <w:footnote w:type="continuationSeparator" w:id="0">
    <w:p w14:paraId="30127438" w14:textId="77777777" w:rsidR="006D642E" w:rsidRDefault="006D6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6010" w14:textId="77777777" w:rsidR="002360C6" w:rsidRDefault="002360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71</w:t>
    </w:r>
    <w:r>
      <w:rPr>
        <w:rStyle w:val="Nmerodepgina"/>
      </w:rPr>
      <w:fldChar w:fldCharType="end"/>
    </w:r>
  </w:p>
  <w:p w14:paraId="12DE1B89" w14:textId="77777777" w:rsidR="002360C6" w:rsidRDefault="002360C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F202" w14:textId="77777777" w:rsidR="002360C6" w:rsidRDefault="002360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106</w:t>
    </w:r>
    <w:r>
      <w:rPr>
        <w:rStyle w:val="Nmerodepgina"/>
      </w:rPr>
      <w:fldChar w:fldCharType="end"/>
    </w:r>
  </w:p>
  <w:p w14:paraId="727E16DB" w14:textId="77777777" w:rsidR="002360C6" w:rsidRDefault="002360C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9B3"/>
    <w:multiLevelType w:val="hybridMultilevel"/>
    <w:tmpl w:val="24B80230"/>
    <w:lvl w:ilvl="0" w:tplc="30A482D2">
      <w:start w:val="2"/>
      <w:numFmt w:val="lowerLetter"/>
      <w:lvlText w:val="%1)"/>
      <w:lvlJc w:val="left"/>
      <w:pPr>
        <w:tabs>
          <w:tab w:val="num" w:pos="1980"/>
        </w:tabs>
        <w:ind w:left="1980" w:hanging="360"/>
      </w:pPr>
      <w:rPr>
        <w:rFonts w:ascii="Arial" w:hAnsi="Arial" w:cs="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A84F18"/>
    <w:multiLevelType w:val="hybridMultilevel"/>
    <w:tmpl w:val="093EF3B0"/>
    <w:lvl w:ilvl="0" w:tplc="6BA661E0">
      <w:start w:val="1"/>
      <w:numFmt w:val="lowerLetter"/>
      <w:lvlText w:val="%1)"/>
      <w:lvlJc w:val="left"/>
      <w:pPr>
        <w:tabs>
          <w:tab w:val="num" w:pos="1647"/>
        </w:tabs>
        <w:ind w:left="1647" w:hanging="360"/>
      </w:pPr>
      <w:rPr>
        <w:rFonts w:ascii="Courier New" w:hAnsi="Courier New" w:hint="default"/>
        <w:b w:val="0"/>
        <w:i w:val="0"/>
        <w:sz w:val="24"/>
      </w:rPr>
    </w:lvl>
    <w:lvl w:ilvl="1" w:tplc="6E705E2A">
      <w:start w:val="3"/>
      <w:numFmt w:val="decimal"/>
      <w:lvlText w:val="%2."/>
      <w:lvlJc w:val="left"/>
      <w:pPr>
        <w:tabs>
          <w:tab w:val="num" w:pos="1440"/>
        </w:tabs>
        <w:ind w:left="1440" w:hanging="360"/>
      </w:pPr>
      <w:rPr>
        <w:rFonts w:ascii="Courier New" w:hAnsi="Courier New" w:hint="default"/>
        <w:b/>
        <w:i w:val="0"/>
        <w:sz w:val="24"/>
      </w:rPr>
    </w:lvl>
    <w:lvl w:ilvl="2" w:tplc="6BA661E0">
      <w:start w:val="1"/>
      <w:numFmt w:val="lowerLetter"/>
      <w:lvlText w:val="%3)"/>
      <w:lvlJc w:val="left"/>
      <w:pPr>
        <w:tabs>
          <w:tab w:val="num" w:pos="2340"/>
        </w:tabs>
        <w:ind w:left="2340" w:hanging="360"/>
      </w:pPr>
      <w:rPr>
        <w:rFonts w:ascii="Courier New" w:hAnsi="Courier New" w:hint="default"/>
        <w:b w:val="0"/>
        <w:i w:val="0"/>
        <w:sz w:val="24"/>
      </w:rPr>
    </w:lvl>
    <w:lvl w:ilvl="3" w:tplc="FB9E7B8C">
      <w:start w:val="1"/>
      <w:numFmt w:val="lowerLetter"/>
      <w:lvlText w:val="%4)"/>
      <w:lvlJc w:val="left"/>
      <w:pPr>
        <w:tabs>
          <w:tab w:val="num" w:pos="2880"/>
        </w:tabs>
        <w:ind w:left="2880" w:hanging="360"/>
      </w:pPr>
      <w:rPr>
        <w:rFonts w:ascii="Courier New" w:hAnsi="Courier New" w:hint="default"/>
        <w:b w:val="0"/>
        <w:i w:val="0"/>
        <w:sz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B77861"/>
    <w:multiLevelType w:val="hybridMultilevel"/>
    <w:tmpl w:val="44BC58FA"/>
    <w:lvl w:ilvl="0" w:tplc="65E6AF9A">
      <w:start w:val="1"/>
      <w:numFmt w:val="lowerLetter"/>
      <w:lvlText w:val="%1)"/>
      <w:lvlJc w:val="left"/>
      <w:pPr>
        <w:tabs>
          <w:tab w:val="num" w:pos="3195"/>
        </w:tabs>
        <w:ind w:left="3195" w:hanging="360"/>
      </w:pPr>
      <w:rPr>
        <w:rFonts w:hint="default"/>
        <w:b w:val="0"/>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 w15:restartNumberingAfterBreak="0">
    <w:nsid w:val="17292AEA"/>
    <w:multiLevelType w:val="hybridMultilevel"/>
    <w:tmpl w:val="0212C7CC"/>
    <w:lvl w:ilvl="0" w:tplc="8C8680EE">
      <w:start w:val="2"/>
      <w:numFmt w:val="lowerLetter"/>
      <w:lvlText w:val="%1)"/>
      <w:lvlJc w:val="left"/>
      <w:pPr>
        <w:tabs>
          <w:tab w:val="num" w:pos="2629"/>
        </w:tabs>
        <w:ind w:left="2629" w:hanging="360"/>
      </w:pPr>
      <w:rPr>
        <w:rFonts w:ascii="Arial" w:hAnsi="Arial" w:cs="Arial" w:hint="default"/>
        <w:b w:val="0"/>
        <w:i w:val="0"/>
        <w:sz w:val="24"/>
      </w:rPr>
    </w:lvl>
    <w:lvl w:ilvl="1" w:tplc="0C0A0019" w:tentative="1">
      <w:start w:val="1"/>
      <w:numFmt w:val="lowerLetter"/>
      <w:lvlText w:val="%2."/>
      <w:lvlJc w:val="left"/>
      <w:pPr>
        <w:tabs>
          <w:tab w:val="num" w:pos="1549"/>
        </w:tabs>
        <w:ind w:left="1549" w:hanging="360"/>
      </w:pPr>
    </w:lvl>
    <w:lvl w:ilvl="2" w:tplc="0C0A001B" w:tentative="1">
      <w:start w:val="1"/>
      <w:numFmt w:val="lowerRoman"/>
      <w:lvlText w:val="%3."/>
      <w:lvlJc w:val="right"/>
      <w:pPr>
        <w:tabs>
          <w:tab w:val="num" w:pos="2269"/>
        </w:tabs>
        <w:ind w:left="2269" w:hanging="180"/>
      </w:pPr>
    </w:lvl>
    <w:lvl w:ilvl="3" w:tplc="0C0A000F" w:tentative="1">
      <w:start w:val="1"/>
      <w:numFmt w:val="decimal"/>
      <w:lvlText w:val="%4."/>
      <w:lvlJc w:val="left"/>
      <w:pPr>
        <w:tabs>
          <w:tab w:val="num" w:pos="2989"/>
        </w:tabs>
        <w:ind w:left="2989" w:hanging="360"/>
      </w:pPr>
    </w:lvl>
    <w:lvl w:ilvl="4" w:tplc="0C0A0019" w:tentative="1">
      <w:start w:val="1"/>
      <w:numFmt w:val="lowerLetter"/>
      <w:lvlText w:val="%5."/>
      <w:lvlJc w:val="left"/>
      <w:pPr>
        <w:tabs>
          <w:tab w:val="num" w:pos="3709"/>
        </w:tabs>
        <w:ind w:left="3709" w:hanging="360"/>
      </w:pPr>
    </w:lvl>
    <w:lvl w:ilvl="5" w:tplc="0C0A001B" w:tentative="1">
      <w:start w:val="1"/>
      <w:numFmt w:val="lowerRoman"/>
      <w:lvlText w:val="%6."/>
      <w:lvlJc w:val="right"/>
      <w:pPr>
        <w:tabs>
          <w:tab w:val="num" w:pos="4429"/>
        </w:tabs>
        <w:ind w:left="4429" w:hanging="180"/>
      </w:pPr>
    </w:lvl>
    <w:lvl w:ilvl="6" w:tplc="0C0A000F" w:tentative="1">
      <w:start w:val="1"/>
      <w:numFmt w:val="decimal"/>
      <w:lvlText w:val="%7."/>
      <w:lvlJc w:val="left"/>
      <w:pPr>
        <w:tabs>
          <w:tab w:val="num" w:pos="5149"/>
        </w:tabs>
        <w:ind w:left="5149" w:hanging="360"/>
      </w:pPr>
    </w:lvl>
    <w:lvl w:ilvl="7" w:tplc="0C0A0019" w:tentative="1">
      <w:start w:val="1"/>
      <w:numFmt w:val="lowerLetter"/>
      <w:lvlText w:val="%8."/>
      <w:lvlJc w:val="left"/>
      <w:pPr>
        <w:tabs>
          <w:tab w:val="num" w:pos="5869"/>
        </w:tabs>
        <w:ind w:left="5869" w:hanging="360"/>
      </w:pPr>
    </w:lvl>
    <w:lvl w:ilvl="8" w:tplc="0C0A001B" w:tentative="1">
      <w:start w:val="1"/>
      <w:numFmt w:val="lowerRoman"/>
      <w:lvlText w:val="%9."/>
      <w:lvlJc w:val="right"/>
      <w:pPr>
        <w:tabs>
          <w:tab w:val="num" w:pos="6589"/>
        </w:tabs>
        <w:ind w:left="6589" w:hanging="180"/>
      </w:pPr>
    </w:lvl>
  </w:abstractNum>
  <w:abstractNum w:abstractNumId="4" w15:restartNumberingAfterBreak="0">
    <w:nsid w:val="17682DD8"/>
    <w:multiLevelType w:val="hybridMultilevel"/>
    <w:tmpl w:val="11843986"/>
    <w:lvl w:ilvl="0" w:tplc="340A000F">
      <w:start w:val="1"/>
      <w:numFmt w:val="decimal"/>
      <w:lvlText w:val="%1."/>
      <w:lvlJc w:val="left"/>
      <w:pPr>
        <w:tabs>
          <w:tab w:val="num" w:pos="1260"/>
        </w:tabs>
        <w:ind w:left="1260" w:hanging="360"/>
      </w:pPr>
    </w:lvl>
    <w:lvl w:ilvl="1" w:tplc="340A0017">
      <w:start w:val="1"/>
      <w:numFmt w:val="lowerLetter"/>
      <w:lvlText w:val="%2)"/>
      <w:lvlJc w:val="left"/>
      <w:pPr>
        <w:tabs>
          <w:tab w:val="num" w:pos="1980"/>
        </w:tabs>
        <w:ind w:left="1980" w:hanging="360"/>
      </w:pPr>
    </w:lvl>
    <w:lvl w:ilvl="2" w:tplc="340A0001">
      <w:start w:val="1"/>
      <w:numFmt w:val="bullet"/>
      <w:lvlText w:val=""/>
      <w:lvlJc w:val="left"/>
      <w:pPr>
        <w:tabs>
          <w:tab w:val="num" w:pos="2880"/>
        </w:tabs>
        <w:ind w:left="2880" w:hanging="360"/>
      </w:pPr>
      <w:rPr>
        <w:rFonts w:ascii="Symbol" w:hAnsi="Symbol" w:hint="default"/>
      </w:rPr>
    </w:lvl>
    <w:lvl w:ilvl="3" w:tplc="340A000F" w:tentative="1">
      <w:start w:val="1"/>
      <w:numFmt w:val="decimal"/>
      <w:lvlText w:val="%4."/>
      <w:lvlJc w:val="left"/>
      <w:pPr>
        <w:tabs>
          <w:tab w:val="num" w:pos="3420"/>
        </w:tabs>
        <w:ind w:left="3420" w:hanging="360"/>
      </w:pPr>
    </w:lvl>
    <w:lvl w:ilvl="4" w:tplc="340A0019" w:tentative="1">
      <w:start w:val="1"/>
      <w:numFmt w:val="lowerLetter"/>
      <w:lvlText w:val="%5."/>
      <w:lvlJc w:val="left"/>
      <w:pPr>
        <w:tabs>
          <w:tab w:val="num" w:pos="4140"/>
        </w:tabs>
        <w:ind w:left="4140" w:hanging="360"/>
      </w:pPr>
    </w:lvl>
    <w:lvl w:ilvl="5" w:tplc="340A001B" w:tentative="1">
      <w:start w:val="1"/>
      <w:numFmt w:val="lowerRoman"/>
      <w:lvlText w:val="%6."/>
      <w:lvlJc w:val="right"/>
      <w:pPr>
        <w:tabs>
          <w:tab w:val="num" w:pos="4860"/>
        </w:tabs>
        <w:ind w:left="4860" w:hanging="180"/>
      </w:pPr>
    </w:lvl>
    <w:lvl w:ilvl="6" w:tplc="340A000F" w:tentative="1">
      <w:start w:val="1"/>
      <w:numFmt w:val="decimal"/>
      <w:lvlText w:val="%7."/>
      <w:lvlJc w:val="left"/>
      <w:pPr>
        <w:tabs>
          <w:tab w:val="num" w:pos="5580"/>
        </w:tabs>
        <w:ind w:left="5580" w:hanging="360"/>
      </w:pPr>
    </w:lvl>
    <w:lvl w:ilvl="7" w:tplc="340A0019" w:tentative="1">
      <w:start w:val="1"/>
      <w:numFmt w:val="lowerLetter"/>
      <w:lvlText w:val="%8."/>
      <w:lvlJc w:val="left"/>
      <w:pPr>
        <w:tabs>
          <w:tab w:val="num" w:pos="6300"/>
        </w:tabs>
        <w:ind w:left="6300" w:hanging="360"/>
      </w:pPr>
    </w:lvl>
    <w:lvl w:ilvl="8" w:tplc="340A001B" w:tentative="1">
      <w:start w:val="1"/>
      <w:numFmt w:val="lowerRoman"/>
      <w:lvlText w:val="%9."/>
      <w:lvlJc w:val="right"/>
      <w:pPr>
        <w:tabs>
          <w:tab w:val="num" w:pos="7020"/>
        </w:tabs>
        <w:ind w:left="7020" w:hanging="180"/>
      </w:pPr>
    </w:lvl>
  </w:abstractNum>
  <w:abstractNum w:abstractNumId="5" w15:restartNumberingAfterBreak="0">
    <w:nsid w:val="1A6669E3"/>
    <w:multiLevelType w:val="hybridMultilevel"/>
    <w:tmpl w:val="B2ECB00E"/>
    <w:lvl w:ilvl="0" w:tplc="1A9E7EFA">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3F781CB5"/>
    <w:multiLevelType w:val="hybridMultilevel"/>
    <w:tmpl w:val="CB7833DA"/>
    <w:lvl w:ilvl="0" w:tplc="198A3FA4">
      <w:start w:val="3"/>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7" w15:restartNumberingAfterBreak="0">
    <w:nsid w:val="45214E02"/>
    <w:multiLevelType w:val="hybridMultilevel"/>
    <w:tmpl w:val="64FA67C2"/>
    <w:lvl w:ilvl="0" w:tplc="F48EAAD6">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553C158B"/>
    <w:multiLevelType w:val="hybridMultilevel"/>
    <w:tmpl w:val="B2782A74"/>
    <w:lvl w:ilvl="0" w:tplc="0E9863FA">
      <w:start w:val="1"/>
      <w:numFmt w:val="lowerLetter"/>
      <w:lvlText w:val="%1)"/>
      <w:lvlJc w:val="left"/>
      <w:pPr>
        <w:tabs>
          <w:tab w:val="num" w:pos="2520"/>
        </w:tabs>
        <w:ind w:left="2520" w:hanging="360"/>
      </w:pPr>
      <w:rPr>
        <w:rFonts w:ascii="Arial" w:hAnsi="Arial" w:cs="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4FB2FE8"/>
    <w:multiLevelType w:val="hybridMultilevel"/>
    <w:tmpl w:val="90CC60EE"/>
    <w:lvl w:ilvl="0" w:tplc="33080ED0">
      <w:start w:val="1"/>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671E24E3"/>
    <w:multiLevelType w:val="hybridMultilevel"/>
    <w:tmpl w:val="79A89C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9367FA"/>
    <w:multiLevelType w:val="hybridMultilevel"/>
    <w:tmpl w:val="2B48EBBC"/>
    <w:lvl w:ilvl="0" w:tplc="558EBAF8">
      <w:start w:val="1"/>
      <w:numFmt w:val="lowerLetter"/>
      <w:lvlText w:val="%1)"/>
      <w:lvlJc w:val="left"/>
      <w:pPr>
        <w:tabs>
          <w:tab w:val="num" w:pos="3195"/>
        </w:tabs>
        <w:ind w:left="3195" w:hanging="360"/>
      </w:pPr>
      <w:rPr>
        <w:rFonts w:hint="default"/>
        <w:b w:val="0"/>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12" w15:restartNumberingAfterBreak="0">
    <w:nsid w:val="78DF6421"/>
    <w:multiLevelType w:val="hybridMultilevel"/>
    <w:tmpl w:val="8C6A3636"/>
    <w:lvl w:ilvl="0" w:tplc="104A2ED2">
      <w:start w:val="3"/>
      <w:numFmt w:val="lowerLetter"/>
      <w:lvlText w:val="%1)"/>
      <w:lvlJc w:val="left"/>
      <w:pPr>
        <w:tabs>
          <w:tab w:val="num" w:pos="1980"/>
        </w:tabs>
        <w:ind w:left="1980" w:hanging="360"/>
      </w:pPr>
      <w:rPr>
        <w:rFonts w:ascii="Arial" w:hAnsi="Arial" w:cs="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
  </w:num>
  <w:num w:numId="4">
    <w:abstractNumId w:val="0"/>
  </w:num>
  <w:num w:numId="5">
    <w:abstractNumId w:val="12"/>
  </w:num>
  <w:num w:numId="6">
    <w:abstractNumId w:val="3"/>
  </w:num>
  <w:num w:numId="7">
    <w:abstractNumId w:val="8"/>
  </w:num>
  <w:num w:numId="8">
    <w:abstractNumId w:val="11"/>
  </w:num>
  <w:num w:numId="9">
    <w:abstractNumId w:val="2"/>
  </w:num>
  <w:num w:numId="10">
    <w:abstractNumId w:val="6"/>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3F"/>
    <w:rsid w:val="000B65C6"/>
    <w:rsid w:val="00175443"/>
    <w:rsid w:val="001A03C9"/>
    <w:rsid w:val="002360C6"/>
    <w:rsid w:val="003879F9"/>
    <w:rsid w:val="00526D2E"/>
    <w:rsid w:val="006037B2"/>
    <w:rsid w:val="00651188"/>
    <w:rsid w:val="006B2D30"/>
    <w:rsid w:val="006D642E"/>
    <w:rsid w:val="0070175D"/>
    <w:rsid w:val="00721CBF"/>
    <w:rsid w:val="00791ECB"/>
    <w:rsid w:val="00872BB7"/>
    <w:rsid w:val="009D4F3F"/>
    <w:rsid w:val="00AE4757"/>
    <w:rsid w:val="00CA1623"/>
    <w:rsid w:val="00CC378D"/>
    <w:rsid w:val="00D3673C"/>
    <w:rsid w:val="00F204AD"/>
    <w:rsid w:val="00FA6C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AADA"/>
  <w15:chartTrackingRefBased/>
  <w15:docId w15:val="{F6A2434F-FFCB-40CE-9AAD-59DCF520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D4F3F"/>
    <w:pPr>
      <w:keepNext/>
      <w:spacing w:before="240"/>
      <w:ind w:left="2880" w:right="-1"/>
      <w:jc w:val="both"/>
      <w:outlineLvl w:val="0"/>
    </w:pPr>
    <w:rPr>
      <w:rFonts w:ascii="Courier" w:eastAsia="Times New Roman" w:hAnsi="Courier" w:cs="Times New Roman"/>
      <w:b/>
      <w:szCs w:val="20"/>
      <w:lang w:val="es-ES_tradnl" w:eastAsia="es-ES"/>
    </w:rPr>
  </w:style>
  <w:style w:type="paragraph" w:styleId="Ttulo2">
    <w:name w:val="heading 2"/>
    <w:basedOn w:val="Normal"/>
    <w:next w:val="Normal"/>
    <w:link w:val="Ttulo2Car"/>
    <w:qFormat/>
    <w:rsid w:val="009D4F3F"/>
    <w:pPr>
      <w:keepNext/>
      <w:tabs>
        <w:tab w:val="left" w:pos="2835"/>
      </w:tabs>
      <w:jc w:val="center"/>
      <w:outlineLvl w:val="1"/>
    </w:pPr>
    <w:rPr>
      <w:rFonts w:ascii="Times New Roman" w:eastAsia="Times New Roman" w:hAnsi="Times New Roman" w:cs="Times New Roman"/>
      <w:b/>
      <w:sz w:val="36"/>
      <w:szCs w:val="20"/>
      <w:u w:val="single"/>
      <w:lang w:val="es-ES_tradnl" w:eastAsia="es-ES"/>
    </w:rPr>
  </w:style>
  <w:style w:type="paragraph" w:styleId="Ttulo3">
    <w:name w:val="heading 3"/>
    <w:basedOn w:val="Normal"/>
    <w:next w:val="Normal"/>
    <w:link w:val="Ttulo3Car"/>
    <w:qFormat/>
    <w:rsid w:val="009D4F3F"/>
    <w:pPr>
      <w:keepNext/>
      <w:tabs>
        <w:tab w:val="left" w:pos="2835"/>
      </w:tabs>
      <w:ind w:left="851" w:hanging="851"/>
      <w:jc w:val="both"/>
      <w:outlineLvl w:val="2"/>
    </w:pPr>
    <w:rPr>
      <w:rFonts w:ascii="Courier" w:eastAsia="Times New Roman" w:hAnsi="Courier" w:cs="Times New Roman"/>
      <w:b/>
      <w:szCs w:val="20"/>
      <w:lang w:val="es-ES_tradnl" w:eastAsia="es-ES"/>
    </w:rPr>
  </w:style>
  <w:style w:type="paragraph" w:styleId="Ttulo4">
    <w:name w:val="heading 4"/>
    <w:basedOn w:val="Normal"/>
    <w:next w:val="Normal"/>
    <w:link w:val="Ttulo4Car"/>
    <w:qFormat/>
    <w:rsid w:val="009D4F3F"/>
    <w:pPr>
      <w:keepNext/>
      <w:tabs>
        <w:tab w:val="left" w:pos="2835"/>
      </w:tabs>
      <w:spacing w:line="360" w:lineRule="auto"/>
      <w:jc w:val="center"/>
      <w:outlineLvl w:val="3"/>
    </w:pPr>
    <w:rPr>
      <w:rFonts w:ascii="Courier" w:eastAsia="Times New Roman" w:hAnsi="Courier" w:cs="Times New Roman"/>
      <w:b/>
      <w:szCs w:val="20"/>
      <w:lang w:val="es-ES_tradnl" w:eastAsia="es-ES"/>
    </w:rPr>
  </w:style>
  <w:style w:type="paragraph" w:styleId="Ttulo5">
    <w:name w:val="heading 5"/>
    <w:basedOn w:val="Normal"/>
    <w:next w:val="Normal"/>
    <w:link w:val="Ttulo5Car"/>
    <w:qFormat/>
    <w:rsid w:val="009D4F3F"/>
    <w:pPr>
      <w:keepNext/>
      <w:tabs>
        <w:tab w:val="left" w:pos="2552"/>
        <w:tab w:val="left" w:pos="3119"/>
      </w:tabs>
      <w:jc w:val="both"/>
      <w:outlineLvl w:val="4"/>
    </w:pPr>
    <w:rPr>
      <w:rFonts w:eastAsia="Times New Roman" w:cs="Times New Roman"/>
      <w:b/>
      <w:szCs w:val="20"/>
      <w:lang w:val="es-ES_tradnl" w:eastAsia="es-ES"/>
    </w:rPr>
  </w:style>
  <w:style w:type="paragraph" w:styleId="Ttulo6">
    <w:name w:val="heading 6"/>
    <w:basedOn w:val="Normal"/>
    <w:next w:val="Normal"/>
    <w:link w:val="Ttulo6Car"/>
    <w:qFormat/>
    <w:rsid w:val="009D4F3F"/>
    <w:pPr>
      <w:keepNext/>
      <w:suppressAutoHyphens/>
      <w:ind w:left="2835" w:hanging="2835"/>
      <w:jc w:val="center"/>
      <w:outlineLvl w:val="5"/>
    </w:pPr>
    <w:rPr>
      <w:rFonts w:eastAsia="Times New Roman" w:cs="Times New Roman"/>
      <w:b/>
      <w:szCs w:val="20"/>
      <w:lang w:val="es-ES_tradnl" w:eastAsia="es-ES"/>
    </w:rPr>
  </w:style>
  <w:style w:type="paragraph" w:styleId="Ttulo7">
    <w:name w:val="heading 7"/>
    <w:basedOn w:val="Normal"/>
    <w:next w:val="Normal"/>
    <w:link w:val="Ttulo7Car"/>
    <w:qFormat/>
    <w:rsid w:val="009D4F3F"/>
    <w:pPr>
      <w:keepNext/>
      <w:tabs>
        <w:tab w:val="left" w:pos="2835"/>
      </w:tabs>
      <w:jc w:val="center"/>
      <w:outlineLvl w:val="6"/>
    </w:pPr>
    <w:rPr>
      <w:rFonts w:eastAsia="Times New Roman" w:cs="Times New Roman"/>
      <w:b/>
      <w:szCs w:val="20"/>
      <w:u w:val="single"/>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4F3F"/>
    <w:rPr>
      <w:rFonts w:ascii="Courier" w:eastAsia="Times New Roman" w:hAnsi="Courier" w:cs="Times New Roman"/>
      <w:b/>
      <w:szCs w:val="20"/>
      <w:lang w:val="es-ES_tradnl" w:eastAsia="es-ES"/>
    </w:rPr>
  </w:style>
  <w:style w:type="character" w:customStyle="1" w:styleId="Ttulo2Car">
    <w:name w:val="Título 2 Car"/>
    <w:basedOn w:val="Fuentedeprrafopredeter"/>
    <w:link w:val="Ttulo2"/>
    <w:rsid w:val="009D4F3F"/>
    <w:rPr>
      <w:rFonts w:ascii="Times New Roman" w:eastAsia="Times New Roman" w:hAnsi="Times New Roman" w:cs="Times New Roman"/>
      <w:b/>
      <w:sz w:val="36"/>
      <w:szCs w:val="20"/>
      <w:u w:val="single"/>
      <w:lang w:val="es-ES_tradnl" w:eastAsia="es-ES"/>
    </w:rPr>
  </w:style>
  <w:style w:type="character" w:customStyle="1" w:styleId="Ttulo3Car">
    <w:name w:val="Título 3 Car"/>
    <w:basedOn w:val="Fuentedeprrafopredeter"/>
    <w:link w:val="Ttulo3"/>
    <w:rsid w:val="009D4F3F"/>
    <w:rPr>
      <w:rFonts w:ascii="Courier" w:eastAsia="Times New Roman" w:hAnsi="Courier" w:cs="Times New Roman"/>
      <w:b/>
      <w:szCs w:val="20"/>
      <w:lang w:val="es-ES_tradnl" w:eastAsia="es-ES"/>
    </w:rPr>
  </w:style>
  <w:style w:type="character" w:customStyle="1" w:styleId="Ttulo4Car">
    <w:name w:val="Título 4 Car"/>
    <w:basedOn w:val="Fuentedeprrafopredeter"/>
    <w:link w:val="Ttulo4"/>
    <w:rsid w:val="009D4F3F"/>
    <w:rPr>
      <w:rFonts w:ascii="Courier" w:eastAsia="Times New Roman" w:hAnsi="Courier" w:cs="Times New Roman"/>
      <w:b/>
      <w:szCs w:val="20"/>
      <w:lang w:val="es-ES_tradnl" w:eastAsia="es-ES"/>
    </w:rPr>
  </w:style>
  <w:style w:type="character" w:customStyle="1" w:styleId="Ttulo5Car">
    <w:name w:val="Título 5 Car"/>
    <w:basedOn w:val="Fuentedeprrafopredeter"/>
    <w:link w:val="Ttulo5"/>
    <w:rsid w:val="009D4F3F"/>
    <w:rPr>
      <w:rFonts w:eastAsia="Times New Roman" w:cs="Times New Roman"/>
      <w:b/>
      <w:szCs w:val="20"/>
      <w:lang w:val="es-ES_tradnl" w:eastAsia="es-ES"/>
    </w:rPr>
  </w:style>
  <w:style w:type="character" w:customStyle="1" w:styleId="Ttulo6Car">
    <w:name w:val="Título 6 Car"/>
    <w:basedOn w:val="Fuentedeprrafopredeter"/>
    <w:link w:val="Ttulo6"/>
    <w:rsid w:val="009D4F3F"/>
    <w:rPr>
      <w:rFonts w:eastAsia="Times New Roman" w:cs="Times New Roman"/>
      <w:b/>
      <w:szCs w:val="20"/>
      <w:lang w:val="es-ES_tradnl" w:eastAsia="es-ES"/>
    </w:rPr>
  </w:style>
  <w:style w:type="character" w:customStyle="1" w:styleId="Ttulo7Car">
    <w:name w:val="Título 7 Car"/>
    <w:basedOn w:val="Fuentedeprrafopredeter"/>
    <w:link w:val="Ttulo7"/>
    <w:rsid w:val="009D4F3F"/>
    <w:rPr>
      <w:rFonts w:eastAsia="Times New Roman" w:cs="Times New Roman"/>
      <w:b/>
      <w:szCs w:val="20"/>
      <w:u w:val="single"/>
      <w:lang w:val="es-ES_tradnl" w:eastAsia="es-ES"/>
    </w:rPr>
  </w:style>
  <w:style w:type="numbering" w:customStyle="1" w:styleId="Sinlista1">
    <w:name w:val="Sin lista1"/>
    <w:next w:val="Sinlista"/>
    <w:uiPriority w:val="99"/>
    <w:semiHidden/>
    <w:unhideWhenUsed/>
    <w:rsid w:val="009D4F3F"/>
  </w:style>
  <w:style w:type="numbering" w:customStyle="1" w:styleId="Sinlista11">
    <w:name w:val="Sin lista11"/>
    <w:next w:val="Sinlista"/>
    <w:semiHidden/>
    <w:rsid w:val="009D4F3F"/>
  </w:style>
  <w:style w:type="paragraph" w:styleId="Encabezado">
    <w:name w:val="header"/>
    <w:basedOn w:val="Normal"/>
    <w:link w:val="EncabezadoCar"/>
    <w:rsid w:val="009D4F3F"/>
    <w:pPr>
      <w:tabs>
        <w:tab w:val="center" w:pos="4252"/>
        <w:tab w:val="right" w:pos="8504"/>
      </w:tabs>
    </w:pPr>
    <w:rPr>
      <w:rFonts w:ascii="Courier" w:eastAsia="Times New Roman" w:hAnsi="Courier" w:cs="Times New Roman"/>
      <w:szCs w:val="20"/>
      <w:lang w:val="es-ES_tradnl" w:eastAsia="es-ES"/>
    </w:rPr>
  </w:style>
  <w:style w:type="character" w:customStyle="1" w:styleId="EncabezadoCar">
    <w:name w:val="Encabezado Car"/>
    <w:basedOn w:val="Fuentedeprrafopredeter"/>
    <w:link w:val="Encabezado"/>
    <w:rsid w:val="009D4F3F"/>
    <w:rPr>
      <w:rFonts w:ascii="Courier" w:eastAsia="Times New Roman" w:hAnsi="Courier" w:cs="Times New Roman"/>
      <w:szCs w:val="20"/>
      <w:lang w:val="es-ES_tradnl" w:eastAsia="es-ES"/>
    </w:rPr>
  </w:style>
  <w:style w:type="character" w:styleId="Nmerodepgina">
    <w:name w:val="page number"/>
    <w:basedOn w:val="Fuentedeprrafopredeter"/>
    <w:rsid w:val="009D4F3F"/>
  </w:style>
  <w:style w:type="paragraph" w:styleId="Textoindependiente">
    <w:name w:val="Body Text"/>
    <w:basedOn w:val="Normal"/>
    <w:link w:val="TextoindependienteCar"/>
    <w:rsid w:val="009D4F3F"/>
    <w:pPr>
      <w:spacing w:after="120"/>
    </w:pPr>
    <w:rPr>
      <w:rFonts w:ascii="Courier" w:eastAsia="Times New Roman" w:hAnsi="Courier" w:cs="Times New Roman"/>
      <w:szCs w:val="20"/>
      <w:lang w:val="es-ES_tradnl" w:eastAsia="es-ES"/>
    </w:rPr>
  </w:style>
  <w:style w:type="character" w:customStyle="1" w:styleId="TextoindependienteCar">
    <w:name w:val="Texto independiente Car"/>
    <w:basedOn w:val="Fuentedeprrafopredeter"/>
    <w:link w:val="Textoindependiente"/>
    <w:rsid w:val="009D4F3F"/>
    <w:rPr>
      <w:rFonts w:ascii="Courier" w:eastAsia="Times New Roman" w:hAnsi="Courier" w:cs="Times New Roman"/>
      <w:szCs w:val="20"/>
      <w:lang w:val="es-ES_tradnl" w:eastAsia="es-ES"/>
    </w:rPr>
  </w:style>
  <w:style w:type="paragraph" w:styleId="Textoindependiente2">
    <w:name w:val="Body Text 2"/>
    <w:basedOn w:val="Normal"/>
    <w:link w:val="Textoindependiente2Car"/>
    <w:rsid w:val="009D4F3F"/>
    <w:pPr>
      <w:jc w:val="both"/>
    </w:pPr>
    <w:rPr>
      <w:rFonts w:ascii="Courier" w:eastAsia="Times New Roman" w:hAnsi="Courier" w:cs="Times New Roman"/>
      <w:szCs w:val="20"/>
      <w:lang w:val="es-ES_tradnl" w:eastAsia="es-ES"/>
    </w:rPr>
  </w:style>
  <w:style w:type="character" w:customStyle="1" w:styleId="Textoindependiente2Car">
    <w:name w:val="Texto independiente 2 Car"/>
    <w:basedOn w:val="Fuentedeprrafopredeter"/>
    <w:link w:val="Textoindependiente2"/>
    <w:rsid w:val="009D4F3F"/>
    <w:rPr>
      <w:rFonts w:ascii="Courier" w:eastAsia="Times New Roman" w:hAnsi="Courier" w:cs="Times New Roman"/>
      <w:szCs w:val="20"/>
      <w:lang w:val="es-ES_tradnl" w:eastAsia="es-ES"/>
    </w:rPr>
  </w:style>
  <w:style w:type="paragraph" w:styleId="Sangradetextonormal">
    <w:name w:val="Body Text Indent"/>
    <w:basedOn w:val="Normal"/>
    <w:link w:val="SangradetextonormalCar"/>
    <w:rsid w:val="009D4F3F"/>
    <w:pPr>
      <w:ind w:left="2835"/>
      <w:jc w:val="both"/>
    </w:pPr>
    <w:rPr>
      <w:rFonts w:ascii="Courier" w:eastAsia="Times New Roman" w:hAnsi="Courier" w:cs="Times New Roman"/>
      <w:szCs w:val="20"/>
      <w:lang w:val="es-ES_tradnl" w:eastAsia="es-ES"/>
    </w:rPr>
  </w:style>
  <w:style w:type="character" w:customStyle="1" w:styleId="SangradetextonormalCar">
    <w:name w:val="Sangría de texto normal Car"/>
    <w:basedOn w:val="Fuentedeprrafopredeter"/>
    <w:link w:val="Sangradetextonormal"/>
    <w:rsid w:val="009D4F3F"/>
    <w:rPr>
      <w:rFonts w:ascii="Courier" w:eastAsia="Times New Roman" w:hAnsi="Courier" w:cs="Times New Roman"/>
      <w:szCs w:val="20"/>
      <w:lang w:val="es-ES_tradnl" w:eastAsia="es-ES"/>
    </w:rPr>
  </w:style>
  <w:style w:type="paragraph" w:styleId="Textoindependiente3">
    <w:name w:val="Body Text 3"/>
    <w:basedOn w:val="Normal"/>
    <w:link w:val="Textoindependiente3Car"/>
    <w:rsid w:val="009D4F3F"/>
    <w:pPr>
      <w:spacing w:line="360" w:lineRule="auto"/>
      <w:jc w:val="both"/>
    </w:pPr>
    <w:rPr>
      <w:rFonts w:ascii="Courier" w:eastAsia="Times New Roman" w:hAnsi="Courier" w:cs="Times New Roman"/>
      <w:b/>
      <w:szCs w:val="20"/>
      <w:lang w:val="es-ES_tradnl" w:eastAsia="es-ES"/>
    </w:rPr>
  </w:style>
  <w:style w:type="character" w:customStyle="1" w:styleId="Textoindependiente3Car">
    <w:name w:val="Texto independiente 3 Car"/>
    <w:basedOn w:val="Fuentedeprrafopredeter"/>
    <w:link w:val="Textoindependiente3"/>
    <w:rsid w:val="009D4F3F"/>
    <w:rPr>
      <w:rFonts w:ascii="Courier" w:eastAsia="Times New Roman" w:hAnsi="Courier" w:cs="Times New Roman"/>
      <w:b/>
      <w:szCs w:val="20"/>
      <w:lang w:val="es-ES_tradnl" w:eastAsia="es-ES"/>
    </w:rPr>
  </w:style>
  <w:style w:type="paragraph" w:styleId="Textosinformato">
    <w:name w:val="Plain Text"/>
    <w:basedOn w:val="Normal"/>
    <w:link w:val="TextosinformatoCar"/>
    <w:rsid w:val="009D4F3F"/>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9D4F3F"/>
    <w:rPr>
      <w:rFonts w:ascii="Courier New" w:eastAsia="Times New Roman" w:hAnsi="Courier New" w:cs="Times New Roman"/>
      <w:sz w:val="20"/>
      <w:szCs w:val="20"/>
      <w:lang w:eastAsia="es-ES"/>
    </w:rPr>
  </w:style>
  <w:style w:type="paragraph" w:styleId="Sangra2detindependiente">
    <w:name w:val="Body Text Indent 2"/>
    <w:basedOn w:val="Normal"/>
    <w:link w:val="Sangra2detindependienteCar"/>
    <w:rsid w:val="009D4F3F"/>
    <w:pPr>
      <w:suppressAutoHyphens/>
      <w:ind w:left="851" w:hanging="851"/>
      <w:jc w:val="both"/>
    </w:pPr>
    <w:rPr>
      <w:rFonts w:ascii="Courier" w:eastAsia="Times New Roman" w:hAnsi="Courier" w:cs="Times New Roman"/>
      <w:szCs w:val="20"/>
      <w:lang w:val="es-ES_tradnl" w:eastAsia="es-ES"/>
    </w:rPr>
  </w:style>
  <w:style w:type="character" w:customStyle="1" w:styleId="Sangra2detindependienteCar">
    <w:name w:val="Sangría 2 de t. independiente Car"/>
    <w:basedOn w:val="Fuentedeprrafopredeter"/>
    <w:link w:val="Sangra2detindependiente"/>
    <w:rsid w:val="009D4F3F"/>
    <w:rPr>
      <w:rFonts w:ascii="Courier" w:eastAsia="Times New Roman" w:hAnsi="Courier" w:cs="Times New Roman"/>
      <w:szCs w:val="20"/>
      <w:lang w:val="es-ES_tradnl" w:eastAsia="es-ES"/>
    </w:rPr>
  </w:style>
  <w:style w:type="paragraph" w:styleId="Sangra3detindependiente">
    <w:name w:val="Body Text Indent 3"/>
    <w:basedOn w:val="Normal"/>
    <w:link w:val="Sangra3detindependienteCar"/>
    <w:rsid w:val="009D4F3F"/>
    <w:pPr>
      <w:suppressAutoHyphens/>
      <w:spacing w:line="360" w:lineRule="auto"/>
      <w:ind w:hanging="2835"/>
      <w:jc w:val="both"/>
    </w:pPr>
    <w:rPr>
      <w:rFonts w:ascii="Courier" w:eastAsia="Times New Roman" w:hAnsi="Courier" w:cs="Times New Roman"/>
      <w:szCs w:val="20"/>
      <w:lang w:val="es-ES_tradnl" w:eastAsia="es-ES"/>
    </w:rPr>
  </w:style>
  <w:style w:type="character" w:customStyle="1" w:styleId="Sangra3detindependienteCar">
    <w:name w:val="Sangría 3 de t. independiente Car"/>
    <w:basedOn w:val="Fuentedeprrafopredeter"/>
    <w:link w:val="Sangra3detindependiente"/>
    <w:rsid w:val="009D4F3F"/>
    <w:rPr>
      <w:rFonts w:ascii="Courier" w:eastAsia="Times New Roman" w:hAnsi="Courier" w:cs="Times New Roman"/>
      <w:szCs w:val="20"/>
      <w:lang w:val="es-ES_tradnl" w:eastAsia="es-ES"/>
    </w:rPr>
  </w:style>
  <w:style w:type="paragraph" w:customStyle="1" w:styleId="Documento1">
    <w:name w:val="Documento 1"/>
    <w:rsid w:val="009D4F3F"/>
    <w:pPr>
      <w:keepNext/>
      <w:keepLines/>
      <w:tabs>
        <w:tab w:val="left" w:pos="-720"/>
      </w:tabs>
      <w:suppressAutoHyphens/>
    </w:pPr>
    <w:rPr>
      <w:rFonts w:ascii="Courier" w:eastAsia="Times New Roman" w:hAnsi="Courier" w:cs="Times New Roman"/>
      <w:szCs w:val="20"/>
      <w:lang w:val="en-US" w:eastAsia="es-ES"/>
    </w:rPr>
  </w:style>
  <w:style w:type="paragraph" w:styleId="Ttulo">
    <w:name w:val="Title"/>
    <w:basedOn w:val="Normal"/>
    <w:link w:val="TtuloCar"/>
    <w:qFormat/>
    <w:rsid w:val="009D4F3F"/>
    <w:pPr>
      <w:jc w:val="center"/>
    </w:pPr>
    <w:rPr>
      <w:rFonts w:ascii="Courier New" w:eastAsia="Times New Roman" w:hAnsi="Courier New" w:cs="Times New Roman"/>
      <w:szCs w:val="20"/>
      <w:lang w:val="es-MX" w:eastAsia="es-ES"/>
    </w:rPr>
  </w:style>
  <w:style w:type="character" w:customStyle="1" w:styleId="TtuloCar">
    <w:name w:val="Título Car"/>
    <w:basedOn w:val="Fuentedeprrafopredeter"/>
    <w:link w:val="Ttulo"/>
    <w:rsid w:val="009D4F3F"/>
    <w:rPr>
      <w:rFonts w:ascii="Courier New" w:eastAsia="Times New Roman" w:hAnsi="Courier New" w:cs="Times New Roman"/>
      <w:szCs w:val="20"/>
      <w:lang w:val="es-MX" w:eastAsia="es-ES"/>
    </w:rPr>
  </w:style>
  <w:style w:type="paragraph" w:styleId="Piedepgina">
    <w:name w:val="footer"/>
    <w:basedOn w:val="Normal"/>
    <w:link w:val="PiedepginaCar"/>
    <w:rsid w:val="009D4F3F"/>
    <w:pPr>
      <w:tabs>
        <w:tab w:val="center" w:pos="4252"/>
        <w:tab w:val="right" w:pos="8504"/>
      </w:tabs>
      <w:spacing w:line="360" w:lineRule="auto"/>
      <w:jc w:val="both"/>
    </w:pPr>
    <w:rPr>
      <w:rFonts w:ascii="Courier New" w:eastAsia="Times New Roman" w:hAnsi="Courier New" w:cs="Times New Roman"/>
      <w:sz w:val="22"/>
      <w:szCs w:val="20"/>
      <w:lang w:val="es-ES_tradnl" w:eastAsia="es-ES"/>
    </w:rPr>
  </w:style>
  <w:style w:type="character" w:customStyle="1" w:styleId="PiedepginaCar">
    <w:name w:val="Pie de página Car"/>
    <w:basedOn w:val="Fuentedeprrafopredeter"/>
    <w:link w:val="Piedepgina"/>
    <w:rsid w:val="009D4F3F"/>
    <w:rPr>
      <w:rFonts w:ascii="Courier New" w:eastAsia="Times New Roman" w:hAnsi="Courier New" w:cs="Times New Roman"/>
      <w:sz w:val="22"/>
      <w:szCs w:val="20"/>
      <w:lang w:val="es-ES_tradnl" w:eastAsia="es-ES"/>
    </w:rPr>
  </w:style>
  <w:style w:type="paragraph" w:customStyle="1" w:styleId="Textoindependiente31">
    <w:name w:val="Texto independiente 31"/>
    <w:basedOn w:val="Normal"/>
    <w:rsid w:val="009D4F3F"/>
    <w:pPr>
      <w:widowControl w:val="0"/>
      <w:tabs>
        <w:tab w:val="left" w:pos="2999"/>
      </w:tabs>
      <w:spacing w:line="360" w:lineRule="auto"/>
      <w:jc w:val="both"/>
    </w:pPr>
    <w:rPr>
      <w:rFonts w:eastAsia="Times New Roman" w:cs="Times New Roman"/>
      <w:spacing w:val="-3"/>
      <w:szCs w:val="20"/>
      <w:lang w:val="es-ES_tradnl" w:eastAsia="es-ES"/>
    </w:rPr>
  </w:style>
  <w:style w:type="paragraph" w:styleId="Textodebloque">
    <w:name w:val="Block Text"/>
    <w:basedOn w:val="Normal"/>
    <w:rsid w:val="009D4F3F"/>
    <w:pPr>
      <w:spacing w:before="240"/>
      <w:ind w:left="2835" w:right="-1" w:hanging="2126"/>
      <w:jc w:val="both"/>
    </w:pPr>
    <w:rPr>
      <w:rFonts w:ascii="Courier" w:eastAsia="Times New Roman" w:hAnsi="Courier" w:cs="Times New Roman"/>
      <w:spacing w:val="-3"/>
      <w:szCs w:val="20"/>
      <w:lang w:val="es-ES_tradnl" w:eastAsia="es-ES"/>
    </w:rPr>
  </w:style>
  <w:style w:type="paragraph" w:customStyle="1" w:styleId="personal">
    <w:name w:val="personal"/>
    <w:basedOn w:val="Normal"/>
    <w:rsid w:val="009D4F3F"/>
    <w:pPr>
      <w:jc w:val="both"/>
    </w:pPr>
    <w:rPr>
      <w:rFonts w:eastAsia="Times New Roman" w:cs="Times New Roman"/>
      <w:spacing w:val="6"/>
      <w:szCs w:val="20"/>
      <w:lang w:val="es-ES_tradnl" w:eastAsia="es-ES"/>
    </w:rPr>
  </w:style>
  <w:style w:type="paragraph" w:customStyle="1" w:styleId="Estilo1">
    <w:name w:val="Estilo1"/>
    <w:basedOn w:val="Normal"/>
    <w:rsid w:val="009D4F3F"/>
    <w:pPr>
      <w:tabs>
        <w:tab w:val="left" w:pos="2268"/>
      </w:tabs>
      <w:jc w:val="both"/>
    </w:pPr>
    <w:rPr>
      <w:rFonts w:eastAsia="Times New Roman" w:cs="Times New Roman"/>
      <w:szCs w:val="20"/>
      <w:lang w:val="es-ES_tradnl" w:eastAsia="es-ES"/>
    </w:rPr>
  </w:style>
  <w:style w:type="paragraph" w:styleId="NormalWeb">
    <w:name w:val="Normal (Web)"/>
    <w:basedOn w:val="Normal"/>
    <w:rsid w:val="009D4F3F"/>
    <w:pPr>
      <w:spacing w:before="100" w:beforeAutospacing="1" w:after="100" w:afterAutospacing="1"/>
    </w:pPr>
    <w:rPr>
      <w:rFonts w:ascii="Arial Unicode MS" w:eastAsia="Arial Unicode MS" w:hAnsi="Arial Unicode MS" w:cs="Arial Unicode MS"/>
      <w:szCs w:val="24"/>
      <w:lang w:val="es-ES" w:eastAsia="es-ES"/>
    </w:rPr>
  </w:style>
  <w:style w:type="character" w:customStyle="1" w:styleId="uppercase">
    <w:name w:val="uppercase"/>
    <w:basedOn w:val="Fuentedeprrafopredeter"/>
    <w:rsid w:val="009D4F3F"/>
  </w:style>
  <w:style w:type="character" w:styleId="Hipervnculo">
    <w:name w:val="Hyperlink"/>
    <w:basedOn w:val="Fuentedeprrafopredeter"/>
    <w:rsid w:val="009D4F3F"/>
    <w:rPr>
      <w:color w:val="0000FF"/>
      <w:u w:val="single"/>
    </w:rPr>
  </w:style>
  <w:style w:type="character" w:customStyle="1" w:styleId="apple-converted-space">
    <w:name w:val="apple-converted-space"/>
    <w:basedOn w:val="Fuentedeprrafopredeter"/>
    <w:rsid w:val="009D4F3F"/>
  </w:style>
  <w:style w:type="character" w:customStyle="1" w:styleId="initialstyle">
    <w:name w:val="initialstyle"/>
    <w:basedOn w:val="Fuentedeprrafopredeter"/>
    <w:rsid w:val="009D4F3F"/>
    <w:rPr>
      <w:rFonts w:cs="Times New Roman"/>
    </w:rPr>
  </w:style>
  <w:style w:type="character" w:customStyle="1" w:styleId="InitialStyle0">
    <w:name w:val="InitialStyle"/>
    <w:rsid w:val="009D4F3F"/>
    <w:rPr>
      <w:rFonts w:ascii="Courier New" w:hAnsi="Courier New"/>
      <w:color w:val="auto"/>
      <w:spacing w:val="0"/>
      <w:sz w:val="24"/>
    </w:rPr>
  </w:style>
  <w:style w:type="table" w:styleId="Tablaconcuadrcula">
    <w:name w:val="Table Grid"/>
    <w:basedOn w:val="Tablanormal"/>
    <w:rsid w:val="009D4F3F"/>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D4F3F"/>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9D4F3F"/>
    <w:pPr>
      <w:spacing w:after="200" w:line="276" w:lineRule="auto"/>
      <w:ind w:left="720"/>
      <w:contextualSpacing/>
    </w:pPr>
    <w:rPr>
      <w:rFonts w:ascii="Calibri" w:hAnsi="Calibri"/>
      <w:sz w:val="22"/>
    </w:rPr>
  </w:style>
  <w:style w:type="paragraph" w:styleId="Textodeglobo">
    <w:name w:val="Balloon Text"/>
    <w:basedOn w:val="Normal"/>
    <w:link w:val="TextodegloboCar"/>
    <w:uiPriority w:val="99"/>
    <w:semiHidden/>
    <w:unhideWhenUsed/>
    <w:rsid w:val="009D4F3F"/>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F3F"/>
    <w:rPr>
      <w:rFonts w:ascii="Tahoma" w:hAnsi="Tahoma" w:cs="Tahoma"/>
      <w:sz w:val="16"/>
      <w:szCs w:val="16"/>
    </w:rPr>
  </w:style>
  <w:style w:type="paragraph" w:customStyle="1" w:styleId="Textoindependiente32">
    <w:name w:val="Texto independiente 32"/>
    <w:basedOn w:val="Normal"/>
    <w:rsid w:val="009D4F3F"/>
    <w:pPr>
      <w:tabs>
        <w:tab w:val="left" w:pos="170"/>
      </w:tabs>
      <w:spacing w:before="120"/>
      <w:jc w:val="both"/>
    </w:pPr>
    <w:rPr>
      <w:rFonts w:eastAsia="Times New Roman" w:cs="Times New Roman"/>
      <w:spacing w:val="-24"/>
      <w:szCs w:val="20"/>
      <w:lang w:eastAsia="es-ES"/>
    </w:rPr>
  </w:style>
  <w:style w:type="paragraph" w:customStyle="1" w:styleId="Car">
    <w:name w:val="Car"/>
    <w:basedOn w:val="Normal"/>
    <w:rsid w:val="00CC378D"/>
    <w:pPr>
      <w:spacing w:after="160" w:line="240" w:lineRule="exact"/>
    </w:pPr>
    <w:rPr>
      <w:rFonts w:ascii="Verdana" w:eastAsia="Times New Roman" w:hAnsi="Verdana" w:cs="Times New Roman"/>
      <w:spacing w:val="-5"/>
      <w:szCs w:val="24"/>
      <w:lang w:val="en-US"/>
    </w:rPr>
  </w:style>
  <w:style w:type="character" w:customStyle="1" w:styleId="Cuerpodeltexto4Exact">
    <w:name w:val="Cuerpo del texto (4) Exact"/>
    <w:link w:val="Cuerpodeltexto4"/>
    <w:rsid w:val="00175443"/>
    <w:rPr>
      <w:rFonts w:ascii="Tahoma" w:eastAsia="Tahoma" w:hAnsi="Tahoma" w:cs="Tahoma"/>
      <w:b/>
      <w:bCs/>
      <w:sz w:val="19"/>
      <w:szCs w:val="19"/>
      <w:shd w:val="clear" w:color="auto" w:fill="FFFFFF"/>
    </w:rPr>
  </w:style>
  <w:style w:type="paragraph" w:customStyle="1" w:styleId="Cuerpodeltexto4">
    <w:name w:val="Cuerpo del texto (4)"/>
    <w:basedOn w:val="Normal"/>
    <w:link w:val="Cuerpodeltexto4Exact"/>
    <w:rsid w:val="00175443"/>
    <w:pPr>
      <w:widowControl w:val="0"/>
      <w:shd w:val="clear" w:color="auto" w:fill="FFFFFF"/>
      <w:spacing w:line="230" w:lineRule="exact"/>
    </w:pPr>
    <w:rPr>
      <w:rFonts w:ascii="Tahoma" w:eastAsia="Tahoma" w:hAnsi="Tahoma" w:cs="Tahom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20</Pages>
  <Words>7396</Words>
  <Characters>40684</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EMARZI</cp:lastModifiedBy>
  <cp:revision>4</cp:revision>
  <cp:lastPrinted>2020-03-26T20:57:00Z</cp:lastPrinted>
  <dcterms:created xsi:type="dcterms:W3CDTF">2020-03-26T13:57:00Z</dcterms:created>
  <dcterms:modified xsi:type="dcterms:W3CDTF">2020-03-26T20:58:00Z</dcterms:modified>
</cp:coreProperties>
</file>