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4C884" w14:textId="77777777" w:rsidR="0003528C" w:rsidRPr="00B10728" w:rsidRDefault="0003528C" w:rsidP="00F63BE4">
      <w:pPr>
        <w:pStyle w:val="Ttulo1"/>
        <w:spacing w:line="276" w:lineRule="auto"/>
        <w:ind w:right="142" w:firstLine="1701"/>
        <w:rPr>
          <w:rFonts w:ascii="Arial" w:hAnsi="Arial" w:cs="Arial"/>
          <w:spacing w:val="0"/>
          <w:sz w:val="22"/>
          <w:szCs w:val="22"/>
        </w:rPr>
      </w:pPr>
      <w:bookmarkStart w:id="0" w:name="_GoBack"/>
      <w:bookmarkEnd w:id="0"/>
      <w:r w:rsidRPr="00B10728">
        <w:rPr>
          <w:rFonts w:ascii="Arial" w:hAnsi="Arial" w:cs="Arial"/>
          <w:spacing w:val="0"/>
          <w:sz w:val="22"/>
          <w:szCs w:val="22"/>
        </w:rPr>
        <w:t xml:space="preserve">Valparaíso, </w:t>
      </w:r>
      <w:r w:rsidR="00B10728" w:rsidRPr="00B10728">
        <w:rPr>
          <w:rFonts w:ascii="Arial" w:hAnsi="Arial" w:cs="Arial"/>
          <w:spacing w:val="0"/>
          <w:sz w:val="22"/>
          <w:szCs w:val="22"/>
        </w:rPr>
        <w:t>16</w:t>
      </w:r>
      <w:r w:rsidR="00765197" w:rsidRPr="00B10728">
        <w:rPr>
          <w:rFonts w:ascii="Arial" w:hAnsi="Arial" w:cs="Arial"/>
          <w:spacing w:val="0"/>
          <w:sz w:val="22"/>
          <w:szCs w:val="22"/>
        </w:rPr>
        <w:t xml:space="preserve"> de </w:t>
      </w:r>
      <w:r w:rsidR="00B10728" w:rsidRPr="00B10728">
        <w:rPr>
          <w:rFonts w:ascii="Arial" w:hAnsi="Arial" w:cs="Arial"/>
          <w:spacing w:val="0"/>
          <w:sz w:val="22"/>
          <w:szCs w:val="22"/>
        </w:rPr>
        <w:t>diciembre</w:t>
      </w:r>
      <w:r w:rsidR="00765197" w:rsidRPr="00B10728">
        <w:rPr>
          <w:rFonts w:ascii="Arial" w:hAnsi="Arial" w:cs="Arial"/>
          <w:spacing w:val="0"/>
          <w:sz w:val="22"/>
          <w:szCs w:val="22"/>
        </w:rPr>
        <w:t xml:space="preserve"> de 2019</w:t>
      </w:r>
    </w:p>
    <w:p w14:paraId="030D68F7" w14:textId="77777777" w:rsidR="0003528C" w:rsidRPr="001C44DC" w:rsidRDefault="0003528C" w:rsidP="00F63BE4">
      <w:pPr>
        <w:tabs>
          <w:tab w:val="left" w:pos="3686"/>
        </w:tabs>
        <w:spacing w:line="276" w:lineRule="auto"/>
        <w:ind w:right="142" w:firstLine="1701"/>
        <w:jc w:val="both"/>
        <w:rPr>
          <w:rFonts w:ascii="Arial" w:hAnsi="Arial" w:cs="Arial"/>
          <w:sz w:val="22"/>
          <w:szCs w:val="22"/>
        </w:rPr>
      </w:pPr>
    </w:p>
    <w:p w14:paraId="34808C9F" w14:textId="77777777" w:rsidR="0003528C" w:rsidRPr="001C44DC" w:rsidRDefault="00FF3975" w:rsidP="00F63BE4">
      <w:pPr>
        <w:tabs>
          <w:tab w:val="left" w:pos="1134"/>
          <w:tab w:val="left" w:pos="1701"/>
        </w:tabs>
        <w:spacing w:line="276" w:lineRule="auto"/>
        <w:ind w:right="142" w:firstLine="1701"/>
        <w:jc w:val="both"/>
        <w:rPr>
          <w:rFonts w:ascii="Arial" w:hAnsi="Arial" w:cs="Arial"/>
          <w:sz w:val="22"/>
          <w:szCs w:val="22"/>
        </w:rPr>
      </w:pPr>
      <w:r w:rsidRPr="001C44DC">
        <w:rPr>
          <w:rFonts w:ascii="Arial" w:hAnsi="Arial" w:cs="Arial"/>
          <w:sz w:val="22"/>
          <w:szCs w:val="22"/>
        </w:rPr>
        <w:t>La Secretaria</w:t>
      </w:r>
      <w:r w:rsidR="0003528C" w:rsidRPr="001C44DC">
        <w:rPr>
          <w:rFonts w:ascii="Arial" w:hAnsi="Arial" w:cs="Arial"/>
          <w:spacing w:val="10"/>
          <w:sz w:val="22"/>
          <w:szCs w:val="22"/>
        </w:rPr>
        <w:t xml:space="preserve"> de Comisiones</w:t>
      </w:r>
      <w:r w:rsidR="0003528C" w:rsidRPr="001C44DC">
        <w:rPr>
          <w:rFonts w:ascii="Arial" w:hAnsi="Arial" w:cs="Arial"/>
          <w:sz w:val="22"/>
          <w:szCs w:val="22"/>
        </w:rPr>
        <w:t xml:space="preserve"> que suscribe, </w:t>
      </w:r>
      <w:r w:rsidR="0003528C" w:rsidRPr="001C44DC">
        <w:rPr>
          <w:rFonts w:ascii="Arial" w:hAnsi="Arial" w:cs="Arial"/>
          <w:spacing w:val="20"/>
          <w:sz w:val="22"/>
          <w:szCs w:val="22"/>
        </w:rPr>
        <w:t>CERTIFICA</w:t>
      </w:r>
      <w:r w:rsidR="0003528C" w:rsidRPr="001C44DC">
        <w:rPr>
          <w:rFonts w:ascii="Arial" w:hAnsi="Arial" w:cs="Arial"/>
          <w:sz w:val="22"/>
          <w:szCs w:val="22"/>
        </w:rPr>
        <w:t>:</w:t>
      </w:r>
    </w:p>
    <w:p w14:paraId="429F6EC7" w14:textId="77777777" w:rsidR="0003528C" w:rsidRPr="001C44DC" w:rsidRDefault="0003528C" w:rsidP="00F63BE4">
      <w:pPr>
        <w:tabs>
          <w:tab w:val="left" w:pos="1134"/>
          <w:tab w:val="left" w:pos="3686"/>
        </w:tabs>
        <w:spacing w:line="276" w:lineRule="auto"/>
        <w:ind w:right="142" w:firstLine="1701"/>
        <w:jc w:val="both"/>
        <w:rPr>
          <w:rFonts w:ascii="Arial" w:hAnsi="Arial" w:cs="Arial"/>
          <w:sz w:val="22"/>
          <w:szCs w:val="22"/>
        </w:rPr>
      </w:pPr>
    </w:p>
    <w:p w14:paraId="7969AFEA" w14:textId="77777777" w:rsidR="00FF3975" w:rsidRDefault="009523A2" w:rsidP="00301EB3">
      <w:pPr>
        <w:pStyle w:val="Sinespaciado"/>
        <w:spacing w:line="276" w:lineRule="auto"/>
        <w:ind w:firstLine="1701"/>
        <w:jc w:val="both"/>
        <w:rPr>
          <w:rFonts w:ascii="Arial" w:hAnsi="Arial" w:cs="Arial"/>
        </w:rPr>
      </w:pPr>
      <w:r w:rsidRPr="001C44DC">
        <w:rPr>
          <w:rFonts w:ascii="Arial" w:hAnsi="Arial" w:cs="Arial"/>
        </w:rPr>
        <w:t xml:space="preserve">1.- </w:t>
      </w:r>
      <w:r w:rsidR="005541F1" w:rsidRPr="001C44DC">
        <w:rPr>
          <w:rFonts w:ascii="Arial" w:hAnsi="Arial" w:cs="Arial"/>
        </w:rPr>
        <w:t>Que e</w:t>
      </w:r>
      <w:r w:rsidR="0003528C" w:rsidRPr="001C44DC">
        <w:rPr>
          <w:rFonts w:ascii="Arial" w:hAnsi="Arial" w:cs="Arial"/>
        </w:rPr>
        <w:t xml:space="preserve">l proyecto </w:t>
      </w:r>
      <w:r w:rsidR="009846C0" w:rsidRPr="001C44DC">
        <w:rPr>
          <w:rFonts w:ascii="Arial" w:hAnsi="Arial" w:cs="Arial"/>
        </w:rPr>
        <w:t>de</w:t>
      </w:r>
      <w:r w:rsidR="00B43C9A" w:rsidRPr="001C44DC">
        <w:rPr>
          <w:rFonts w:ascii="Arial" w:hAnsi="Arial" w:cs="Arial"/>
        </w:rPr>
        <w:t xml:space="preserve"> ley originado en </w:t>
      </w:r>
      <w:r w:rsidR="00301EB3">
        <w:rPr>
          <w:rFonts w:ascii="Arial" w:hAnsi="Arial" w:cs="Arial"/>
        </w:rPr>
        <w:t>M</w:t>
      </w:r>
      <w:r w:rsidR="006D4D78" w:rsidRPr="001C44DC">
        <w:rPr>
          <w:rFonts w:ascii="Arial" w:hAnsi="Arial" w:cs="Arial"/>
        </w:rPr>
        <w:t xml:space="preserve">ensaje de </w:t>
      </w:r>
      <w:r w:rsidR="00FF3975" w:rsidRPr="001C44DC">
        <w:rPr>
          <w:rFonts w:ascii="Arial" w:hAnsi="Arial" w:cs="Arial"/>
        </w:rPr>
        <w:t xml:space="preserve">S.E el Presidente de la República, don Sebastián Piñera Echenique, que </w:t>
      </w:r>
      <w:r w:rsidR="00301EB3" w:rsidRPr="003B15A1">
        <w:rPr>
          <w:rFonts w:ascii="Arial" w:hAnsi="Arial" w:cs="Arial"/>
          <w:lang w:val="es-ES_tradnl"/>
        </w:rPr>
        <w:t>Contempla diversas medidas tributarias y financieras destinadas a apoyar a las micro, pequeñas y medianas empresas</w:t>
      </w:r>
      <w:r w:rsidR="00301EB3">
        <w:rPr>
          <w:rFonts w:ascii="Arial" w:hAnsi="Arial" w:cs="Arial"/>
          <w:lang w:val="es-ES_tradnl"/>
        </w:rPr>
        <w:t xml:space="preserve">, </w:t>
      </w:r>
      <w:r w:rsidR="00E57118" w:rsidRPr="001C44DC">
        <w:rPr>
          <w:rFonts w:ascii="Arial" w:hAnsi="Arial" w:cs="Arial"/>
        </w:rPr>
        <w:t xml:space="preserve">con urgencia calificada de "discusión inmediata", </w:t>
      </w:r>
      <w:r w:rsidR="00935A5D" w:rsidRPr="001C44DC">
        <w:rPr>
          <w:rFonts w:ascii="Arial" w:hAnsi="Arial" w:cs="Arial"/>
        </w:rPr>
        <w:t xml:space="preserve">y que cumple </w:t>
      </w:r>
      <w:r w:rsidR="00ED2F7A">
        <w:rPr>
          <w:rFonts w:ascii="Arial" w:hAnsi="Arial" w:cs="Arial"/>
        </w:rPr>
        <w:t xml:space="preserve">su primer trámite </w:t>
      </w:r>
      <w:r w:rsidR="00935A5D" w:rsidRPr="001C44DC">
        <w:rPr>
          <w:rFonts w:ascii="Arial" w:hAnsi="Arial" w:cs="Arial"/>
        </w:rPr>
        <w:t xml:space="preserve"> constitucional, </w:t>
      </w:r>
      <w:r w:rsidR="005541F1" w:rsidRPr="001C44DC">
        <w:rPr>
          <w:rFonts w:ascii="Arial" w:hAnsi="Arial" w:cs="Arial"/>
        </w:rPr>
        <w:t>fue tratado en</w:t>
      </w:r>
      <w:r w:rsidR="0003528C" w:rsidRPr="001C44DC">
        <w:rPr>
          <w:rFonts w:ascii="Arial" w:hAnsi="Arial" w:cs="Arial"/>
        </w:rPr>
        <w:t xml:space="preserve"> esta Comisión</w:t>
      </w:r>
      <w:r w:rsidRPr="001C44DC">
        <w:rPr>
          <w:rFonts w:ascii="Arial" w:hAnsi="Arial" w:cs="Arial"/>
        </w:rPr>
        <w:t xml:space="preserve"> </w:t>
      </w:r>
      <w:r w:rsidR="00FF3975" w:rsidRPr="001C44DC">
        <w:rPr>
          <w:rFonts w:ascii="Arial" w:hAnsi="Arial" w:cs="Arial"/>
        </w:rPr>
        <w:t xml:space="preserve">en lo que respecta a </w:t>
      </w:r>
      <w:r w:rsidR="00C6017E">
        <w:rPr>
          <w:rFonts w:ascii="Arial" w:hAnsi="Arial" w:cs="Arial"/>
        </w:rPr>
        <w:t>su</w:t>
      </w:r>
      <w:r w:rsidR="00FF3975" w:rsidRPr="001C44DC">
        <w:rPr>
          <w:rFonts w:ascii="Arial" w:hAnsi="Arial" w:cs="Arial"/>
        </w:rPr>
        <w:t xml:space="preserve"> incidencia en materia financiera o presupuestaria del Estado, en cumplimiento del inciso segundo del artículo 17 de la ley N° 18.918, Orgánica Constitucional del Congreso Nacional, y conforme a lo dispuesto en el inciso segundo del artículo 226 del Reglamento de la Corporación, en sesión celebrada en el día de hoy, </w:t>
      </w:r>
      <w:r w:rsidR="00FE6E30" w:rsidRPr="001C44DC">
        <w:rPr>
          <w:rFonts w:ascii="Arial" w:hAnsi="Arial" w:cs="Arial"/>
        </w:rPr>
        <w:t>con la asistencia de los</w:t>
      </w:r>
      <w:r w:rsidR="0003528C" w:rsidRPr="001C44DC">
        <w:rPr>
          <w:rFonts w:ascii="Arial" w:hAnsi="Arial" w:cs="Arial"/>
        </w:rPr>
        <w:t xml:space="preserve"> </w:t>
      </w:r>
      <w:r w:rsidR="00FF3975" w:rsidRPr="001C44DC">
        <w:rPr>
          <w:rFonts w:ascii="Arial" w:hAnsi="Arial" w:cs="Arial"/>
        </w:rPr>
        <w:t>d</w:t>
      </w:r>
      <w:r w:rsidR="0003528C" w:rsidRPr="001C44DC">
        <w:rPr>
          <w:rFonts w:ascii="Arial" w:hAnsi="Arial" w:cs="Arial"/>
        </w:rPr>
        <w:t>iputados</w:t>
      </w:r>
      <w:r w:rsidR="009858A8">
        <w:rPr>
          <w:rFonts w:ascii="Arial" w:hAnsi="Arial" w:cs="Arial"/>
        </w:rPr>
        <w:t xml:space="preserve"> (a)</w:t>
      </w:r>
      <w:r w:rsidR="0003528C" w:rsidRPr="001C44DC">
        <w:rPr>
          <w:rFonts w:ascii="Arial" w:hAnsi="Arial" w:cs="Arial"/>
        </w:rPr>
        <w:t xml:space="preserve"> señores</w:t>
      </w:r>
      <w:r w:rsidR="009858A8">
        <w:rPr>
          <w:rFonts w:ascii="Arial" w:hAnsi="Arial" w:cs="Arial"/>
        </w:rPr>
        <w:t xml:space="preserve"> (a)</w:t>
      </w:r>
      <w:r w:rsidR="00F94C24" w:rsidRPr="001C44DC">
        <w:rPr>
          <w:rFonts w:ascii="Arial" w:hAnsi="Arial" w:cs="Arial"/>
        </w:rPr>
        <w:t xml:space="preserve"> </w:t>
      </w:r>
      <w:r w:rsidR="00FF3975" w:rsidRPr="001C44DC">
        <w:rPr>
          <w:rFonts w:ascii="Arial" w:hAnsi="Arial" w:cs="Arial"/>
        </w:rPr>
        <w:t>Pepe Auth Stewart</w:t>
      </w:r>
      <w:r w:rsidR="00C6017E">
        <w:rPr>
          <w:rFonts w:ascii="Arial" w:hAnsi="Arial" w:cs="Arial"/>
        </w:rPr>
        <w:t>,</w:t>
      </w:r>
      <w:r w:rsidR="00FF3975" w:rsidRPr="001C44DC">
        <w:rPr>
          <w:rFonts w:ascii="Arial" w:hAnsi="Arial" w:cs="Arial"/>
        </w:rPr>
        <w:t xml:space="preserve"> </w:t>
      </w:r>
      <w:r w:rsidR="00ED2F7A">
        <w:rPr>
          <w:rFonts w:ascii="Arial" w:hAnsi="Arial" w:cs="Arial"/>
        </w:rPr>
        <w:t xml:space="preserve">Sofía Cid Versalovic, </w:t>
      </w:r>
      <w:r w:rsidR="00FF3975" w:rsidRPr="001C44DC">
        <w:rPr>
          <w:rFonts w:ascii="Arial" w:hAnsi="Arial" w:cs="Arial"/>
        </w:rPr>
        <w:t>Giorgio Jackson Drago</w:t>
      </w:r>
      <w:r w:rsidR="00C6017E">
        <w:rPr>
          <w:rFonts w:ascii="Arial" w:hAnsi="Arial" w:cs="Arial"/>
        </w:rPr>
        <w:t>,</w:t>
      </w:r>
      <w:r w:rsidR="00FF3975" w:rsidRPr="001C44DC">
        <w:rPr>
          <w:rFonts w:ascii="Arial" w:hAnsi="Arial" w:cs="Arial"/>
        </w:rPr>
        <w:t xml:space="preserve"> Pablo Lorenzini Basso</w:t>
      </w:r>
      <w:r w:rsidR="00C6017E">
        <w:rPr>
          <w:rFonts w:ascii="Arial" w:hAnsi="Arial" w:cs="Arial"/>
        </w:rPr>
        <w:t xml:space="preserve">, </w:t>
      </w:r>
      <w:r w:rsidR="00FF3975" w:rsidRPr="001C44DC">
        <w:rPr>
          <w:rFonts w:ascii="Arial" w:hAnsi="Arial" w:cs="Arial"/>
        </w:rPr>
        <w:t>Patricio Melero Abaroa</w:t>
      </w:r>
      <w:r w:rsidR="00C6017E">
        <w:rPr>
          <w:rFonts w:ascii="Arial" w:hAnsi="Arial" w:cs="Arial"/>
        </w:rPr>
        <w:t>,</w:t>
      </w:r>
      <w:r w:rsidR="00FF3975" w:rsidRPr="001C44DC">
        <w:rPr>
          <w:rFonts w:ascii="Arial" w:hAnsi="Arial" w:cs="Arial"/>
        </w:rPr>
        <w:t xml:space="preserve"> Manuel Monsalve Benavides</w:t>
      </w:r>
      <w:r w:rsidR="00C6017E">
        <w:rPr>
          <w:rFonts w:ascii="Arial" w:hAnsi="Arial" w:cs="Arial"/>
        </w:rPr>
        <w:t>,</w:t>
      </w:r>
      <w:r w:rsidR="00FF3975" w:rsidRPr="001C44DC">
        <w:rPr>
          <w:rFonts w:ascii="Arial" w:hAnsi="Arial" w:cs="Arial"/>
        </w:rPr>
        <w:t xml:space="preserve"> </w:t>
      </w:r>
      <w:r w:rsidR="00EF21F8">
        <w:rPr>
          <w:rFonts w:ascii="Arial" w:hAnsi="Arial" w:cs="Arial"/>
        </w:rPr>
        <w:t>Daniel Núñez Arancibia</w:t>
      </w:r>
      <w:r w:rsidR="0096238E">
        <w:rPr>
          <w:rFonts w:ascii="Arial" w:hAnsi="Arial" w:cs="Arial"/>
        </w:rPr>
        <w:t xml:space="preserve"> (fue reemplazado en la primera parte de la sesión por el diputado Boris Barrera</w:t>
      </w:r>
      <w:r w:rsidR="003302AA">
        <w:rPr>
          <w:rFonts w:ascii="Arial" w:hAnsi="Arial" w:cs="Arial"/>
        </w:rPr>
        <w:t xml:space="preserve">, </w:t>
      </w:r>
      <w:r w:rsidR="00FF3975" w:rsidRPr="001C44DC">
        <w:rPr>
          <w:rFonts w:ascii="Arial" w:hAnsi="Arial" w:cs="Arial"/>
        </w:rPr>
        <w:t>José Miguel Ortiz Novoa</w:t>
      </w:r>
      <w:r w:rsidR="00C6017E">
        <w:rPr>
          <w:rFonts w:ascii="Arial" w:hAnsi="Arial" w:cs="Arial"/>
        </w:rPr>
        <w:t>,</w:t>
      </w:r>
      <w:r w:rsidR="00FF3975" w:rsidRPr="001C44DC">
        <w:rPr>
          <w:rFonts w:ascii="Arial" w:hAnsi="Arial" w:cs="Arial"/>
        </w:rPr>
        <w:t xml:space="preserve"> Leopoldo Pérez Lahsen</w:t>
      </w:r>
      <w:r w:rsidR="00C6017E">
        <w:rPr>
          <w:rFonts w:ascii="Arial" w:hAnsi="Arial" w:cs="Arial"/>
        </w:rPr>
        <w:t>,</w:t>
      </w:r>
      <w:r w:rsidR="00FF3975" w:rsidRPr="001C44DC">
        <w:rPr>
          <w:rFonts w:ascii="Arial" w:hAnsi="Arial" w:cs="Arial"/>
        </w:rPr>
        <w:t xml:space="preserve"> Guillermo Ramírez Diez</w:t>
      </w:r>
      <w:r w:rsidR="00C6017E">
        <w:rPr>
          <w:rFonts w:ascii="Arial" w:hAnsi="Arial" w:cs="Arial"/>
        </w:rPr>
        <w:t xml:space="preserve">, </w:t>
      </w:r>
      <w:r w:rsidR="00C6017E" w:rsidRPr="001C44DC">
        <w:rPr>
          <w:rFonts w:ascii="Arial" w:hAnsi="Arial" w:cs="Arial"/>
        </w:rPr>
        <w:t>Alejandro Santana Tirachini</w:t>
      </w:r>
      <w:r w:rsidR="00C6017E">
        <w:rPr>
          <w:rFonts w:ascii="Arial" w:hAnsi="Arial" w:cs="Arial"/>
        </w:rPr>
        <w:t>,</w:t>
      </w:r>
      <w:r w:rsidR="00C6017E" w:rsidRPr="001C44DC">
        <w:rPr>
          <w:rFonts w:ascii="Arial" w:hAnsi="Arial" w:cs="Arial"/>
        </w:rPr>
        <w:t xml:space="preserve"> </w:t>
      </w:r>
      <w:r w:rsidR="00FF3975" w:rsidRPr="001C44DC">
        <w:rPr>
          <w:rFonts w:ascii="Arial" w:hAnsi="Arial" w:cs="Arial"/>
        </w:rPr>
        <w:t>Marcelo Schilling Rodríguez y Gastón Von Mühlenbrock Zamora.</w:t>
      </w:r>
    </w:p>
    <w:p w14:paraId="668EAC3A" w14:textId="77777777" w:rsidR="003302AA" w:rsidRDefault="003302AA" w:rsidP="00301EB3">
      <w:pPr>
        <w:pStyle w:val="Sinespaciado"/>
        <w:spacing w:line="276" w:lineRule="auto"/>
        <w:ind w:firstLine="1701"/>
        <w:jc w:val="both"/>
        <w:rPr>
          <w:rFonts w:ascii="Arial" w:hAnsi="Arial" w:cs="Arial"/>
        </w:rPr>
      </w:pPr>
    </w:p>
    <w:p w14:paraId="0A720F9B" w14:textId="77777777" w:rsidR="003302AA" w:rsidRPr="00D64D65" w:rsidRDefault="003302AA" w:rsidP="003302AA">
      <w:pPr>
        <w:tabs>
          <w:tab w:val="left" w:pos="1134"/>
        </w:tabs>
        <w:spacing w:line="276" w:lineRule="auto"/>
        <w:ind w:right="142" w:firstLine="1701"/>
        <w:jc w:val="both"/>
        <w:rPr>
          <w:rFonts w:ascii="Arial" w:hAnsi="Arial" w:cs="Arial"/>
          <w:sz w:val="22"/>
          <w:szCs w:val="22"/>
          <w:lang w:val="es-ES"/>
        </w:rPr>
      </w:pPr>
      <w:r w:rsidRPr="00D64D65">
        <w:rPr>
          <w:rFonts w:ascii="Arial" w:hAnsi="Arial" w:cs="Arial"/>
          <w:sz w:val="22"/>
          <w:szCs w:val="22"/>
        </w:rPr>
        <w:t xml:space="preserve">La Comisión contó con la asistencia </w:t>
      </w:r>
      <w:r w:rsidR="00D64D65" w:rsidRPr="00D64D65">
        <w:rPr>
          <w:rFonts w:ascii="Arial" w:hAnsi="Arial" w:cs="Arial"/>
          <w:sz w:val="22"/>
          <w:szCs w:val="22"/>
        </w:rPr>
        <w:t xml:space="preserve">del Subsecretario de Hacienda, señor Francisco Moreno Guzmán, </w:t>
      </w:r>
      <w:r w:rsidR="00C24E7F">
        <w:rPr>
          <w:rFonts w:ascii="Arial" w:hAnsi="Arial" w:cs="Arial"/>
          <w:sz w:val="22"/>
          <w:szCs w:val="22"/>
        </w:rPr>
        <w:t xml:space="preserve">y de los asesores </w:t>
      </w:r>
      <w:r w:rsidR="00D64D65" w:rsidRPr="00D64D65">
        <w:rPr>
          <w:rFonts w:ascii="Arial" w:hAnsi="Arial" w:cs="Arial"/>
          <w:sz w:val="22"/>
          <w:szCs w:val="22"/>
        </w:rPr>
        <w:t xml:space="preserve">Miguel Zamora </w:t>
      </w:r>
      <w:proofErr w:type="spellStart"/>
      <w:r w:rsidR="00D64D65" w:rsidRPr="00D64D65">
        <w:rPr>
          <w:rFonts w:ascii="Arial" w:hAnsi="Arial" w:cs="Arial"/>
          <w:sz w:val="22"/>
          <w:szCs w:val="22"/>
        </w:rPr>
        <w:t>Rendic</w:t>
      </w:r>
      <w:proofErr w:type="spellEnd"/>
      <w:r w:rsidR="00D64D65" w:rsidRPr="00D64D65">
        <w:rPr>
          <w:rFonts w:ascii="Arial" w:hAnsi="Arial" w:cs="Arial"/>
          <w:sz w:val="22"/>
          <w:szCs w:val="22"/>
        </w:rPr>
        <w:t>, Jefe de la Subdirección Jurídica del Servicio de Impuestos Internos SII y el señor Tomás Kovacevic Yáñez, Asesor Tributario del Ministerio de Hacienda.</w:t>
      </w:r>
    </w:p>
    <w:p w14:paraId="54CD5B50" w14:textId="77777777" w:rsidR="003302AA" w:rsidRDefault="003302AA" w:rsidP="003302AA">
      <w:pPr>
        <w:spacing w:line="276" w:lineRule="auto"/>
        <w:ind w:right="142"/>
        <w:jc w:val="center"/>
        <w:rPr>
          <w:rFonts w:ascii="Arial" w:hAnsi="Arial" w:cs="Arial"/>
          <w:sz w:val="22"/>
          <w:szCs w:val="22"/>
          <w:lang w:val="es-ES"/>
        </w:rPr>
      </w:pPr>
    </w:p>
    <w:p w14:paraId="6534FA21" w14:textId="77777777" w:rsidR="00645CDE" w:rsidRDefault="004A6351" w:rsidP="00645CDE">
      <w:pPr>
        <w:pStyle w:val="Sangra2detindependiente"/>
        <w:spacing w:line="276" w:lineRule="auto"/>
        <w:ind w:left="0" w:firstLine="1701"/>
        <w:rPr>
          <w:rFonts w:ascii="Arial" w:hAnsi="Arial" w:cs="Arial"/>
          <w:sz w:val="22"/>
          <w:szCs w:val="22"/>
          <w:u w:val="single"/>
        </w:rPr>
      </w:pPr>
      <w:r>
        <w:rPr>
          <w:rFonts w:ascii="Arial" w:hAnsi="Arial" w:cs="Arial"/>
          <w:sz w:val="22"/>
          <w:szCs w:val="22"/>
        </w:rPr>
        <w:t>2</w:t>
      </w:r>
      <w:r w:rsidRPr="009D7DFC">
        <w:rPr>
          <w:rFonts w:ascii="Arial" w:hAnsi="Arial" w:cs="Arial"/>
          <w:sz w:val="22"/>
          <w:szCs w:val="22"/>
        </w:rPr>
        <w:t xml:space="preserve">.- </w:t>
      </w:r>
      <w:r w:rsidR="009D7DFC">
        <w:rPr>
          <w:rFonts w:ascii="Arial" w:hAnsi="Arial" w:cs="Arial"/>
          <w:sz w:val="22"/>
          <w:szCs w:val="22"/>
        </w:rPr>
        <w:t>I</w:t>
      </w:r>
      <w:r w:rsidRPr="009D7DFC">
        <w:rPr>
          <w:rFonts w:ascii="Arial" w:hAnsi="Arial" w:cs="Arial"/>
          <w:sz w:val="22"/>
          <w:szCs w:val="22"/>
          <w:u w:val="single"/>
        </w:rPr>
        <w:t>dea matriz o fundamental del proyecto</w:t>
      </w:r>
      <w:r w:rsidR="009D7DFC">
        <w:rPr>
          <w:rFonts w:ascii="Arial" w:hAnsi="Arial" w:cs="Arial"/>
          <w:sz w:val="22"/>
          <w:szCs w:val="22"/>
          <w:u w:val="single"/>
        </w:rPr>
        <w:t>:</w:t>
      </w:r>
    </w:p>
    <w:p w14:paraId="3C6CBDAC" w14:textId="77777777" w:rsidR="0049078F" w:rsidRPr="00843684" w:rsidRDefault="00645CDE" w:rsidP="0049078F">
      <w:pPr>
        <w:pStyle w:val="Sangra2detindependiente"/>
        <w:spacing w:line="276" w:lineRule="auto"/>
        <w:ind w:left="0" w:firstLine="1701"/>
        <w:rPr>
          <w:rFonts w:ascii="Arial" w:eastAsia="Calibri" w:hAnsi="Arial" w:cs="Arial"/>
          <w:spacing w:val="0"/>
          <w:sz w:val="22"/>
          <w:szCs w:val="22"/>
          <w:lang w:val="es-CL" w:eastAsia="en-US"/>
        </w:rPr>
      </w:pPr>
      <w:r w:rsidRPr="00843684">
        <w:rPr>
          <w:rFonts w:ascii="Arial" w:eastAsia="Calibri" w:hAnsi="Arial" w:cs="Arial"/>
          <w:spacing w:val="0"/>
          <w:sz w:val="22"/>
          <w:szCs w:val="22"/>
          <w:lang w:val="es-CL" w:eastAsia="en-US"/>
        </w:rPr>
        <w:t>Apoyar a las Mipymes</w:t>
      </w:r>
      <w:r w:rsidRPr="00843684">
        <w:rPr>
          <w:rFonts w:eastAsia="Calibri"/>
          <w:spacing w:val="0"/>
          <w:sz w:val="22"/>
          <w:szCs w:val="22"/>
          <w:lang w:val="es-CL" w:eastAsia="en-US"/>
        </w:rPr>
        <w:footnoteReference w:id="1"/>
      </w:r>
      <w:r w:rsidRPr="00843684">
        <w:rPr>
          <w:rFonts w:ascii="Arial" w:eastAsia="Calibri" w:hAnsi="Arial" w:cs="Arial"/>
          <w:spacing w:val="0"/>
          <w:sz w:val="22"/>
          <w:szCs w:val="22"/>
          <w:lang w:val="es-CL" w:eastAsia="en-US"/>
        </w:rPr>
        <w:t xml:space="preserve"> en el contexto actual de desaceleración económica y de disminución de sus ventas como consecuencia de los eventos que han afectado el normal funcionamiento de la actividad económica durante las últimas semanas, a través de la flexibilización de disposiciones tributarias, de la ampliación del acceso al FOGAPE y de un régimen especial de donaciones, para contribuir, por una parte, a que aumenten su liquidez, recuperación y sustentabilidad, y, por la otra, a la continuidad del empleo </w:t>
      </w:r>
      <w:r w:rsidR="0049078F" w:rsidRPr="00843684">
        <w:rPr>
          <w:rFonts w:ascii="Arial" w:eastAsia="Calibri" w:hAnsi="Arial" w:cs="Arial"/>
          <w:spacing w:val="0"/>
          <w:sz w:val="22"/>
          <w:szCs w:val="22"/>
          <w:lang w:val="es-CL" w:eastAsia="en-US"/>
        </w:rPr>
        <w:t>tanto de miles de trabajadores como del propio emprendimiento.</w:t>
      </w:r>
    </w:p>
    <w:p w14:paraId="32B548BA" w14:textId="77777777" w:rsidR="0049078F" w:rsidRDefault="0049078F" w:rsidP="00875C22">
      <w:pPr>
        <w:tabs>
          <w:tab w:val="left" w:pos="2268"/>
        </w:tabs>
        <w:spacing w:line="276" w:lineRule="auto"/>
        <w:ind w:right="142" w:firstLine="1701"/>
        <w:jc w:val="both"/>
        <w:rPr>
          <w:rFonts w:ascii="Arial" w:hAnsi="Arial" w:cs="Arial"/>
          <w:sz w:val="22"/>
          <w:szCs w:val="22"/>
        </w:rPr>
      </w:pPr>
    </w:p>
    <w:p w14:paraId="6FB3C7DB" w14:textId="77777777" w:rsidR="00645CDE" w:rsidRDefault="00706980" w:rsidP="00875C22">
      <w:pPr>
        <w:tabs>
          <w:tab w:val="left" w:pos="2268"/>
        </w:tabs>
        <w:spacing w:line="276" w:lineRule="auto"/>
        <w:ind w:right="142" w:firstLine="1701"/>
        <w:jc w:val="both"/>
        <w:rPr>
          <w:rFonts w:ascii="Arial" w:hAnsi="Arial" w:cs="Arial"/>
          <w:sz w:val="22"/>
          <w:szCs w:val="22"/>
        </w:rPr>
      </w:pPr>
      <w:r>
        <w:rPr>
          <w:rFonts w:ascii="Arial" w:hAnsi="Arial" w:cs="Arial"/>
          <w:sz w:val="22"/>
          <w:szCs w:val="22"/>
        </w:rPr>
        <w:t>3</w:t>
      </w:r>
      <w:r w:rsidR="00935A5D" w:rsidRPr="001C44DC">
        <w:rPr>
          <w:rFonts w:ascii="Arial" w:hAnsi="Arial" w:cs="Arial"/>
          <w:sz w:val="22"/>
          <w:szCs w:val="22"/>
        </w:rPr>
        <w:t>-</w:t>
      </w:r>
      <w:r w:rsidR="009D7DFC">
        <w:rPr>
          <w:rFonts w:ascii="Arial" w:hAnsi="Arial" w:cs="Arial"/>
          <w:sz w:val="22"/>
          <w:szCs w:val="22"/>
        </w:rPr>
        <w:t xml:space="preserve"> </w:t>
      </w:r>
      <w:r w:rsidR="009D7DFC" w:rsidRPr="009D7DFC">
        <w:rPr>
          <w:rFonts w:ascii="Arial" w:hAnsi="Arial" w:cs="Arial"/>
          <w:sz w:val="22"/>
          <w:szCs w:val="22"/>
          <w:u w:val="single"/>
        </w:rPr>
        <w:t>Competencia de la Comisión de Hacienda</w:t>
      </w:r>
      <w:r w:rsidR="009D7DFC">
        <w:rPr>
          <w:rFonts w:ascii="Arial" w:hAnsi="Arial" w:cs="Arial"/>
          <w:sz w:val="22"/>
          <w:szCs w:val="22"/>
        </w:rPr>
        <w:t>:</w:t>
      </w:r>
      <w:r w:rsidR="00935A5D" w:rsidRPr="001C44DC">
        <w:rPr>
          <w:rFonts w:ascii="Arial" w:hAnsi="Arial" w:cs="Arial"/>
          <w:sz w:val="22"/>
          <w:szCs w:val="22"/>
        </w:rPr>
        <w:t xml:space="preserve"> </w:t>
      </w:r>
    </w:p>
    <w:p w14:paraId="5F0716EA" w14:textId="77777777" w:rsidR="00875C22" w:rsidRPr="00843684" w:rsidRDefault="00935A5D" w:rsidP="00875C22">
      <w:pPr>
        <w:tabs>
          <w:tab w:val="left" w:pos="2268"/>
        </w:tabs>
        <w:spacing w:line="276" w:lineRule="auto"/>
        <w:ind w:right="142" w:firstLine="1701"/>
        <w:jc w:val="both"/>
        <w:rPr>
          <w:rFonts w:ascii="Arial" w:eastAsia="Calibri" w:hAnsi="Arial" w:cs="Arial"/>
          <w:sz w:val="22"/>
          <w:szCs w:val="22"/>
          <w:lang w:eastAsia="en-US"/>
        </w:rPr>
      </w:pPr>
      <w:r w:rsidRPr="001C44DC">
        <w:rPr>
          <w:rFonts w:ascii="Arial" w:hAnsi="Arial" w:cs="Arial"/>
          <w:sz w:val="22"/>
          <w:szCs w:val="22"/>
        </w:rPr>
        <w:t xml:space="preserve">La Comisión de </w:t>
      </w:r>
      <w:r w:rsidR="00843684" w:rsidRPr="001C44DC">
        <w:rPr>
          <w:rFonts w:ascii="Arial" w:hAnsi="Arial" w:cs="Arial"/>
          <w:sz w:val="22"/>
          <w:szCs w:val="22"/>
        </w:rPr>
        <w:t xml:space="preserve">La Comisión de </w:t>
      </w:r>
      <w:r w:rsidR="00843684" w:rsidRPr="00843684">
        <w:rPr>
          <w:rFonts w:ascii="Arial" w:hAnsi="Arial" w:cs="Arial"/>
          <w:sz w:val="22"/>
          <w:szCs w:val="22"/>
        </w:rPr>
        <w:t>Economía, Fomento; Micro, Pequeña y Mediana Empresa, Protección de los Consumidores y Turismo</w:t>
      </w:r>
      <w:r w:rsidR="00C6017E" w:rsidRPr="00843684">
        <w:rPr>
          <w:rFonts w:ascii="Arial" w:hAnsi="Arial" w:cs="Arial"/>
          <w:sz w:val="22"/>
          <w:szCs w:val="22"/>
        </w:rPr>
        <w:t xml:space="preserve">, </w:t>
      </w:r>
      <w:r w:rsidRPr="00843684">
        <w:rPr>
          <w:rFonts w:ascii="Arial" w:hAnsi="Arial" w:cs="Arial"/>
          <w:sz w:val="22"/>
          <w:szCs w:val="22"/>
        </w:rPr>
        <w:t xml:space="preserve">en su calidad de comisión técnica dispuso </w:t>
      </w:r>
      <w:r w:rsidR="001D013A" w:rsidRPr="00843684">
        <w:rPr>
          <w:rFonts w:ascii="Arial" w:hAnsi="Arial" w:cs="Arial"/>
          <w:sz w:val="22"/>
          <w:szCs w:val="22"/>
        </w:rPr>
        <w:t>que los cinco artículos del proyecto son de competencia de esta Comisión de Hacienda.</w:t>
      </w:r>
    </w:p>
    <w:p w14:paraId="2E0700AD" w14:textId="77777777" w:rsidR="00875C22" w:rsidRDefault="00875C22" w:rsidP="009D7DFC">
      <w:pPr>
        <w:tabs>
          <w:tab w:val="left" w:pos="2268"/>
        </w:tabs>
        <w:spacing w:line="276" w:lineRule="auto"/>
        <w:ind w:right="142" w:firstLine="1701"/>
        <w:jc w:val="both"/>
        <w:rPr>
          <w:rFonts w:ascii="Arial" w:eastAsia="Calibri" w:hAnsi="Arial" w:cs="Arial"/>
          <w:sz w:val="22"/>
          <w:szCs w:val="22"/>
          <w:lang w:eastAsia="en-US"/>
        </w:rPr>
      </w:pPr>
    </w:p>
    <w:p w14:paraId="5DB1B560" w14:textId="77777777" w:rsidR="009D7DFC" w:rsidRDefault="009D7DFC" w:rsidP="00F63BE4">
      <w:pPr>
        <w:tabs>
          <w:tab w:val="left" w:pos="1134"/>
        </w:tabs>
        <w:spacing w:line="276" w:lineRule="auto"/>
        <w:ind w:right="142" w:firstLine="1701"/>
        <w:jc w:val="both"/>
        <w:rPr>
          <w:rFonts w:ascii="Arial" w:hAnsi="Arial" w:cs="Arial"/>
          <w:sz w:val="22"/>
          <w:szCs w:val="22"/>
        </w:rPr>
      </w:pPr>
    </w:p>
    <w:p w14:paraId="05881D7D" w14:textId="77777777" w:rsidR="009523A2" w:rsidRPr="008874E2" w:rsidRDefault="0049078F" w:rsidP="00F63BE4">
      <w:pPr>
        <w:tabs>
          <w:tab w:val="left" w:pos="1134"/>
        </w:tabs>
        <w:spacing w:line="276" w:lineRule="auto"/>
        <w:ind w:right="142" w:firstLine="1701"/>
        <w:jc w:val="both"/>
        <w:rPr>
          <w:rFonts w:ascii="Arial" w:hAnsi="Arial" w:cs="Arial"/>
          <w:sz w:val="22"/>
          <w:szCs w:val="22"/>
          <w:u w:val="single"/>
        </w:rPr>
      </w:pPr>
      <w:r>
        <w:rPr>
          <w:rFonts w:ascii="Arial" w:hAnsi="Arial" w:cs="Arial"/>
          <w:sz w:val="22"/>
          <w:szCs w:val="22"/>
        </w:rPr>
        <w:t>4</w:t>
      </w:r>
      <w:r w:rsidR="009523A2" w:rsidRPr="001C44DC">
        <w:rPr>
          <w:rFonts w:ascii="Arial" w:hAnsi="Arial" w:cs="Arial"/>
          <w:sz w:val="22"/>
          <w:szCs w:val="22"/>
        </w:rPr>
        <w:t xml:space="preserve">- </w:t>
      </w:r>
      <w:r w:rsidR="008874E2" w:rsidRPr="008874E2">
        <w:rPr>
          <w:rFonts w:ascii="Arial" w:hAnsi="Arial" w:cs="Arial"/>
          <w:sz w:val="22"/>
          <w:szCs w:val="22"/>
          <w:u w:val="single"/>
        </w:rPr>
        <w:t>N</w:t>
      </w:r>
      <w:r w:rsidR="0022154B" w:rsidRPr="008874E2">
        <w:rPr>
          <w:rFonts w:ascii="Arial" w:hAnsi="Arial" w:cs="Arial"/>
          <w:sz w:val="22"/>
          <w:szCs w:val="22"/>
          <w:u w:val="single"/>
        </w:rPr>
        <w:t>ormas que deban aprobarse con quórum especial.</w:t>
      </w:r>
    </w:p>
    <w:p w14:paraId="51DFF051" w14:textId="77777777" w:rsidR="00815AD4" w:rsidRPr="00815AD4" w:rsidRDefault="00815AD4" w:rsidP="00815AD4">
      <w:pPr>
        <w:spacing w:line="276" w:lineRule="auto"/>
        <w:ind w:firstLine="1701"/>
        <w:jc w:val="both"/>
        <w:rPr>
          <w:rFonts w:ascii="Arial" w:hAnsi="Arial" w:cs="Arial"/>
          <w:sz w:val="22"/>
          <w:szCs w:val="22"/>
          <w:lang w:val="en-US" w:eastAsia="es-CL"/>
        </w:rPr>
      </w:pPr>
      <w:r w:rsidRPr="00815AD4">
        <w:rPr>
          <w:rFonts w:ascii="Arial" w:hAnsi="Arial" w:cs="Arial"/>
          <w:sz w:val="22"/>
          <w:szCs w:val="22"/>
          <w:lang w:val="es-ES"/>
        </w:rPr>
        <w:lastRenderedPageBreak/>
        <w:t xml:space="preserve">El artículo 5 del proyecto de ley es una norma de rango orgánico constitucional, conforme a lo prescrito en el artículo 118 inciso quinto de la Constitución Política de la República, en tanto consagra, en lo pertinente, que “[u]na ley orgánica constitucional determinará las funciones y atribuciones de las municipalidades.” Cabe hacer presente que el Tribunal Constitucional, ha entendido que el concepto “municipalidades” es comprensivo tanto del órgano comunal en su conjunto, como de sus autoridades y directivos. </w:t>
      </w:r>
      <w:r w:rsidRPr="00815AD4">
        <w:rPr>
          <w:rFonts w:ascii="Arial" w:hAnsi="Arial" w:cs="Arial"/>
          <w:sz w:val="22"/>
          <w:szCs w:val="22"/>
          <w:lang w:val="en-US"/>
        </w:rPr>
        <w:t xml:space="preserve">(STC 212 c. 5, STC 446 c. 7, STC 1308 c. 9, STC 1704 c. 7, STC 1868 c. 11, STC 2623 c. 6, STC 3023 c. 8, STC 3112 c. 8 a STC 3221 c. 17). </w:t>
      </w:r>
    </w:p>
    <w:p w14:paraId="17133E34" w14:textId="77777777" w:rsidR="00815AD4" w:rsidRPr="00815AD4" w:rsidRDefault="00815AD4" w:rsidP="00815AD4">
      <w:pPr>
        <w:spacing w:line="276" w:lineRule="auto"/>
        <w:ind w:firstLine="1701"/>
        <w:jc w:val="both"/>
        <w:rPr>
          <w:rFonts w:ascii="Arial" w:hAnsi="Arial" w:cs="Arial"/>
          <w:sz w:val="22"/>
          <w:szCs w:val="22"/>
          <w:lang w:val="es-ES"/>
        </w:rPr>
      </w:pPr>
      <w:r w:rsidRPr="00815AD4">
        <w:rPr>
          <w:rFonts w:ascii="Arial" w:hAnsi="Arial" w:cs="Arial"/>
          <w:sz w:val="22"/>
          <w:szCs w:val="22"/>
          <w:lang w:val="es-ES"/>
        </w:rPr>
        <w:t>La citada disposición del proyecto otorga una facultad al alcalde para postergar a las Mipymes, hasta en tres meses y sin multas ni intereses, las fechas de pago de las patentes municipales, así como autorizar a las Mipymes el pago de las cuotas anuales o semestrales de las mismas hasta en seis cuotas mensuales iguales y sucesivas, sin multas ni intereses. Ambas atribuciones han de ser ejercidas en casos calificados de acuerdo a criterios generales y uniformes establecidos por el concejo mediante resolución municipal dictada al efecto, en una sola oportunidad por cada cuota anual o semestral.</w:t>
      </w:r>
    </w:p>
    <w:p w14:paraId="5845FE25" w14:textId="77777777" w:rsidR="00815AD4" w:rsidRPr="00815AD4" w:rsidRDefault="00815AD4" w:rsidP="00815AD4">
      <w:pPr>
        <w:spacing w:line="276" w:lineRule="auto"/>
        <w:ind w:firstLine="1701"/>
        <w:jc w:val="both"/>
        <w:rPr>
          <w:rFonts w:ascii="Arial" w:hAnsi="Arial" w:cs="Arial"/>
          <w:sz w:val="22"/>
          <w:szCs w:val="22"/>
          <w:lang w:val="es-ES"/>
        </w:rPr>
      </w:pPr>
    </w:p>
    <w:p w14:paraId="1033C68F" w14:textId="77777777" w:rsidR="0049078F" w:rsidRPr="001C44DC" w:rsidRDefault="0049078F" w:rsidP="0049078F">
      <w:pPr>
        <w:tabs>
          <w:tab w:val="left" w:pos="1134"/>
        </w:tabs>
        <w:spacing w:line="276" w:lineRule="auto"/>
        <w:ind w:right="142" w:firstLine="1701"/>
        <w:jc w:val="both"/>
        <w:rPr>
          <w:rFonts w:ascii="Arial" w:hAnsi="Arial" w:cs="Arial"/>
          <w:sz w:val="22"/>
          <w:szCs w:val="22"/>
        </w:rPr>
      </w:pPr>
      <w:r>
        <w:rPr>
          <w:rFonts w:ascii="Arial" w:hAnsi="Arial" w:cs="Arial"/>
          <w:sz w:val="22"/>
          <w:szCs w:val="22"/>
        </w:rPr>
        <w:t>5</w:t>
      </w:r>
      <w:r w:rsidRPr="001C44DC">
        <w:rPr>
          <w:rFonts w:ascii="Arial" w:hAnsi="Arial" w:cs="Arial"/>
          <w:sz w:val="22"/>
          <w:szCs w:val="22"/>
        </w:rPr>
        <w:t xml:space="preserve">.- </w:t>
      </w:r>
      <w:r w:rsidRPr="009D7DFC">
        <w:rPr>
          <w:rFonts w:ascii="Arial" w:hAnsi="Arial" w:cs="Arial"/>
          <w:sz w:val="22"/>
          <w:szCs w:val="22"/>
          <w:u w:val="single"/>
        </w:rPr>
        <w:t>Disposiciones o indicaciones rechazadas</w:t>
      </w:r>
      <w:r w:rsidRPr="001C44DC">
        <w:rPr>
          <w:rFonts w:ascii="Arial" w:hAnsi="Arial" w:cs="Arial"/>
          <w:sz w:val="22"/>
          <w:szCs w:val="22"/>
        </w:rPr>
        <w:t>.</w:t>
      </w:r>
    </w:p>
    <w:p w14:paraId="2D550BC1" w14:textId="77777777" w:rsidR="00C24E7F" w:rsidRDefault="00C24E7F" w:rsidP="0049078F">
      <w:pPr>
        <w:tabs>
          <w:tab w:val="left" w:pos="1134"/>
        </w:tabs>
        <w:spacing w:line="276" w:lineRule="auto"/>
        <w:ind w:right="142" w:firstLine="1701"/>
        <w:jc w:val="both"/>
        <w:rPr>
          <w:rFonts w:ascii="Arial" w:hAnsi="Arial" w:cs="Arial"/>
          <w:b/>
          <w:sz w:val="22"/>
          <w:szCs w:val="22"/>
        </w:rPr>
      </w:pPr>
    </w:p>
    <w:p w14:paraId="32B0C09C" w14:textId="77777777" w:rsidR="00252BF7" w:rsidRPr="00C24E7F" w:rsidRDefault="00C24E7F" w:rsidP="0049078F">
      <w:pPr>
        <w:tabs>
          <w:tab w:val="left" w:pos="1134"/>
        </w:tabs>
        <w:spacing w:line="276" w:lineRule="auto"/>
        <w:ind w:right="142" w:firstLine="1701"/>
        <w:jc w:val="both"/>
        <w:rPr>
          <w:rFonts w:ascii="Arial" w:hAnsi="Arial" w:cs="Arial"/>
          <w:b/>
          <w:sz w:val="22"/>
          <w:szCs w:val="22"/>
        </w:rPr>
      </w:pPr>
      <w:r w:rsidRPr="00C24E7F">
        <w:rPr>
          <w:rFonts w:ascii="Arial" w:hAnsi="Arial" w:cs="Arial"/>
          <w:b/>
          <w:sz w:val="22"/>
          <w:szCs w:val="22"/>
        </w:rPr>
        <w:t>Artículos rechazados</w:t>
      </w:r>
    </w:p>
    <w:p w14:paraId="41D9DDD0" w14:textId="77777777" w:rsidR="0049078F" w:rsidRDefault="00C24E7F" w:rsidP="0049078F">
      <w:pPr>
        <w:tabs>
          <w:tab w:val="left" w:pos="1134"/>
        </w:tabs>
        <w:spacing w:line="276" w:lineRule="auto"/>
        <w:ind w:right="142" w:firstLine="1701"/>
        <w:jc w:val="both"/>
        <w:rPr>
          <w:rFonts w:ascii="Arial" w:hAnsi="Arial" w:cs="Arial"/>
          <w:sz w:val="22"/>
          <w:szCs w:val="22"/>
        </w:rPr>
      </w:pPr>
      <w:r>
        <w:rPr>
          <w:rFonts w:ascii="Arial" w:hAnsi="Arial" w:cs="Arial"/>
          <w:sz w:val="22"/>
          <w:szCs w:val="22"/>
        </w:rPr>
        <w:t>L</w:t>
      </w:r>
      <w:r w:rsidR="00252BF7">
        <w:rPr>
          <w:rFonts w:ascii="Arial" w:hAnsi="Arial" w:cs="Arial"/>
          <w:sz w:val="22"/>
          <w:szCs w:val="22"/>
        </w:rPr>
        <w:t xml:space="preserve">os artículos 2 y 3 del proyecto. </w:t>
      </w:r>
    </w:p>
    <w:p w14:paraId="5E1F56CB" w14:textId="77777777" w:rsidR="00C24E7F" w:rsidRDefault="00C24E7F" w:rsidP="0049078F">
      <w:pPr>
        <w:tabs>
          <w:tab w:val="left" w:pos="1134"/>
        </w:tabs>
        <w:spacing w:line="276" w:lineRule="auto"/>
        <w:ind w:right="142" w:firstLine="1701"/>
        <w:jc w:val="both"/>
        <w:rPr>
          <w:rFonts w:ascii="Arial" w:hAnsi="Arial" w:cs="Arial"/>
          <w:sz w:val="22"/>
          <w:szCs w:val="22"/>
        </w:rPr>
      </w:pPr>
    </w:p>
    <w:p w14:paraId="7351889A" w14:textId="77777777" w:rsidR="00C24E7F" w:rsidRPr="00C24E7F" w:rsidRDefault="00C24E7F" w:rsidP="0049078F">
      <w:pPr>
        <w:tabs>
          <w:tab w:val="left" w:pos="1134"/>
        </w:tabs>
        <w:spacing w:line="276" w:lineRule="auto"/>
        <w:ind w:right="142" w:firstLine="1701"/>
        <w:jc w:val="both"/>
        <w:rPr>
          <w:rFonts w:ascii="Arial" w:hAnsi="Arial" w:cs="Arial"/>
          <w:b/>
          <w:sz w:val="22"/>
          <w:szCs w:val="22"/>
        </w:rPr>
      </w:pPr>
      <w:r w:rsidRPr="00C24E7F">
        <w:rPr>
          <w:rFonts w:ascii="Arial" w:hAnsi="Arial" w:cs="Arial"/>
          <w:b/>
          <w:sz w:val="22"/>
          <w:szCs w:val="22"/>
        </w:rPr>
        <w:t>Indicaciones rechazadas</w:t>
      </w:r>
    </w:p>
    <w:p w14:paraId="19F27A80" w14:textId="77777777" w:rsidR="00252BF7" w:rsidRDefault="00252BF7" w:rsidP="0049078F">
      <w:pPr>
        <w:tabs>
          <w:tab w:val="left" w:pos="1134"/>
        </w:tabs>
        <w:spacing w:line="276" w:lineRule="auto"/>
        <w:ind w:right="142" w:firstLine="1701"/>
        <w:jc w:val="both"/>
        <w:rPr>
          <w:rFonts w:ascii="Arial" w:hAnsi="Arial" w:cs="Arial"/>
          <w:sz w:val="22"/>
          <w:szCs w:val="22"/>
        </w:rPr>
      </w:pPr>
      <w:r>
        <w:rPr>
          <w:rFonts w:ascii="Arial" w:hAnsi="Arial" w:cs="Arial"/>
          <w:sz w:val="22"/>
          <w:szCs w:val="22"/>
        </w:rPr>
        <w:t>Fueron rechazadas las siguientes indicaciones:</w:t>
      </w:r>
    </w:p>
    <w:p w14:paraId="06525267" w14:textId="77777777" w:rsidR="0096238E" w:rsidRPr="0096238E" w:rsidRDefault="0096238E" w:rsidP="0049078F">
      <w:pPr>
        <w:tabs>
          <w:tab w:val="left" w:pos="1134"/>
        </w:tabs>
        <w:spacing w:line="276" w:lineRule="auto"/>
        <w:ind w:right="142" w:firstLine="1701"/>
        <w:jc w:val="both"/>
        <w:rPr>
          <w:rFonts w:ascii="Arial" w:hAnsi="Arial" w:cs="Arial"/>
          <w:b/>
          <w:sz w:val="22"/>
          <w:szCs w:val="22"/>
        </w:rPr>
      </w:pPr>
      <w:r w:rsidRPr="0096238E">
        <w:rPr>
          <w:rFonts w:ascii="Arial" w:hAnsi="Arial" w:cs="Arial"/>
          <w:b/>
          <w:sz w:val="22"/>
          <w:szCs w:val="22"/>
        </w:rPr>
        <w:t>Al artículo 4 del proyecto de ley</w:t>
      </w:r>
    </w:p>
    <w:p w14:paraId="1F2FDAFD" w14:textId="77777777" w:rsidR="009523A2" w:rsidRDefault="00350CEB" w:rsidP="00F63BE4">
      <w:pPr>
        <w:tabs>
          <w:tab w:val="left" w:pos="3402"/>
        </w:tabs>
        <w:spacing w:line="276" w:lineRule="auto"/>
        <w:ind w:right="142" w:firstLine="1701"/>
        <w:jc w:val="both"/>
        <w:rPr>
          <w:rFonts w:ascii="Arial" w:hAnsi="Arial" w:cs="Arial"/>
          <w:sz w:val="22"/>
          <w:szCs w:val="22"/>
        </w:rPr>
      </w:pPr>
      <w:r>
        <w:rPr>
          <w:rFonts w:ascii="Arial" w:hAnsi="Arial" w:cs="Arial"/>
          <w:sz w:val="22"/>
          <w:szCs w:val="22"/>
        </w:rPr>
        <w:t xml:space="preserve">1.- </w:t>
      </w:r>
      <w:r w:rsidR="0024379A">
        <w:rPr>
          <w:rFonts w:ascii="Arial" w:hAnsi="Arial" w:cs="Arial"/>
          <w:sz w:val="22"/>
          <w:szCs w:val="22"/>
        </w:rPr>
        <w:t>Indicación del diputado Barrera:</w:t>
      </w:r>
      <w:r w:rsidRPr="00350CEB">
        <w:rPr>
          <w:rFonts w:ascii="Arial" w:hAnsi="Arial" w:cs="Arial"/>
          <w:sz w:val="22"/>
          <w:szCs w:val="22"/>
        </w:rPr>
        <w:t xml:space="preserve"> Para eliminar</w:t>
      </w:r>
      <w:r>
        <w:rPr>
          <w:rFonts w:ascii="Arial" w:hAnsi="Arial" w:cs="Arial"/>
          <w:sz w:val="22"/>
          <w:szCs w:val="22"/>
        </w:rPr>
        <w:t xml:space="preserve"> el artículo 4</w:t>
      </w:r>
      <w:r w:rsidRPr="00350CEB">
        <w:rPr>
          <w:rFonts w:ascii="Arial" w:hAnsi="Arial" w:cs="Arial"/>
          <w:sz w:val="22"/>
          <w:szCs w:val="22"/>
        </w:rPr>
        <w:t>.</w:t>
      </w:r>
    </w:p>
    <w:p w14:paraId="09F0DDC7" w14:textId="77777777" w:rsidR="00350CEB" w:rsidRDefault="00350CEB" w:rsidP="00F63BE4">
      <w:pPr>
        <w:tabs>
          <w:tab w:val="left" w:pos="3402"/>
        </w:tabs>
        <w:spacing w:line="276" w:lineRule="auto"/>
        <w:ind w:right="142" w:firstLine="1701"/>
        <w:jc w:val="both"/>
        <w:rPr>
          <w:rFonts w:ascii="Arial" w:hAnsi="Arial" w:cs="Arial"/>
          <w:sz w:val="22"/>
          <w:szCs w:val="22"/>
        </w:rPr>
      </w:pPr>
      <w:r>
        <w:rPr>
          <w:rFonts w:ascii="Arial" w:hAnsi="Arial" w:cs="Arial"/>
          <w:sz w:val="22"/>
          <w:szCs w:val="22"/>
        </w:rPr>
        <w:t xml:space="preserve">2.- </w:t>
      </w:r>
      <w:r w:rsidR="0024379A">
        <w:rPr>
          <w:rFonts w:ascii="Arial" w:hAnsi="Arial" w:cs="Arial"/>
          <w:sz w:val="22"/>
          <w:szCs w:val="22"/>
        </w:rPr>
        <w:t>Indicación del diputado Barrera:</w:t>
      </w:r>
      <w:r w:rsidRPr="00350CEB">
        <w:rPr>
          <w:rFonts w:ascii="Arial" w:hAnsi="Arial" w:cs="Arial"/>
          <w:sz w:val="22"/>
          <w:szCs w:val="22"/>
        </w:rPr>
        <w:t xml:space="preserve"> Para eliminar la palabra “no” en el inciso 3° del artículo 4 del artículo cuarto del proyecto de ley.</w:t>
      </w:r>
    </w:p>
    <w:p w14:paraId="7878C1CE" w14:textId="77777777" w:rsidR="0096238E" w:rsidRDefault="0096238E" w:rsidP="00350CEB">
      <w:pPr>
        <w:tabs>
          <w:tab w:val="left" w:pos="3402"/>
        </w:tabs>
        <w:spacing w:line="276" w:lineRule="auto"/>
        <w:ind w:right="142" w:firstLine="1701"/>
        <w:jc w:val="both"/>
        <w:rPr>
          <w:rFonts w:ascii="Arial" w:hAnsi="Arial" w:cs="Arial"/>
          <w:sz w:val="22"/>
          <w:szCs w:val="22"/>
        </w:rPr>
      </w:pPr>
    </w:p>
    <w:p w14:paraId="4BAFE39C" w14:textId="77777777" w:rsidR="00350CEB" w:rsidRPr="00350CEB" w:rsidRDefault="00350CEB" w:rsidP="00350CEB">
      <w:pPr>
        <w:tabs>
          <w:tab w:val="left" w:pos="3402"/>
        </w:tabs>
        <w:spacing w:line="276" w:lineRule="auto"/>
        <w:ind w:right="142" w:firstLine="1701"/>
        <w:jc w:val="both"/>
        <w:rPr>
          <w:rFonts w:ascii="Arial" w:hAnsi="Arial" w:cs="Arial"/>
          <w:sz w:val="22"/>
          <w:szCs w:val="22"/>
        </w:rPr>
      </w:pPr>
      <w:r>
        <w:rPr>
          <w:rFonts w:ascii="Arial" w:hAnsi="Arial" w:cs="Arial"/>
          <w:sz w:val="22"/>
          <w:szCs w:val="22"/>
        </w:rPr>
        <w:t xml:space="preserve">3.- </w:t>
      </w:r>
      <w:r w:rsidRPr="00350CEB">
        <w:rPr>
          <w:rFonts w:ascii="Arial" w:hAnsi="Arial" w:cs="Arial"/>
          <w:sz w:val="22"/>
          <w:szCs w:val="22"/>
        </w:rPr>
        <w:t xml:space="preserve">Indicación de los diputados Barrera, Jackson, Naranjo, Monsalve y Soto al artículo </w:t>
      </w:r>
      <w:r>
        <w:rPr>
          <w:rFonts w:ascii="Arial" w:hAnsi="Arial" w:cs="Arial"/>
          <w:sz w:val="22"/>
          <w:szCs w:val="22"/>
        </w:rPr>
        <w:t>4</w:t>
      </w:r>
      <w:r w:rsidR="00287F6E">
        <w:rPr>
          <w:rFonts w:ascii="Arial" w:hAnsi="Arial" w:cs="Arial"/>
          <w:sz w:val="22"/>
          <w:szCs w:val="22"/>
        </w:rPr>
        <w:t xml:space="preserve"> del proyecto de ley</w:t>
      </w:r>
      <w:r w:rsidRPr="00350CEB">
        <w:rPr>
          <w:rFonts w:ascii="Arial" w:hAnsi="Arial" w:cs="Arial"/>
          <w:sz w:val="22"/>
          <w:szCs w:val="22"/>
        </w:rPr>
        <w:t>:</w:t>
      </w:r>
    </w:p>
    <w:p w14:paraId="35BBC78A" w14:textId="77777777" w:rsidR="00C24E7F" w:rsidRDefault="00C24E7F" w:rsidP="00350CEB">
      <w:pPr>
        <w:tabs>
          <w:tab w:val="left" w:pos="3402"/>
        </w:tabs>
        <w:spacing w:line="276" w:lineRule="auto"/>
        <w:ind w:right="142" w:firstLine="1701"/>
        <w:jc w:val="both"/>
        <w:rPr>
          <w:rFonts w:ascii="Arial" w:hAnsi="Arial" w:cs="Arial"/>
          <w:sz w:val="22"/>
          <w:szCs w:val="22"/>
        </w:rPr>
      </w:pPr>
    </w:p>
    <w:p w14:paraId="7FE2DA3C" w14:textId="77777777" w:rsidR="00350CEB" w:rsidRPr="00350CEB" w:rsidRDefault="00287F6E" w:rsidP="00350CEB">
      <w:pPr>
        <w:tabs>
          <w:tab w:val="left" w:pos="3402"/>
        </w:tabs>
        <w:spacing w:line="276" w:lineRule="auto"/>
        <w:ind w:right="142" w:firstLine="1701"/>
        <w:jc w:val="both"/>
        <w:rPr>
          <w:rFonts w:ascii="Arial" w:hAnsi="Arial" w:cs="Arial"/>
          <w:sz w:val="22"/>
          <w:szCs w:val="22"/>
        </w:rPr>
      </w:pPr>
      <w:r>
        <w:rPr>
          <w:rFonts w:ascii="Arial" w:hAnsi="Arial" w:cs="Arial"/>
          <w:sz w:val="22"/>
          <w:szCs w:val="22"/>
        </w:rPr>
        <w:t>-</w:t>
      </w:r>
      <w:r w:rsidR="00350CEB" w:rsidRPr="00350CEB">
        <w:rPr>
          <w:rFonts w:ascii="Arial" w:hAnsi="Arial" w:cs="Arial"/>
          <w:sz w:val="22"/>
          <w:szCs w:val="22"/>
        </w:rPr>
        <w:t>Eliminar en artículo 6 las siguientes frases:</w:t>
      </w:r>
    </w:p>
    <w:p w14:paraId="3CDB3F96" w14:textId="77777777" w:rsidR="00350CEB" w:rsidRPr="00350CEB" w:rsidRDefault="00350CEB" w:rsidP="00350CEB">
      <w:pPr>
        <w:tabs>
          <w:tab w:val="left" w:pos="3402"/>
        </w:tabs>
        <w:spacing w:line="276" w:lineRule="auto"/>
        <w:ind w:right="142" w:firstLine="1701"/>
        <w:jc w:val="both"/>
        <w:rPr>
          <w:rFonts w:ascii="Arial" w:hAnsi="Arial" w:cs="Arial"/>
          <w:sz w:val="22"/>
          <w:szCs w:val="22"/>
        </w:rPr>
      </w:pPr>
      <w:r w:rsidRPr="00350CEB">
        <w:rPr>
          <w:rFonts w:ascii="Arial" w:hAnsi="Arial" w:cs="Arial"/>
          <w:sz w:val="22"/>
          <w:szCs w:val="22"/>
        </w:rPr>
        <w:t>a) Al comienzo del artículo, luego de “las donaciones en especie”, eliminar la frase: “o deservicios”.</w:t>
      </w:r>
    </w:p>
    <w:p w14:paraId="422326D9" w14:textId="77777777" w:rsidR="00350CEB" w:rsidRPr="00350CEB" w:rsidRDefault="00350CEB" w:rsidP="00350CEB">
      <w:pPr>
        <w:tabs>
          <w:tab w:val="left" w:pos="3402"/>
        </w:tabs>
        <w:spacing w:line="276" w:lineRule="auto"/>
        <w:ind w:right="142" w:firstLine="1701"/>
        <w:jc w:val="both"/>
        <w:rPr>
          <w:rFonts w:ascii="Arial" w:hAnsi="Arial" w:cs="Arial"/>
          <w:sz w:val="22"/>
          <w:szCs w:val="22"/>
        </w:rPr>
      </w:pPr>
      <w:r w:rsidRPr="00350CEB">
        <w:rPr>
          <w:rFonts w:ascii="Arial" w:hAnsi="Arial" w:cs="Arial"/>
          <w:sz w:val="22"/>
          <w:szCs w:val="22"/>
        </w:rPr>
        <w:t>b) Luego de “pagado en la adquisición de bienes”, eliminar la frase: “o utilización de servicios”.</w:t>
      </w:r>
    </w:p>
    <w:p w14:paraId="59962600" w14:textId="77777777" w:rsidR="00350CEB" w:rsidRPr="00350CEB" w:rsidRDefault="00350CEB" w:rsidP="00350CEB">
      <w:pPr>
        <w:tabs>
          <w:tab w:val="left" w:pos="3402"/>
        </w:tabs>
        <w:spacing w:line="276" w:lineRule="auto"/>
        <w:ind w:right="142" w:firstLine="1701"/>
        <w:jc w:val="both"/>
        <w:rPr>
          <w:rFonts w:ascii="Arial" w:hAnsi="Arial" w:cs="Arial"/>
          <w:sz w:val="22"/>
          <w:szCs w:val="22"/>
        </w:rPr>
      </w:pPr>
      <w:r w:rsidRPr="00350CEB">
        <w:rPr>
          <w:rFonts w:ascii="Arial" w:hAnsi="Arial" w:cs="Arial"/>
          <w:sz w:val="22"/>
          <w:szCs w:val="22"/>
        </w:rPr>
        <w:t>c) En su inciso segundo, luego de “El valor de los bienes”, eliminar la frase: “y servicios”.</w:t>
      </w:r>
    </w:p>
    <w:p w14:paraId="703CBFAA" w14:textId="77777777" w:rsidR="00350CEB" w:rsidRPr="00350CEB" w:rsidRDefault="00350CEB" w:rsidP="00350CEB">
      <w:pPr>
        <w:tabs>
          <w:tab w:val="left" w:pos="3402"/>
        </w:tabs>
        <w:spacing w:line="276" w:lineRule="auto"/>
        <w:ind w:right="142" w:firstLine="1701"/>
        <w:jc w:val="both"/>
        <w:rPr>
          <w:rFonts w:ascii="Arial" w:hAnsi="Arial" w:cs="Arial"/>
          <w:sz w:val="22"/>
          <w:szCs w:val="22"/>
        </w:rPr>
      </w:pPr>
      <w:r w:rsidRPr="00350CEB">
        <w:rPr>
          <w:rFonts w:ascii="Arial" w:hAnsi="Arial" w:cs="Arial"/>
          <w:sz w:val="22"/>
          <w:szCs w:val="22"/>
        </w:rPr>
        <w:t>d) En su inciso segundo, luego de “artículo 10 y su entrega”, eliminar la frase: “o prestación”.</w:t>
      </w:r>
    </w:p>
    <w:p w14:paraId="6591CBA6" w14:textId="77777777" w:rsidR="00C24E7F" w:rsidRDefault="00C24E7F" w:rsidP="00350CEB">
      <w:pPr>
        <w:tabs>
          <w:tab w:val="left" w:pos="3402"/>
        </w:tabs>
        <w:spacing w:line="276" w:lineRule="auto"/>
        <w:ind w:right="142" w:firstLine="1701"/>
        <w:jc w:val="both"/>
        <w:rPr>
          <w:rFonts w:ascii="Arial" w:hAnsi="Arial" w:cs="Arial"/>
          <w:sz w:val="22"/>
          <w:szCs w:val="22"/>
        </w:rPr>
      </w:pPr>
    </w:p>
    <w:p w14:paraId="253E98EA" w14:textId="77777777" w:rsidR="00350CEB" w:rsidRPr="00350CEB" w:rsidRDefault="00287F6E" w:rsidP="00350CEB">
      <w:pPr>
        <w:tabs>
          <w:tab w:val="left" w:pos="3402"/>
        </w:tabs>
        <w:spacing w:line="276" w:lineRule="auto"/>
        <w:ind w:right="142" w:firstLine="1701"/>
        <w:jc w:val="both"/>
        <w:rPr>
          <w:rFonts w:ascii="Arial" w:hAnsi="Arial" w:cs="Arial"/>
          <w:sz w:val="22"/>
          <w:szCs w:val="22"/>
        </w:rPr>
      </w:pPr>
      <w:r>
        <w:rPr>
          <w:rFonts w:ascii="Arial" w:hAnsi="Arial" w:cs="Arial"/>
          <w:sz w:val="22"/>
          <w:szCs w:val="22"/>
        </w:rPr>
        <w:t>-</w:t>
      </w:r>
      <w:r w:rsidR="00350CEB" w:rsidRPr="00350CEB">
        <w:rPr>
          <w:rFonts w:ascii="Arial" w:hAnsi="Arial" w:cs="Arial"/>
          <w:sz w:val="22"/>
          <w:szCs w:val="22"/>
        </w:rPr>
        <w:t>Modificar el artículo 9 en la siguiente forma:</w:t>
      </w:r>
    </w:p>
    <w:p w14:paraId="6D7D1B47" w14:textId="77777777" w:rsidR="00350CEB" w:rsidRPr="00350CEB" w:rsidRDefault="00350CEB" w:rsidP="00350CEB">
      <w:pPr>
        <w:tabs>
          <w:tab w:val="left" w:pos="3402"/>
        </w:tabs>
        <w:spacing w:line="276" w:lineRule="auto"/>
        <w:ind w:right="142" w:firstLine="1701"/>
        <w:jc w:val="both"/>
        <w:rPr>
          <w:rFonts w:ascii="Arial" w:hAnsi="Arial" w:cs="Arial"/>
          <w:sz w:val="22"/>
          <w:szCs w:val="22"/>
        </w:rPr>
      </w:pPr>
      <w:r w:rsidRPr="00350CEB">
        <w:rPr>
          <w:rFonts w:ascii="Arial" w:hAnsi="Arial" w:cs="Arial"/>
          <w:sz w:val="22"/>
          <w:szCs w:val="22"/>
        </w:rPr>
        <w:t>a) Eliminar, luego de “podrán recibir donaciones en dinero, en especie”, la frase: “o mediante la prestación de servicios”.</w:t>
      </w:r>
    </w:p>
    <w:p w14:paraId="738C5D90" w14:textId="77777777" w:rsidR="00350CEB" w:rsidRPr="00350CEB" w:rsidRDefault="00350CEB" w:rsidP="00350CEB">
      <w:pPr>
        <w:tabs>
          <w:tab w:val="left" w:pos="3402"/>
        </w:tabs>
        <w:spacing w:line="276" w:lineRule="auto"/>
        <w:ind w:right="142" w:firstLine="1701"/>
        <w:jc w:val="both"/>
        <w:rPr>
          <w:rFonts w:ascii="Arial" w:hAnsi="Arial" w:cs="Arial"/>
          <w:sz w:val="22"/>
          <w:szCs w:val="22"/>
        </w:rPr>
      </w:pPr>
      <w:r w:rsidRPr="00350CEB">
        <w:rPr>
          <w:rFonts w:ascii="Arial" w:hAnsi="Arial" w:cs="Arial"/>
          <w:sz w:val="22"/>
          <w:szCs w:val="22"/>
        </w:rPr>
        <w:t>b) Sustituir la coma (“,”) existente entre las palabras “en dinero” y “en especie”, por el vocablo “o”.</w:t>
      </w:r>
    </w:p>
    <w:p w14:paraId="6AEE575E" w14:textId="77777777" w:rsidR="00350CEB" w:rsidRPr="00350CEB" w:rsidRDefault="00287F6E" w:rsidP="00350CEB">
      <w:pPr>
        <w:tabs>
          <w:tab w:val="left" w:pos="3402"/>
        </w:tabs>
        <w:spacing w:line="276" w:lineRule="auto"/>
        <w:ind w:right="142" w:firstLine="1701"/>
        <w:jc w:val="both"/>
        <w:rPr>
          <w:rFonts w:ascii="Arial" w:hAnsi="Arial" w:cs="Arial"/>
          <w:sz w:val="22"/>
          <w:szCs w:val="22"/>
        </w:rPr>
      </w:pPr>
      <w:r>
        <w:rPr>
          <w:rFonts w:ascii="Arial" w:hAnsi="Arial" w:cs="Arial"/>
          <w:sz w:val="22"/>
          <w:szCs w:val="22"/>
        </w:rPr>
        <w:t>-</w:t>
      </w:r>
      <w:r w:rsidR="00350CEB" w:rsidRPr="00350CEB">
        <w:rPr>
          <w:rFonts w:ascii="Arial" w:hAnsi="Arial" w:cs="Arial"/>
          <w:sz w:val="22"/>
          <w:szCs w:val="22"/>
        </w:rPr>
        <w:t>Eliminar, en el comienzo del artículo 10 y luego de “donaciones en especie”, la frase: “y de servicios”.</w:t>
      </w:r>
    </w:p>
    <w:p w14:paraId="549AAD4E" w14:textId="77777777" w:rsidR="00350CEB" w:rsidRPr="00350CEB" w:rsidRDefault="00287F6E" w:rsidP="00350CEB">
      <w:pPr>
        <w:tabs>
          <w:tab w:val="left" w:pos="3402"/>
        </w:tabs>
        <w:spacing w:line="276" w:lineRule="auto"/>
        <w:ind w:right="142" w:firstLine="1701"/>
        <w:jc w:val="both"/>
        <w:rPr>
          <w:rFonts w:ascii="Arial" w:hAnsi="Arial" w:cs="Arial"/>
          <w:sz w:val="22"/>
          <w:szCs w:val="22"/>
        </w:rPr>
      </w:pPr>
      <w:r>
        <w:rPr>
          <w:rFonts w:ascii="Arial" w:hAnsi="Arial" w:cs="Arial"/>
          <w:sz w:val="22"/>
          <w:szCs w:val="22"/>
        </w:rPr>
        <w:t>-</w:t>
      </w:r>
      <w:r w:rsidR="00350CEB" w:rsidRPr="00350CEB">
        <w:rPr>
          <w:rFonts w:ascii="Arial" w:hAnsi="Arial" w:cs="Arial"/>
          <w:sz w:val="22"/>
          <w:szCs w:val="22"/>
        </w:rPr>
        <w:t>Eliminar en el inciso segundo del artículo 10, completo.</w:t>
      </w:r>
    </w:p>
    <w:p w14:paraId="4CF7626D" w14:textId="77777777" w:rsidR="004926F6" w:rsidRDefault="004926F6" w:rsidP="00F63BE4">
      <w:pPr>
        <w:tabs>
          <w:tab w:val="left" w:pos="1134"/>
        </w:tabs>
        <w:spacing w:line="276" w:lineRule="auto"/>
        <w:ind w:right="142" w:firstLine="1701"/>
        <w:jc w:val="both"/>
        <w:rPr>
          <w:rFonts w:ascii="Arial" w:hAnsi="Arial" w:cs="Arial"/>
          <w:sz w:val="22"/>
          <w:szCs w:val="22"/>
        </w:rPr>
      </w:pPr>
    </w:p>
    <w:p w14:paraId="4987C850" w14:textId="77777777" w:rsidR="0024379A" w:rsidRPr="0024379A" w:rsidRDefault="0024379A" w:rsidP="00F63BE4">
      <w:pPr>
        <w:tabs>
          <w:tab w:val="left" w:pos="1134"/>
        </w:tabs>
        <w:spacing w:line="276" w:lineRule="auto"/>
        <w:ind w:right="142" w:firstLine="1701"/>
        <w:jc w:val="both"/>
        <w:rPr>
          <w:rFonts w:ascii="Arial" w:hAnsi="Arial" w:cs="Arial"/>
          <w:sz w:val="22"/>
          <w:szCs w:val="22"/>
          <w:u w:val="single"/>
        </w:rPr>
      </w:pPr>
      <w:r w:rsidRPr="0096238E">
        <w:rPr>
          <w:rFonts w:ascii="Arial" w:hAnsi="Arial" w:cs="Arial"/>
          <w:sz w:val="22"/>
          <w:szCs w:val="22"/>
        </w:rPr>
        <w:t>6.-</w:t>
      </w:r>
      <w:r w:rsidRPr="0024379A">
        <w:rPr>
          <w:rFonts w:ascii="Arial" w:hAnsi="Arial" w:cs="Arial"/>
          <w:sz w:val="22"/>
          <w:szCs w:val="22"/>
          <w:u w:val="single"/>
        </w:rPr>
        <w:t xml:space="preserve"> Artículo modificado:</w:t>
      </w:r>
    </w:p>
    <w:p w14:paraId="791C814C" w14:textId="77777777" w:rsidR="0024379A" w:rsidRPr="0096238E" w:rsidRDefault="0096238E" w:rsidP="00F63BE4">
      <w:pPr>
        <w:tabs>
          <w:tab w:val="left" w:pos="1134"/>
        </w:tabs>
        <w:spacing w:line="276" w:lineRule="auto"/>
        <w:ind w:right="142" w:firstLine="1701"/>
        <w:jc w:val="both"/>
        <w:rPr>
          <w:rFonts w:ascii="Arial" w:hAnsi="Arial" w:cs="Arial"/>
          <w:b/>
          <w:sz w:val="22"/>
          <w:szCs w:val="22"/>
        </w:rPr>
      </w:pPr>
      <w:r w:rsidRPr="0096238E">
        <w:rPr>
          <w:rFonts w:ascii="Arial" w:hAnsi="Arial" w:cs="Arial"/>
          <w:b/>
          <w:sz w:val="22"/>
          <w:szCs w:val="22"/>
        </w:rPr>
        <w:t>Artículo 4 del proyecto de ley</w:t>
      </w:r>
    </w:p>
    <w:p w14:paraId="55993173" w14:textId="77777777" w:rsidR="0024379A" w:rsidRDefault="0096238E" w:rsidP="00F63BE4">
      <w:pPr>
        <w:tabs>
          <w:tab w:val="left" w:pos="1134"/>
        </w:tabs>
        <w:spacing w:line="276" w:lineRule="auto"/>
        <w:ind w:right="142" w:firstLine="1701"/>
        <w:jc w:val="both"/>
        <w:rPr>
          <w:rFonts w:ascii="Arial" w:hAnsi="Arial" w:cs="Arial"/>
          <w:sz w:val="22"/>
          <w:szCs w:val="22"/>
        </w:rPr>
      </w:pPr>
      <w:r>
        <w:rPr>
          <w:rFonts w:ascii="Arial" w:hAnsi="Arial" w:cs="Arial"/>
          <w:sz w:val="22"/>
          <w:szCs w:val="22"/>
        </w:rPr>
        <w:t>1.-</w:t>
      </w:r>
      <w:r w:rsidR="0050054A">
        <w:rPr>
          <w:rFonts w:ascii="Arial" w:hAnsi="Arial" w:cs="Arial"/>
          <w:sz w:val="22"/>
          <w:szCs w:val="22"/>
        </w:rPr>
        <w:t>Fue agregado un numeral 3, al artículo 14, del artículo 4 del proyecto de ley, con el siguiente texto:</w:t>
      </w:r>
    </w:p>
    <w:p w14:paraId="710AF7E5" w14:textId="77777777" w:rsidR="0050054A" w:rsidRDefault="0050054A" w:rsidP="00F63BE4">
      <w:pPr>
        <w:tabs>
          <w:tab w:val="left" w:pos="1134"/>
        </w:tabs>
        <w:spacing w:line="276" w:lineRule="auto"/>
        <w:ind w:right="142" w:firstLine="1701"/>
        <w:jc w:val="both"/>
        <w:rPr>
          <w:rFonts w:ascii="Arial" w:hAnsi="Arial" w:cs="Arial"/>
          <w:sz w:val="22"/>
          <w:szCs w:val="22"/>
        </w:rPr>
      </w:pPr>
      <w:r w:rsidRPr="0050054A">
        <w:rPr>
          <w:rFonts w:ascii="Arial" w:hAnsi="Arial" w:cs="Arial"/>
          <w:sz w:val="22"/>
          <w:szCs w:val="22"/>
        </w:rPr>
        <w:t>“3. Haber iniciado actividades de forma previa a la fecha de publicación de esta ley.”</w:t>
      </w:r>
    </w:p>
    <w:p w14:paraId="4CD4F457" w14:textId="77777777" w:rsidR="0050054A" w:rsidRPr="0024379A" w:rsidRDefault="0096238E" w:rsidP="00F63BE4">
      <w:pPr>
        <w:tabs>
          <w:tab w:val="left" w:pos="1134"/>
        </w:tabs>
        <w:spacing w:line="276" w:lineRule="auto"/>
        <w:ind w:right="142" w:firstLine="1701"/>
        <w:jc w:val="both"/>
        <w:rPr>
          <w:rFonts w:ascii="Arial" w:hAnsi="Arial" w:cs="Arial"/>
          <w:sz w:val="22"/>
          <w:szCs w:val="22"/>
        </w:rPr>
      </w:pPr>
      <w:r>
        <w:rPr>
          <w:rFonts w:ascii="Arial" w:hAnsi="Arial" w:cs="Arial"/>
          <w:sz w:val="22"/>
          <w:szCs w:val="22"/>
        </w:rPr>
        <w:t>1.-</w:t>
      </w:r>
      <w:r w:rsidR="0050054A">
        <w:rPr>
          <w:rFonts w:ascii="Arial" w:hAnsi="Arial" w:cs="Arial"/>
          <w:sz w:val="22"/>
          <w:szCs w:val="22"/>
        </w:rPr>
        <w:t xml:space="preserve">Fue agregado </w:t>
      </w:r>
      <w:r w:rsidR="0050054A" w:rsidRPr="0050054A">
        <w:rPr>
          <w:rFonts w:ascii="Arial" w:hAnsi="Arial" w:cs="Arial"/>
          <w:sz w:val="22"/>
          <w:szCs w:val="22"/>
        </w:rPr>
        <w:t xml:space="preserve">en el artículo 17, inciso primero, </w:t>
      </w:r>
      <w:r w:rsidR="0050054A">
        <w:rPr>
          <w:rFonts w:ascii="Arial" w:hAnsi="Arial" w:cs="Arial"/>
          <w:sz w:val="22"/>
          <w:szCs w:val="22"/>
        </w:rPr>
        <w:t xml:space="preserve">del artículo 4 del proyecto de ley, </w:t>
      </w:r>
      <w:r w:rsidR="0050054A" w:rsidRPr="0050054A">
        <w:rPr>
          <w:rFonts w:ascii="Arial" w:hAnsi="Arial" w:cs="Arial"/>
          <w:sz w:val="22"/>
          <w:szCs w:val="22"/>
        </w:rPr>
        <w:t>a continuación de la expresión</w:t>
      </w:r>
      <w:r w:rsidR="003633B6">
        <w:rPr>
          <w:rFonts w:ascii="Arial" w:hAnsi="Arial" w:cs="Arial"/>
          <w:sz w:val="22"/>
          <w:szCs w:val="22"/>
        </w:rPr>
        <w:t xml:space="preserve"> </w:t>
      </w:r>
      <w:r w:rsidR="004821F2">
        <w:rPr>
          <w:rFonts w:ascii="Arial" w:hAnsi="Arial" w:cs="Arial"/>
          <w:sz w:val="22"/>
          <w:szCs w:val="22"/>
        </w:rPr>
        <w:t>“</w:t>
      </w:r>
      <w:r w:rsidR="0050054A" w:rsidRPr="0050054A">
        <w:rPr>
          <w:rFonts w:ascii="Arial" w:hAnsi="Arial" w:cs="Arial"/>
          <w:sz w:val="22"/>
          <w:szCs w:val="22"/>
        </w:rPr>
        <w:t>Mipyme donataria” la frase “y del donante”.</w:t>
      </w:r>
    </w:p>
    <w:p w14:paraId="20AE9A07" w14:textId="77777777" w:rsidR="0024379A" w:rsidRDefault="0024379A" w:rsidP="00F63BE4">
      <w:pPr>
        <w:tabs>
          <w:tab w:val="left" w:pos="1134"/>
        </w:tabs>
        <w:spacing w:line="276" w:lineRule="auto"/>
        <w:ind w:right="142" w:firstLine="1701"/>
        <w:jc w:val="both"/>
        <w:rPr>
          <w:rFonts w:ascii="Arial" w:hAnsi="Arial" w:cs="Arial"/>
          <w:sz w:val="22"/>
          <w:szCs w:val="22"/>
        </w:rPr>
      </w:pPr>
    </w:p>
    <w:p w14:paraId="6557D203" w14:textId="77777777" w:rsidR="005800F7" w:rsidRPr="001C44DC" w:rsidRDefault="0096238E" w:rsidP="00F63BE4">
      <w:pPr>
        <w:tabs>
          <w:tab w:val="left" w:pos="1134"/>
        </w:tabs>
        <w:spacing w:line="276" w:lineRule="auto"/>
        <w:ind w:right="142" w:firstLine="1701"/>
        <w:jc w:val="both"/>
        <w:rPr>
          <w:rFonts w:ascii="Arial" w:hAnsi="Arial" w:cs="Arial"/>
          <w:sz w:val="22"/>
          <w:szCs w:val="22"/>
        </w:rPr>
      </w:pPr>
      <w:r>
        <w:rPr>
          <w:rFonts w:ascii="Arial" w:hAnsi="Arial" w:cs="Arial"/>
          <w:sz w:val="22"/>
          <w:szCs w:val="22"/>
        </w:rPr>
        <w:t>7</w:t>
      </w:r>
      <w:r w:rsidR="0022154B" w:rsidRPr="001C44DC">
        <w:rPr>
          <w:rFonts w:ascii="Arial" w:hAnsi="Arial" w:cs="Arial"/>
          <w:sz w:val="22"/>
          <w:szCs w:val="22"/>
        </w:rPr>
        <w:t>.-</w:t>
      </w:r>
      <w:r w:rsidR="009523A2" w:rsidRPr="001C44DC">
        <w:rPr>
          <w:rFonts w:ascii="Arial" w:hAnsi="Arial" w:cs="Arial"/>
          <w:sz w:val="22"/>
          <w:szCs w:val="22"/>
        </w:rPr>
        <w:t xml:space="preserve"> </w:t>
      </w:r>
      <w:r w:rsidR="009523A2" w:rsidRPr="00056042">
        <w:rPr>
          <w:rFonts w:ascii="Arial" w:hAnsi="Arial" w:cs="Arial"/>
          <w:sz w:val="22"/>
          <w:szCs w:val="22"/>
          <w:u w:val="single"/>
        </w:rPr>
        <w:t>Diputado Informante</w:t>
      </w:r>
      <w:r w:rsidR="003A317B">
        <w:rPr>
          <w:rFonts w:ascii="Arial" w:hAnsi="Arial" w:cs="Arial"/>
          <w:sz w:val="22"/>
          <w:szCs w:val="22"/>
          <w:u w:val="single"/>
        </w:rPr>
        <w:t>:</w:t>
      </w:r>
      <w:r w:rsidR="00056042">
        <w:rPr>
          <w:rFonts w:ascii="Arial" w:hAnsi="Arial" w:cs="Arial"/>
          <w:sz w:val="22"/>
          <w:szCs w:val="22"/>
        </w:rPr>
        <w:t xml:space="preserve"> E</w:t>
      </w:r>
      <w:r w:rsidR="009523A2" w:rsidRPr="001C44DC">
        <w:rPr>
          <w:rFonts w:ascii="Arial" w:hAnsi="Arial" w:cs="Arial"/>
          <w:sz w:val="22"/>
          <w:szCs w:val="22"/>
        </w:rPr>
        <w:t xml:space="preserve">l </w:t>
      </w:r>
      <w:r w:rsidR="0022154B" w:rsidRPr="001C44DC">
        <w:rPr>
          <w:rFonts w:ascii="Arial" w:hAnsi="Arial" w:cs="Arial"/>
          <w:sz w:val="22"/>
          <w:szCs w:val="22"/>
        </w:rPr>
        <w:t xml:space="preserve">señor </w:t>
      </w:r>
      <w:r w:rsidR="00211E3A">
        <w:rPr>
          <w:rFonts w:ascii="Arial" w:hAnsi="Arial" w:cs="Arial"/>
          <w:sz w:val="22"/>
          <w:szCs w:val="22"/>
        </w:rPr>
        <w:t>Pablo Lorenzini Basso</w:t>
      </w:r>
      <w:r w:rsidR="00843684">
        <w:rPr>
          <w:rFonts w:ascii="Arial" w:hAnsi="Arial" w:cs="Arial"/>
          <w:sz w:val="22"/>
          <w:szCs w:val="22"/>
        </w:rPr>
        <w:t>.</w:t>
      </w:r>
    </w:p>
    <w:p w14:paraId="7520A443" w14:textId="77777777" w:rsidR="00056042" w:rsidRDefault="00056042" w:rsidP="00F63BE4">
      <w:pPr>
        <w:tabs>
          <w:tab w:val="left" w:pos="1134"/>
        </w:tabs>
        <w:spacing w:line="276" w:lineRule="auto"/>
        <w:ind w:right="142"/>
        <w:jc w:val="center"/>
        <w:rPr>
          <w:rFonts w:ascii="Arial" w:hAnsi="Arial" w:cs="Arial"/>
          <w:sz w:val="22"/>
          <w:szCs w:val="22"/>
        </w:rPr>
      </w:pPr>
    </w:p>
    <w:p w14:paraId="004AA31E" w14:textId="77777777" w:rsidR="005800F7" w:rsidRPr="001C44DC" w:rsidRDefault="005800F7" w:rsidP="00F63BE4">
      <w:pPr>
        <w:tabs>
          <w:tab w:val="left" w:pos="1134"/>
        </w:tabs>
        <w:spacing w:line="276" w:lineRule="auto"/>
        <w:ind w:right="142"/>
        <w:jc w:val="center"/>
        <w:rPr>
          <w:rFonts w:ascii="Arial" w:hAnsi="Arial" w:cs="Arial"/>
          <w:sz w:val="22"/>
          <w:szCs w:val="22"/>
        </w:rPr>
      </w:pPr>
      <w:r w:rsidRPr="001C44DC">
        <w:rPr>
          <w:rFonts w:ascii="Arial" w:hAnsi="Arial" w:cs="Arial"/>
          <w:sz w:val="22"/>
          <w:szCs w:val="22"/>
        </w:rPr>
        <w:t>*******</w:t>
      </w:r>
    </w:p>
    <w:p w14:paraId="4A606447" w14:textId="77777777" w:rsidR="00901E28" w:rsidRPr="001C44DC" w:rsidRDefault="00901E28" w:rsidP="00F63BE4">
      <w:pPr>
        <w:tabs>
          <w:tab w:val="left" w:pos="1134"/>
        </w:tabs>
        <w:spacing w:line="276" w:lineRule="auto"/>
        <w:ind w:right="142" w:firstLine="1701"/>
        <w:jc w:val="both"/>
        <w:rPr>
          <w:rFonts w:ascii="Arial" w:hAnsi="Arial" w:cs="Arial"/>
          <w:sz w:val="22"/>
          <w:szCs w:val="22"/>
        </w:rPr>
      </w:pPr>
    </w:p>
    <w:p w14:paraId="6EF3E257" w14:textId="77777777" w:rsidR="00875C22" w:rsidRDefault="00875C22" w:rsidP="00F63BE4">
      <w:pPr>
        <w:pStyle w:val="Sinespaciado"/>
        <w:spacing w:line="276" w:lineRule="auto"/>
        <w:ind w:right="142" w:firstLine="1701"/>
        <w:jc w:val="both"/>
        <w:rPr>
          <w:rFonts w:ascii="Arial" w:hAnsi="Arial" w:cs="Arial"/>
          <w:lang w:val="es-ES"/>
        </w:rPr>
      </w:pPr>
    </w:p>
    <w:p w14:paraId="1D3F1713" w14:textId="77777777" w:rsidR="003302AA" w:rsidRDefault="003302AA" w:rsidP="003302AA">
      <w:pPr>
        <w:pStyle w:val="Sinespaciado"/>
        <w:spacing w:line="276" w:lineRule="auto"/>
        <w:jc w:val="both"/>
        <w:rPr>
          <w:rFonts w:ascii="Arial" w:hAnsi="Arial" w:cs="Arial"/>
          <w:b/>
          <w:bCs/>
          <w:iCs/>
          <w:lang w:val="es-MX"/>
        </w:rPr>
      </w:pPr>
      <w:r w:rsidRPr="00547DE3">
        <w:rPr>
          <w:rFonts w:ascii="Arial" w:hAnsi="Arial" w:cs="Arial"/>
          <w:b/>
          <w:bCs/>
          <w:iCs/>
          <w:lang w:val="es-MX"/>
        </w:rPr>
        <w:t>INCIDENCIA EN MATERIA FINANCIERA O PRESUPUESTARIA DEL ESTADO</w:t>
      </w:r>
    </w:p>
    <w:p w14:paraId="1864E3EF" w14:textId="77777777" w:rsidR="003302AA" w:rsidRDefault="003302AA" w:rsidP="003302AA">
      <w:pPr>
        <w:pStyle w:val="Sinespaciado"/>
        <w:spacing w:line="276" w:lineRule="auto"/>
        <w:ind w:firstLine="1701"/>
        <w:jc w:val="both"/>
        <w:rPr>
          <w:rFonts w:ascii="Arial" w:hAnsi="Arial" w:cs="Arial"/>
          <w:b/>
          <w:bCs/>
          <w:iCs/>
          <w:lang w:val="es-MX"/>
        </w:rPr>
      </w:pPr>
    </w:p>
    <w:p w14:paraId="71890BDB" w14:textId="77777777" w:rsidR="003302AA" w:rsidRPr="00477F67" w:rsidRDefault="003302AA" w:rsidP="003302AA">
      <w:pPr>
        <w:pStyle w:val="Sinespaciado"/>
        <w:spacing w:line="276" w:lineRule="auto"/>
        <w:ind w:firstLine="1701"/>
        <w:jc w:val="both"/>
        <w:rPr>
          <w:rFonts w:ascii="Arial" w:hAnsi="Arial" w:cs="Arial"/>
          <w:bCs/>
          <w:iCs/>
          <w:lang w:val="es-MX"/>
        </w:rPr>
      </w:pPr>
      <w:r w:rsidRPr="00477F67">
        <w:rPr>
          <w:rFonts w:ascii="Arial" w:hAnsi="Arial" w:cs="Arial"/>
          <w:bCs/>
          <w:iCs/>
          <w:lang w:val="es-MX"/>
        </w:rPr>
        <w:t xml:space="preserve">El </w:t>
      </w:r>
      <w:r>
        <w:rPr>
          <w:rFonts w:ascii="Arial" w:hAnsi="Arial" w:cs="Arial"/>
          <w:bCs/>
          <w:iCs/>
          <w:lang w:val="es-MX"/>
        </w:rPr>
        <w:t>informe financiero N°217 de 11 de diciembre que acompaña el proyecto de ley a su ingreso, elaborado por la Dirección de Presupuestos entrega los siguientes antecedentes:</w:t>
      </w:r>
    </w:p>
    <w:p w14:paraId="3198CE11" w14:textId="77777777" w:rsidR="003302AA" w:rsidRPr="00547DE3" w:rsidRDefault="003302AA" w:rsidP="003302AA">
      <w:pPr>
        <w:pStyle w:val="Sinespaciado"/>
        <w:spacing w:line="276" w:lineRule="auto"/>
        <w:ind w:firstLine="708"/>
        <w:jc w:val="both"/>
        <w:rPr>
          <w:rFonts w:ascii="Arial" w:hAnsi="Arial" w:cs="Arial"/>
          <w:b/>
          <w:bCs/>
          <w:iCs/>
          <w:lang w:val="es-MX"/>
        </w:rPr>
      </w:pPr>
    </w:p>
    <w:p w14:paraId="4E261F3E" w14:textId="77777777" w:rsidR="003302AA" w:rsidRPr="00956644" w:rsidRDefault="003302AA" w:rsidP="003302AA">
      <w:pPr>
        <w:pStyle w:val="Sinespaciado"/>
        <w:spacing w:line="276" w:lineRule="auto"/>
        <w:ind w:firstLine="1701"/>
        <w:jc w:val="both"/>
        <w:rPr>
          <w:rFonts w:ascii="Arial" w:hAnsi="Arial" w:cs="Arial"/>
          <w:b/>
          <w:i/>
        </w:rPr>
      </w:pPr>
      <w:r w:rsidRPr="00956644">
        <w:rPr>
          <w:rFonts w:ascii="Arial" w:hAnsi="Arial" w:cs="Arial"/>
          <w:b/>
          <w:i/>
        </w:rPr>
        <w:t xml:space="preserve">Postergación del pago de IVA en los meses de octubre, noviembre </w:t>
      </w:r>
      <w:r>
        <w:rPr>
          <w:rFonts w:ascii="Arial" w:hAnsi="Arial" w:cs="Arial"/>
          <w:b/>
          <w:i/>
        </w:rPr>
        <w:t>y</w:t>
      </w:r>
      <w:r w:rsidRPr="00956644">
        <w:rPr>
          <w:rFonts w:ascii="Arial" w:hAnsi="Arial" w:cs="Arial"/>
          <w:b/>
          <w:i/>
        </w:rPr>
        <w:t xml:space="preserve"> diciembre </w:t>
      </w:r>
    </w:p>
    <w:p w14:paraId="278968CA" w14:textId="77777777" w:rsidR="003302AA" w:rsidRPr="00956644" w:rsidRDefault="003302AA" w:rsidP="003302AA">
      <w:pPr>
        <w:pStyle w:val="Sinespaciado"/>
        <w:spacing w:line="276" w:lineRule="auto"/>
        <w:ind w:firstLine="1701"/>
        <w:jc w:val="both"/>
        <w:rPr>
          <w:rFonts w:ascii="Arial" w:hAnsi="Arial" w:cs="Arial"/>
        </w:rPr>
      </w:pPr>
      <w:r w:rsidRPr="00956644">
        <w:rPr>
          <w:rFonts w:ascii="Arial" w:hAnsi="Arial" w:cs="Arial"/>
        </w:rPr>
        <w:t xml:space="preserve">De acuerdo con el </w:t>
      </w:r>
      <w:r>
        <w:rPr>
          <w:rFonts w:ascii="Arial" w:hAnsi="Arial" w:cs="Arial"/>
        </w:rPr>
        <w:t>p</w:t>
      </w:r>
      <w:r w:rsidRPr="00956644">
        <w:rPr>
          <w:rFonts w:ascii="Arial" w:hAnsi="Arial" w:cs="Arial"/>
        </w:rPr>
        <w:t xml:space="preserve">royecto de </w:t>
      </w:r>
      <w:r>
        <w:rPr>
          <w:rFonts w:ascii="Arial" w:hAnsi="Arial" w:cs="Arial"/>
        </w:rPr>
        <w:t>l</w:t>
      </w:r>
      <w:r w:rsidRPr="00956644">
        <w:rPr>
          <w:rFonts w:ascii="Arial" w:hAnsi="Arial" w:cs="Arial"/>
        </w:rPr>
        <w:t xml:space="preserve">ey, las Mipymes que realicen </w:t>
      </w:r>
      <w:r>
        <w:rPr>
          <w:rFonts w:ascii="Arial" w:hAnsi="Arial" w:cs="Arial"/>
        </w:rPr>
        <w:t>ú</w:t>
      </w:r>
      <w:r w:rsidRPr="00956644">
        <w:rPr>
          <w:rFonts w:ascii="Arial" w:hAnsi="Arial" w:cs="Arial"/>
        </w:rPr>
        <w:t xml:space="preserve">nicamente operaciones en que deban emitir boletas conforme con el artículo 53 de </w:t>
      </w:r>
      <w:r>
        <w:rPr>
          <w:rFonts w:ascii="Arial" w:hAnsi="Arial" w:cs="Arial"/>
        </w:rPr>
        <w:t>la</w:t>
      </w:r>
      <w:r w:rsidRPr="00956644">
        <w:rPr>
          <w:rFonts w:ascii="Arial" w:hAnsi="Arial" w:cs="Arial"/>
        </w:rPr>
        <w:t xml:space="preserve"> Ley s</w:t>
      </w:r>
      <w:r>
        <w:rPr>
          <w:rFonts w:ascii="Arial" w:hAnsi="Arial" w:cs="Arial"/>
        </w:rPr>
        <w:t>o</w:t>
      </w:r>
      <w:r w:rsidRPr="00956644">
        <w:rPr>
          <w:rFonts w:ascii="Arial" w:hAnsi="Arial" w:cs="Arial"/>
        </w:rPr>
        <w:t>bre Impuesto a las Ventas y Servicios, podrán postergar el pago en un 50%.</w:t>
      </w:r>
    </w:p>
    <w:p w14:paraId="5D85CA00" w14:textId="77777777" w:rsidR="003302AA" w:rsidRPr="00956644" w:rsidRDefault="003302AA" w:rsidP="003302AA">
      <w:pPr>
        <w:pStyle w:val="Sinespaciado"/>
        <w:spacing w:line="276" w:lineRule="auto"/>
        <w:ind w:firstLine="1701"/>
        <w:jc w:val="both"/>
        <w:rPr>
          <w:rFonts w:ascii="Arial" w:hAnsi="Arial" w:cs="Arial"/>
        </w:rPr>
      </w:pPr>
      <w:r>
        <w:rPr>
          <w:rFonts w:ascii="Arial" w:hAnsi="Arial" w:cs="Arial"/>
        </w:rPr>
        <w:t>En base a informació</w:t>
      </w:r>
      <w:r w:rsidRPr="00956644">
        <w:rPr>
          <w:rFonts w:ascii="Arial" w:hAnsi="Arial" w:cs="Arial"/>
        </w:rPr>
        <w:t xml:space="preserve">n del </w:t>
      </w:r>
      <w:proofErr w:type="spellStart"/>
      <w:r w:rsidRPr="00956644">
        <w:rPr>
          <w:rFonts w:ascii="Arial" w:hAnsi="Arial" w:cs="Arial"/>
        </w:rPr>
        <w:t>Sl</w:t>
      </w:r>
      <w:r>
        <w:rPr>
          <w:rFonts w:ascii="Arial" w:hAnsi="Arial" w:cs="Arial"/>
        </w:rPr>
        <w:t>I</w:t>
      </w:r>
      <w:proofErr w:type="spellEnd"/>
      <w:r w:rsidRPr="00956644">
        <w:rPr>
          <w:rFonts w:ascii="Arial" w:hAnsi="Arial" w:cs="Arial"/>
        </w:rPr>
        <w:t xml:space="preserve"> respecto </w:t>
      </w:r>
      <w:r>
        <w:rPr>
          <w:rFonts w:ascii="Arial" w:hAnsi="Arial" w:cs="Arial"/>
        </w:rPr>
        <w:t>del IVA pagado en promedio los ú</w:t>
      </w:r>
      <w:r w:rsidRPr="00956644">
        <w:rPr>
          <w:rFonts w:ascii="Arial" w:hAnsi="Arial" w:cs="Arial"/>
        </w:rPr>
        <w:t xml:space="preserve">ltimos 12 meses por estas Mipymes, la menor recaudación en noviembre, diciembre y enero como consecuencia de postergar el pago de este impuesto podría </w:t>
      </w:r>
      <w:r>
        <w:rPr>
          <w:rFonts w:ascii="Arial" w:hAnsi="Arial" w:cs="Arial"/>
        </w:rPr>
        <w:t>llegar</w:t>
      </w:r>
      <w:r w:rsidRPr="00956644">
        <w:rPr>
          <w:rFonts w:ascii="Arial" w:hAnsi="Arial" w:cs="Arial"/>
        </w:rPr>
        <w:t xml:space="preserve"> hasta US$ 42,2 millones.</w:t>
      </w:r>
    </w:p>
    <w:p w14:paraId="70A339D0" w14:textId="77777777" w:rsidR="003302AA" w:rsidRDefault="003302AA" w:rsidP="003302AA">
      <w:pPr>
        <w:pStyle w:val="Sinespaciado"/>
        <w:spacing w:line="276" w:lineRule="auto"/>
        <w:ind w:firstLine="1701"/>
        <w:jc w:val="both"/>
        <w:rPr>
          <w:rFonts w:ascii="Arial" w:hAnsi="Arial" w:cs="Arial"/>
        </w:rPr>
      </w:pPr>
      <w:r w:rsidRPr="00956644">
        <w:rPr>
          <w:rFonts w:ascii="Arial" w:hAnsi="Arial" w:cs="Arial"/>
        </w:rPr>
        <w:t>Para las demás Mipymes, habrá que observar si estas experimentaron en el mes de octubre una disminuci6n en su facturación mayor al 10% respecto del promedio de lo facturado los últimos 12 meses. De ser así, podrán postergar su pago de IVA de acuerdo con lo expuesto en el Cuadro N° 1.</w:t>
      </w:r>
    </w:p>
    <w:p w14:paraId="40EDDC45" w14:textId="77777777" w:rsidR="003302AA" w:rsidRPr="00956644" w:rsidRDefault="003302AA" w:rsidP="003302AA">
      <w:pPr>
        <w:pStyle w:val="Sinespaciado"/>
        <w:spacing w:line="276" w:lineRule="auto"/>
        <w:ind w:firstLine="708"/>
        <w:jc w:val="both"/>
        <w:rPr>
          <w:rFonts w:ascii="Arial" w:hAnsi="Arial" w:cs="Arial"/>
        </w:rPr>
      </w:pPr>
    </w:p>
    <w:p w14:paraId="002818B7" w14:textId="77777777" w:rsidR="003302AA" w:rsidRDefault="003302AA" w:rsidP="003302AA">
      <w:pPr>
        <w:pStyle w:val="Sinespaciado"/>
        <w:spacing w:line="276" w:lineRule="auto"/>
        <w:ind w:firstLine="708"/>
        <w:jc w:val="both"/>
        <w:rPr>
          <w:rFonts w:ascii="Arial" w:hAnsi="Arial" w:cs="Arial"/>
          <w:u w:val="single"/>
        </w:rPr>
      </w:pPr>
    </w:p>
    <w:p w14:paraId="1D48C933" w14:textId="77777777" w:rsidR="003302AA" w:rsidRPr="009D6A9B" w:rsidRDefault="003302AA" w:rsidP="003302AA">
      <w:pPr>
        <w:pStyle w:val="Sinespaciado"/>
        <w:spacing w:line="276" w:lineRule="auto"/>
        <w:ind w:firstLine="708"/>
        <w:jc w:val="both"/>
        <w:rPr>
          <w:rFonts w:ascii="Arial" w:hAnsi="Arial" w:cs="Arial"/>
          <w:u w:val="single"/>
        </w:rPr>
      </w:pPr>
      <w:r w:rsidRPr="009D6A9B">
        <w:rPr>
          <w:rFonts w:ascii="Arial" w:hAnsi="Arial" w:cs="Arial"/>
          <w:u w:val="single"/>
        </w:rPr>
        <w:t>Cuadro N° 1: Beneficio de postergación del pago de IVA, según caída en la facturación de octubre 2019 respecto al promedio de los 12 meses previos</w:t>
      </w:r>
    </w:p>
    <w:p w14:paraId="0C5B5D28" w14:textId="77777777" w:rsidR="003302AA" w:rsidRPr="009D6A9B" w:rsidRDefault="003302AA" w:rsidP="003302AA">
      <w:pPr>
        <w:pStyle w:val="Sinespaciado"/>
        <w:spacing w:line="276" w:lineRule="auto"/>
        <w:ind w:firstLine="708"/>
        <w:jc w:val="both"/>
        <w:rPr>
          <w:rFonts w:ascii="Arial" w:hAnsi="Arial" w:cs="Arial"/>
        </w:rPr>
      </w:pPr>
    </w:p>
    <w:tbl>
      <w:tblPr>
        <w:tblW w:w="0" w:type="auto"/>
        <w:tblInd w:w="2474" w:type="dxa"/>
        <w:tblLayout w:type="fixed"/>
        <w:tblCellMar>
          <w:left w:w="0" w:type="dxa"/>
          <w:right w:w="0" w:type="dxa"/>
        </w:tblCellMar>
        <w:tblLook w:val="04A0" w:firstRow="1" w:lastRow="0" w:firstColumn="1" w:lastColumn="0" w:noHBand="0" w:noVBand="1"/>
      </w:tblPr>
      <w:tblGrid>
        <w:gridCol w:w="2149"/>
        <w:gridCol w:w="1887"/>
      </w:tblGrid>
      <w:tr w:rsidR="003302AA" w:rsidRPr="00956644" w14:paraId="63D9E008" w14:textId="77777777" w:rsidTr="00A97BDE">
        <w:trPr>
          <w:trHeight w:hRule="exact" w:val="594"/>
        </w:trPr>
        <w:tc>
          <w:tcPr>
            <w:tcW w:w="2149" w:type="dxa"/>
            <w:tcBorders>
              <w:top w:val="single" w:sz="40" w:space="0" w:color="000000"/>
              <w:left w:val="single" w:sz="4" w:space="0" w:color="000000"/>
              <w:bottom w:val="none" w:sz="0" w:space="0" w:color="000000"/>
              <w:right w:val="none" w:sz="0" w:space="0" w:color="000000"/>
            </w:tcBorders>
            <w:shd w:val="clear" w:color="0468AF" w:fill="0468AF"/>
          </w:tcPr>
          <w:p w14:paraId="28118F2A" w14:textId="77777777" w:rsidR="003302AA" w:rsidRPr="00956644" w:rsidRDefault="003302AA" w:rsidP="00A97BDE">
            <w:pPr>
              <w:jc w:val="center"/>
              <w:rPr>
                <w:rFonts w:ascii="Tahoma" w:hAnsi="Tahoma"/>
                <w:b/>
                <w:color w:val="EDF3F7"/>
                <w:sz w:val="16"/>
                <w:lang w:val="es-ES"/>
              </w:rPr>
            </w:pPr>
            <w:r w:rsidRPr="00956644">
              <w:rPr>
                <w:rFonts w:ascii="Tahoma" w:hAnsi="Tahoma"/>
                <w:b/>
                <w:color w:val="EDF3F7"/>
                <w:sz w:val="16"/>
                <w:lang w:val="es-ES"/>
              </w:rPr>
              <w:t>Porcentaje de caída</w:t>
            </w:r>
            <w:r>
              <w:rPr>
                <w:rFonts w:ascii="Tahoma" w:hAnsi="Tahoma"/>
                <w:b/>
                <w:color w:val="EDF3F7"/>
                <w:sz w:val="16"/>
                <w:lang w:val="es-ES"/>
              </w:rPr>
              <w:t xml:space="preserve"> </w:t>
            </w:r>
            <w:r>
              <w:rPr>
                <w:rFonts w:ascii="Tahoma" w:hAnsi="Tahoma"/>
                <w:b/>
                <w:color w:val="EDF3F7"/>
                <w:sz w:val="16"/>
                <w:lang w:val="es-ES"/>
              </w:rPr>
              <w:br/>
              <w:t>en l</w:t>
            </w:r>
            <w:r w:rsidRPr="00956644">
              <w:rPr>
                <w:rFonts w:ascii="Tahoma" w:hAnsi="Tahoma"/>
                <w:b/>
                <w:color w:val="EDF3F7"/>
                <w:sz w:val="16"/>
                <w:lang w:val="es-ES"/>
              </w:rPr>
              <w:t xml:space="preserve">a </w:t>
            </w:r>
            <w:r>
              <w:rPr>
                <w:rFonts w:ascii="Tahoma" w:hAnsi="Tahoma"/>
                <w:b/>
                <w:color w:val="EDF3F7"/>
                <w:sz w:val="16"/>
                <w:lang w:val="es-ES"/>
              </w:rPr>
              <w:t>facturación</w:t>
            </w:r>
          </w:p>
        </w:tc>
        <w:tc>
          <w:tcPr>
            <w:tcW w:w="1887" w:type="dxa"/>
            <w:tcBorders>
              <w:top w:val="single" w:sz="40" w:space="0" w:color="000000"/>
              <w:left w:val="none" w:sz="0" w:space="0" w:color="000000"/>
              <w:bottom w:val="none" w:sz="0" w:space="0" w:color="000000"/>
              <w:right w:val="single" w:sz="4" w:space="0" w:color="000000"/>
            </w:tcBorders>
            <w:shd w:val="clear" w:color="0468AF" w:fill="0468AF"/>
          </w:tcPr>
          <w:p w14:paraId="44AE0A9C" w14:textId="77777777" w:rsidR="003302AA" w:rsidRPr="00956644" w:rsidRDefault="003302AA" w:rsidP="00A97BDE">
            <w:pPr>
              <w:jc w:val="center"/>
              <w:rPr>
                <w:rFonts w:ascii="Tahoma" w:hAnsi="Tahoma"/>
                <w:b/>
                <w:color w:val="EDF3F7"/>
                <w:sz w:val="16"/>
                <w:lang w:val="en-US"/>
              </w:rPr>
            </w:pPr>
            <w:r w:rsidRPr="00956644">
              <w:rPr>
                <w:rFonts w:ascii="Tahoma" w:hAnsi="Tahoma"/>
                <w:b/>
                <w:color w:val="EDF3F7"/>
                <w:sz w:val="16"/>
                <w:lang w:val="en-US"/>
              </w:rPr>
              <w:t>Percentage</w:t>
            </w:r>
            <w:r>
              <w:rPr>
                <w:rFonts w:ascii="Tahoma" w:hAnsi="Tahoma"/>
                <w:b/>
                <w:color w:val="EDF3F7"/>
                <w:sz w:val="16"/>
                <w:lang w:val="en-US"/>
              </w:rPr>
              <w:t xml:space="preserve"> de </w:t>
            </w:r>
            <w:r>
              <w:rPr>
                <w:rFonts w:ascii="Tahoma" w:hAnsi="Tahoma"/>
                <w:b/>
                <w:color w:val="EDF3F7"/>
                <w:sz w:val="16"/>
                <w:lang w:val="en-US"/>
              </w:rPr>
              <w:br/>
            </w:r>
            <w:proofErr w:type="spellStart"/>
            <w:r>
              <w:rPr>
                <w:rFonts w:ascii="Tahoma" w:hAnsi="Tahoma"/>
                <w:b/>
                <w:color w:val="EDF3F7"/>
                <w:sz w:val="16"/>
                <w:lang w:val="en-US"/>
              </w:rPr>
              <w:t>postergació</w:t>
            </w:r>
            <w:r w:rsidRPr="00956644">
              <w:rPr>
                <w:rFonts w:ascii="Tahoma" w:hAnsi="Tahoma"/>
                <w:b/>
                <w:color w:val="EDF3F7"/>
                <w:sz w:val="16"/>
                <w:lang w:val="en-US"/>
              </w:rPr>
              <w:t>n</w:t>
            </w:r>
            <w:proofErr w:type="spellEnd"/>
          </w:p>
        </w:tc>
      </w:tr>
      <w:tr w:rsidR="003302AA" w:rsidRPr="00956644" w14:paraId="7CB09BAF" w14:textId="77777777" w:rsidTr="00A97BDE">
        <w:trPr>
          <w:trHeight w:hRule="exact" w:val="263"/>
        </w:trPr>
        <w:tc>
          <w:tcPr>
            <w:tcW w:w="2149" w:type="dxa"/>
            <w:tcBorders>
              <w:top w:val="none" w:sz="0" w:space="0" w:color="000000"/>
              <w:left w:val="single" w:sz="4" w:space="0" w:color="000000"/>
              <w:bottom w:val="single" w:sz="4" w:space="0" w:color="000000"/>
              <w:right w:val="none" w:sz="0" w:space="0" w:color="000000"/>
            </w:tcBorders>
            <w:vAlign w:val="center"/>
          </w:tcPr>
          <w:p w14:paraId="3874792F" w14:textId="77777777" w:rsidR="003302AA" w:rsidRPr="00956644" w:rsidRDefault="003302AA" w:rsidP="00A97BDE">
            <w:pPr>
              <w:jc w:val="center"/>
              <w:rPr>
                <w:rFonts w:ascii="Tahoma" w:hAnsi="Tahoma"/>
                <w:b/>
                <w:color w:val="000000"/>
                <w:spacing w:val="-6"/>
                <w:sz w:val="17"/>
                <w:lang w:val="en-US"/>
              </w:rPr>
            </w:pPr>
            <w:r w:rsidRPr="00956644">
              <w:rPr>
                <w:rFonts w:ascii="Tahoma" w:hAnsi="Tahoma"/>
                <w:b/>
                <w:color w:val="000000"/>
                <w:spacing w:val="-6"/>
                <w:sz w:val="17"/>
                <w:lang w:val="en-US"/>
              </w:rPr>
              <w:t>0%— 10%</w:t>
            </w:r>
          </w:p>
        </w:tc>
        <w:tc>
          <w:tcPr>
            <w:tcW w:w="1887" w:type="dxa"/>
            <w:tcBorders>
              <w:top w:val="none" w:sz="0" w:space="0" w:color="000000"/>
              <w:left w:val="none" w:sz="0" w:space="0" w:color="000000"/>
              <w:bottom w:val="single" w:sz="4" w:space="0" w:color="000000"/>
              <w:right w:val="single" w:sz="4" w:space="0" w:color="000000"/>
            </w:tcBorders>
            <w:vAlign w:val="center"/>
          </w:tcPr>
          <w:p w14:paraId="6759D797" w14:textId="77777777" w:rsidR="003302AA" w:rsidRPr="00956644" w:rsidRDefault="003302AA" w:rsidP="00A97BDE">
            <w:pPr>
              <w:jc w:val="center"/>
              <w:rPr>
                <w:rFonts w:ascii="Tahoma" w:hAnsi="Tahoma"/>
                <w:b/>
                <w:color w:val="000000"/>
                <w:sz w:val="17"/>
                <w:lang w:val="en-US"/>
              </w:rPr>
            </w:pPr>
            <w:r w:rsidRPr="00956644">
              <w:rPr>
                <w:rFonts w:ascii="Tahoma" w:hAnsi="Tahoma"/>
                <w:b/>
                <w:color w:val="000000"/>
                <w:sz w:val="17"/>
                <w:lang w:val="en-US"/>
              </w:rPr>
              <w:t>0%</w:t>
            </w:r>
          </w:p>
        </w:tc>
      </w:tr>
      <w:tr w:rsidR="003302AA" w:rsidRPr="00956644" w14:paraId="7C280809" w14:textId="77777777" w:rsidTr="00A97BDE">
        <w:trPr>
          <w:trHeight w:hRule="exact" w:val="295"/>
        </w:trPr>
        <w:tc>
          <w:tcPr>
            <w:tcW w:w="2149" w:type="dxa"/>
            <w:tcBorders>
              <w:top w:val="single" w:sz="4" w:space="0" w:color="000000"/>
              <w:left w:val="single" w:sz="4" w:space="0" w:color="000000"/>
              <w:bottom w:val="single" w:sz="4" w:space="0" w:color="000000"/>
              <w:right w:val="none" w:sz="0" w:space="0" w:color="000000"/>
            </w:tcBorders>
            <w:vAlign w:val="center"/>
          </w:tcPr>
          <w:p w14:paraId="1E5194FE" w14:textId="77777777" w:rsidR="003302AA" w:rsidRPr="00956644" w:rsidRDefault="003302AA" w:rsidP="00A97BDE">
            <w:pPr>
              <w:jc w:val="center"/>
              <w:rPr>
                <w:rFonts w:ascii="Tahoma" w:hAnsi="Tahoma"/>
                <w:b/>
                <w:color w:val="000000"/>
                <w:spacing w:val="-12"/>
                <w:sz w:val="17"/>
                <w:lang w:val="en-US"/>
              </w:rPr>
            </w:pPr>
            <w:r w:rsidRPr="00956644">
              <w:rPr>
                <w:rFonts w:ascii="Tahoma" w:hAnsi="Tahoma"/>
                <w:b/>
                <w:color w:val="000000"/>
                <w:spacing w:val="-12"/>
                <w:sz w:val="17"/>
                <w:lang w:val="en-US"/>
              </w:rPr>
              <w:t>10% — 30%</w:t>
            </w:r>
          </w:p>
        </w:tc>
        <w:tc>
          <w:tcPr>
            <w:tcW w:w="1887" w:type="dxa"/>
            <w:tcBorders>
              <w:top w:val="single" w:sz="4" w:space="0" w:color="000000"/>
              <w:left w:val="none" w:sz="0" w:space="0" w:color="000000"/>
              <w:bottom w:val="single" w:sz="4" w:space="0" w:color="000000"/>
              <w:right w:val="single" w:sz="4" w:space="0" w:color="000000"/>
            </w:tcBorders>
            <w:vAlign w:val="center"/>
          </w:tcPr>
          <w:p w14:paraId="3ACD9709" w14:textId="77777777" w:rsidR="003302AA" w:rsidRPr="00956644" w:rsidRDefault="003302AA" w:rsidP="00A97BDE">
            <w:pPr>
              <w:jc w:val="center"/>
              <w:rPr>
                <w:rFonts w:ascii="Tahoma" w:hAnsi="Tahoma"/>
                <w:b/>
                <w:color w:val="000000"/>
                <w:sz w:val="17"/>
                <w:lang w:val="en-US"/>
              </w:rPr>
            </w:pPr>
            <w:r w:rsidRPr="00956644">
              <w:rPr>
                <w:rFonts w:ascii="Tahoma" w:hAnsi="Tahoma"/>
                <w:b/>
                <w:color w:val="000000"/>
                <w:sz w:val="17"/>
                <w:lang w:val="en-US"/>
              </w:rPr>
              <w:t>20%</w:t>
            </w:r>
          </w:p>
        </w:tc>
      </w:tr>
      <w:tr w:rsidR="003302AA" w:rsidRPr="00956644" w14:paraId="73ECE197" w14:textId="77777777" w:rsidTr="00A97BDE">
        <w:trPr>
          <w:trHeight w:hRule="exact" w:val="288"/>
        </w:trPr>
        <w:tc>
          <w:tcPr>
            <w:tcW w:w="2149" w:type="dxa"/>
            <w:tcBorders>
              <w:top w:val="single" w:sz="4" w:space="0" w:color="000000"/>
              <w:left w:val="single" w:sz="4" w:space="0" w:color="000000"/>
              <w:bottom w:val="single" w:sz="4" w:space="0" w:color="000000"/>
              <w:right w:val="none" w:sz="0" w:space="0" w:color="000000"/>
            </w:tcBorders>
            <w:vAlign w:val="center"/>
          </w:tcPr>
          <w:p w14:paraId="26C94452" w14:textId="77777777" w:rsidR="003302AA" w:rsidRPr="00956644" w:rsidRDefault="003302AA" w:rsidP="00A97BDE">
            <w:pPr>
              <w:jc w:val="center"/>
              <w:rPr>
                <w:rFonts w:ascii="Tahoma" w:hAnsi="Tahoma"/>
                <w:b/>
                <w:color w:val="000000"/>
                <w:spacing w:val="-10"/>
                <w:sz w:val="17"/>
                <w:lang w:val="en-US"/>
              </w:rPr>
            </w:pPr>
            <w:r w:rsidRPr="00956644">
              <w:rPr>
                <w:rFonts w:ascii="Tahoma" w:hAnsi="Tahoma"/>
                <w:b/>
                <w:color w:val="000000"/>
                <w:spacing w:val="-10"/>
                <w:sz w:val="17"/>
                <w:lang w:val="en-US"/>
              </w:rPr>
              <w:t>30% — 50%</w:t>
            </w:r>
          </w:p>
        </w:tc>
        <w:tc>
          <w:tcPr>
            <w:tcW w:w="1887" w:type="dxa"/>
            <w:tcBorders>
              <w:top w:val="single" w:sz="4" w:space="0" w:color="000000"/>
              <w:left w:val="none" w:sz="0" w:space="0" w:color="000000"/>
              <w:bottom w:val="single" w:sz="4" w:space="0" w:color="000000"/>
              <w:right w:val="single" w:sz="4" w:space="0" w:color="000000"/>
            </w:tcBorders>
            <w:vAlign w:val="center"/>
          </w:tcPr>
          <w:p w14:paraId="124ECBCB" w14:textId="77777777" w:rsidR="003302AA" w:rsidRPr="00956644" w:rsidRDefault="003302AA" w:rsidP="00A97BDE">
            <w:pPr>
              <w:jc w:val="center"/>
              <w:rPr>
                <w:rFonts w:ascii="Tahoma" w:hAnsi="Tahoma"/>
                <w:b/>
                <w:color w:val="000000"/>
                <w:sz w:val="17"/>
                <w:lang w:val="en-US"/>
              </w:rPr>
            </w:pPr>
            <w:r w:rsidRPr="00956644">
              <w:rPr>
                <w:rFonts w:ascii="Tahoma" w:hAnsi="Tahoma"/>
                <w:b/>
                <w:color w:val="000000"/>
                <w:sz w:val="17"/>
                <w:lang w:val="en-US"/>
              </w:rPr>
              <w:t>40%</w:t>
            </w:r>
          </w:p>
        </w:tc>
      </w:tr>
      <w:tr w:rsidR="003302AA" w:rsidRPr="00956644" w14:paraId="10D213B6" w14:textId="77777777" w:rsidTr="00A97BDE">
        <w:trPr>
          <w:trHeight w:hRule="exact" w:val="288"/>
        </w:trPr>
        <w:tc>
          <w:tcPr>
            <w:tcW w:w="2149" w:type="dxa"/>
            <w:tcBorders>
              <w:top w:val="single" w:sz="4" w:space="0" w:color="000000"/>
              <w:left w:val="single" w:sz="4" w:space="0" w:color="000000"/>
              <w:bottom w:val="single" w:sz="4" w:space="0" w:color="000000"/>
              <w:right w:val="none" w:sz="0" w:space="0" w:color="000000"/>
            </w:tcBorders>
            <w:vAlign w:val="center"/>
          </w:tcPr>
          <w:p w14:paraId="61975C8F" w14:textId="77777777" w:rsidR="003302AA" w:rsidRPr="00956644" w:rsidRDefault="003302AA" w:rsidP="00A97BDE">
            <w:pPr>
              <w:jc w:val="center"/>
              <w:rPr>
                <w:rFonts w:ascii="Tahoma" w:hAnsi="Tahoma"/>
                <w:b/>
                <w:color w:val="000000"/>
                <w:spacing w:val="-12"/>
                <w:sz w:val="17"/>
                <w:lang w:val="en-US"/>
              </w:rPr>
            </w:pPr>
            <w:r w:rsidRPr="00956644">
              <w:rPr>
                <w:rFonts w:ascii="Tahoma" w:hAnsi="Tahoma"/>
                <w:b/>
                <w:color w:val="000000"/>
                <w:spacing w:val="-12"/>
                <w:sz w:val="17"/>
                <w:lang w:val="en-US"/>
              </w:rPr>
              <w:t>50% — 70%</w:t>
            </w:r>
          </w:p>
        </w:tc>
        <w:tc>
          <w:tcPr>
            <w:tcW w:w="1887" w:type="dxa"/>
            <w:tcBorders>
              <w:top w:val="single" w:sz="4" w:space="0" w:color="000000"/>
              <w:left w:val="none" w:sz="0" w:space="0" w:color="000000"/>
              <w:bottom w:val="single" w:sz="4" w:space="0" w:color="000000"/>
              <w:right w:val="single" w:sz="4" w:space="0" w:color="000000"/>
            </w:tcBorders>
            <w:vAlign w:val="center"/>
          </w:tcPr>
          <w:p w14:paraId="06C6B9C9" w14:textId="77777777" w:rsidR="003302AA" w:rsidRPr="00956644" w:rsidRDefault="003302AA" w:rsidP="00A97BDE">
            <w:pPr>
              <w:jc w:val="center"/>
              <w:rPr>
                <w:rFonts w:ascii="Tahoma" w:hAnsi="Tahoma"/>
                <w:b/>
                <w:color w:val="000000"/>
                <w:sz w:val="17"/>
                <w:lang w:val="en-US"/>
              </w:rPr>
            </w:pPr>
            <w:r w:rsidRPr="00956644">
              <w:rPr>
                <w:rFonts w:ascii="Tahoma" w:hAnsi="Tahoma"/>
                <w:b/>
                <w:color w:val="000000"/>
                <w:sz w:val="17"/>
                <w:lang w:val="en-US"/>
              </w:rPr>
              <w:t>60%</w:t>
            </w:r>
          </w:p>
        </w:tc>
      </w:tr>
      <w:tr w:rsidR="003302AA" w:rsidRPr="00956644" w14:paraId="7B66AA21" w14:textId="77777777" w:rsidTr="00A97BDE">
        <w:trPr>
          <w:trHeight w:hRule="exact" w:val="303"/>
        </w:trPr>
        <w:tc>
          <w:tcPr>
            <w:tcW w:w="2149" w:type="dxa"/>
            <w:tcBorders>
              <w:top w:val="single" w:sz="4" w:space="0" w:color="000000"/>
              <w:left w:val="single" w:sz="4" w:space="0" w:color="000000"/>
              <w:bottom w:val="single" w:sz="4" w:space="0" w:color="000000"/>
              <w:right w:val="none" w:sz="0" w:space="0" w:color="000000"/>
            </w:tcBorders>
            <w:vAlign w:val="center"/>
          </w:tcPr>
          <w:p w14:paraId="664AEFBA" w14:textId="77777777" w:rsidR="003302AA" w:rsidRPr="00956644" w:rsidRDefault="003302AA" w:rsidP="00A97BDE">
            <w:pPr>
              <w:jc w:val="center"/>
              <w:rPr>
                <w:rFonts w:ascii="Tahoma" w:hAnsi="Tahoma"/>
                <w:b/>
                <w:color w:val="000000"/>
                <w:spacing w:val="-12"/>
                <w:sz w:val="17"/>
                <w:lang w:val="en-US"/>
              </w:rPr>
            </w:pPr>
            <w:r w:rsidRPr="00956644">
              <w:rPr>
                <w:rFonts w:ascii="Tahoma" w:hAnsi="Tahoma"/>
                <w:b/>
                <w:color w:val="000000"/>
                <w:spacing w:val="-12"/>
                <w:sz w:val="17"/>
                <w:lang w:val="en-US"/>
              </w:rPr>
              <w:t>70% — 100%</w:t>
            </w:r>
          </w:p>
        </w:tc>
        <w:tc>
          <w:tcPr>
            <w:tcW w:w="1887" w:type="dxa"/>
            <w:tcBorders>
              <w:top w:val="single" w:sz="4" w:space="0" w:color="000000"/>
              <w:left w:val="none" w:sz="0" w:space="0" w:color="000000"/>
              <w:bottom w:val="single" w:sz="4" w:space="0" w:color="000000"/>
              <w:right w:val="single" w:sz="4" w:space="0" w:color="000000"/>
            </w:tcBorders>
            <w:vAlign w:val="center"/>
          </w:tcPr>
          <w:p w14:paraId="63DB9EC4" w14:textId="77777777" w:rsidR="003302AA" w:rsidRPr="00956644" w:rsidRDefault="003302AA" w:rsidP="00A97BDE">
            <w:pPr>
              <w:jc w:val="center"/>
              <w:rPr>
                <w:rFonts w:ascii="Tahoma" w:hAnsi="Tahoma"/>
                <w:b/>
                <w:color w:val="000000"/>
                <w:sz w:val="17"/>
                <w:lang w:val="en-US"/>
              </w:rPr>
            </w:pPr>
            <w:r w:rsidRPr="00956644">
              <w:rPr>
                <w:rFonts w:ascii="Tahoma" w:hAnsi="Tahoma"/>
                <w:b/>
                <w:color w:val="000000"/>
                <w:sz w:val="17"/>
                <w:lang w:val="en-US"/>
              </w:rPr>
              <w:t>75%</w:t>
            </w:r>
          </w:p>
        </w:tc>
      </w:tr>
    </w:tbl>
    <w:p w14:paraId="2C99A787" w14:textId="77777777" w:rsidR="003A317B" w:rsidRDefault="003A317B" w:rsidP="003302AA">
      <w:pPr>
        <w:pStyle w:val="Sinespaciado"/>
        <w:spacing w:line="276" w:lineRule="auto"/>
        <w:ind w:firstLine="1701"/>
        <w:jc w:val="both"/>
        <w:rPr>
          <w:rFonts w:ascii="Arial" w:hAnsi="Arial" w:cs="Arial"/>
        </w:rPr>
      </w:pPr>
    </w:p>
    <w:p w14:paraId="1DBCC37B" w14:textId="77777777" w:rsidR="003302AA" w:rsidRPr="00956644" w:rsidRDefault="003302AA" w:rsidP="003302AA">
      <w:pPr>
        <w:pStyle w:val="Sinespaciado"/>
        <w:spacing w:line="276" w:lineRule="auto"/>
        <w:ind w:firstLine="1701"/>
        <w:jc w:val="both"/>
        <w:rPr>
          <w:rFonts w:ascii="Arial" w:hAnsi="Arial" w:cs="Arial"/>
        </w:rPr>
      </w:pPr>
      <w:r w:rsidRPr="00956644">
        <w:rPr>
          <w:rFonts w:ascii="Arial" w:hAnsi="Arial" w:cs="Arial"/>
        </w:rPr>
        <w:t>El pago del monto postergado comenzara a realizarse a partir de febrero de 2019, en doce cuotas y sin recargos.</w:t>
      </w:r>
    </w:p>
    <w:p w14:paraId="6DA40C90" w14:textId="77777777" w:rsidR="003302AA" w:rsidRDefault="003302AA" w:rsidP="003302AA">
      <w:pPr>
        <w:pStyle w:val="Sinespaciado"/>
        <w:spacing w:line="276" w:lineRule="auto"/>
        <w:ind w:firstLine="1701"/>
        <w:jc w:val="both"/>
        <w:rPr>
          <w:rFonts w:ascii="Arial" w:hAnsi="Arial" w:cs="Arial"/>
        </w:rPr>
      </w:pPr>
      <w:r w:rsidRPr="00956644">
        <w:rPr>
          <w:rFonts w:ascii="Arial" w:hAnsi="Arial" w:cs="Arial"/>
        </w:rPr>
        <w:t>D</w:t>
      </w:r>
      <w:r>
        <w:rPr>
          <w:rFonts w:ascii="Arial" w:hAnsi="Arial" w:cs="Arial"/>
        </w:rPr>
        <w:t>e acuerdo a cifras entregadas po</w:t>
      </w:r>
      <w:r w:rsidRPr="00956644">
        <w:rPr>
          <w:rFonts w:ascii="Arial" w:hAnsi="Arial" w:cs="Arial"/>
        </w:rPr>
        <w:t xml:space="preserve">r el </w:t>
      </w:r>
      <w:r>
        <w:rPr>
          <w:rFonts w:ascii="Arial" w:hAnsi="Arial" w:cs="Arial"/>
        </w:rPr>
        <w:t>SII, el Cuadro N° 2 contiene el nú</w:t>
      </w:r>
      <w:r w:rsidRPr="00956644">
        <w:rPr>
          <w:rFonts w:ascii="Arial" w:hAnsi="Arial" w:cs="Arial"/>
        </w:rPr>
        <w:t xml:space="preserve">mero de Mipymes que podrían beneficiarse y una estimación del pago que podrían postergar cada mes, tomando como referencia el monto de IVA promedio mensual que dichas empresas pagaban durante los </w:t>
      </w:r>
      <w:r>
        <w:rPr>
          <w:rFonts w:ascii="Arial" w:hAnsi="Arial" w:cs="Arial"/>
        </w:rPr>
        <w:t>últimos</w:t>
      </w:r>
      <w:r w:rsidRPr="00956644">
        <w:rPr>
          <w:rFonts w:ascii="Arial" w:hAnsi="Arial" w:cs="Arial"/>
        </w:rPr>
        <w:t xml:space="preserve"> 12 meses. El cuadro considera también, bajo un criterio conservador, a las empresas de las que no</w:t>
      </w:r>
      <w:r>
        <w:rPr>
          <w:rFonts w:ascii="Arial" w:hAnsi="Arial" w:cs="Arial"/>
        </w:rPr>
        <w:t xml:space="preserve"> </w:t>
      </w:r>
      <w:r w:rsidRPr="00956644">
        <w:rPr>
          <w:rFonts w:ascii="Arial" w:hAnsi="Arial" w:cs="Arial"/>
        </w:rPr>
        <w:t xml:space="preserve">se tiene </w:t>
      </w:r>
      <w:r>
        <w:rPr>
          <w:rFonts w:ascii="Arial" w:hAnsi="Arial" w:cs="Arial"/>
        </w:rPr>
        <w:t>información</w:t>
      </w:r>
      <w:r w:rsidRPr="00956644">
        <w:rPr>
          <w:rFonts w:ascii="Arial" w:hAnsi="Arial" w:cs="Arial"/>
        </w:rPr>
        <w:t xml:space="preserve"> respec</w:t>
      </w:r>
      <w:r>
        <w:rPr>
          <w:rFonts w:ascii="Arial" w:hAnsi="Arial" w:cs="Arial"/>
        </w:rPr>
        <w:t>to</w:t>
      </w:r>
      <w:r w:rsidRPr="00956644">
        <w:rPr>
          <w:rFonts w:ascii="Arial" w:hAnsi="Arial" w:cs="Arial"/>
        </w:rPr>
        <w:t xml:space="preserve"> a si cumplen con la condición para ser consideradas Mipymes, pero que si experimentaron el requisito de caída en su facturación en octubre de 10%.</w:t>
      </w:r>
    </w:p>
    <w:p w14:paraId="4982EA12" w14:textId="77777777" w:rsidR="003302AA" w:rsidRPr="009B588E" w:rsidRDefault="003302AA" w:rsidP="003302AA">
      <w:pPr>
        <w:spacing w:before="180"/>
        <w:jc w:val="center"/>
        <w:rPr>
          <w:rFonts w:ascii="Arial" w:hAnsi="Arial" w:cs="Arial"/>
          <w:color w:val="000000"/>
          <w:spacing w:val="-10"/>
          <w:u w:val="single"/>
          <w:lang w:val="es-ES"/>
        </w:rPr>
      </w:pPr>
      <w:r w:rsidRPr="009B588E">
        <w:rPr>
          <w:rFonts w:ascii="Arial" w:hAnsi="Arial" w:cs="Arial"/>
          <w:color w:val="000000"/>
          <w:spacing w:val="-10"/>
          <w:u w:val="single"/>
          <w:lang w:val="es-ES"/>
        </w:rPr>
        <w:t xml:space="preserve">Cuadro N° 2: Beneficio Pago de WA en cuotas para </w:t>
      </w:r>
      <w:proofErr w:type="spellStart"/>
      <w:r w:rsidRPr="009B588E">
        <w:rPr>
          <w:rFonts w:ascii="Arial" w:hAnsi="Arial" w:cs="Arial"/>
          <w:color w:val="000000"/>
          <w:spacing w:val="-10"/>
          <w:u w:val="single"/>
          <w:lang w:val="es-ES"/>
        </w:rPr>
        <w:t>MiPymes</w:t>
      </w:r>
      <w:proofErr w:type="spellEnd"/>
      <w:r w:rsidRPr="009B588E">
        <w:rPr>
          <w:rFonts w:ascii="Arial" w:hAnsi="Arial" w:cs="Arial"/>
          <w:color w:val="000000"/>
          <w:spacing w:val="-10"/>
          <w:u w:val="single"/>
          <w:lang w:val="es-ES"/>
        </w:rPr>
        <w:t xml:space="preserve"> afectadas, un mes</w:t>
      </w:r>
    </w:p>
    <w:p w14:paraId="3E5A94D3" w14:textId="77777777" w:rsidR="003302AA" w:rsidRPr="009B588E" w:rsidRDefault="003302AA" w:rsidP="003302AA">
      <w:pPr>
        <w:spacing w:before="180"/>
        <w:jc w:val="center"/>
        <w:rPr>
          <w:rFonts w:ascii="Arial" w:hAnsi="Arial" w:cs="Arial"/>
          <w:color w:val="000000"/>
          <w:spacing w:val="-10"/>
          <w:lang w:val="es-ES"/>
        </w:rPr>
      </w:pPr>
    </w:p>
    <w:tbl>
      <w:tblPr>
        <w:tblW w:w="0" w:type="auto"/>
        <w:tblInd w:w="123" w:type="dxa"/>
        <w:tblLayout w:type="fixed"/>
        <w:tblCellMar>
          <w:left w:w="0" w:type="dxa"/>
          <w:right w:w="0" w:type="dxa"/>
        </w:tblCellMar>
        <w:tblLook w:val="04A0" w:firstRow="1" w:lastRow="0" w:firstColumn="1" w:lastColumn="0" w:noHBand="0" w:noVBand="1"/>
      </w:tblPr>
      <w:tblGrid>
        <w:gridCol w:w="1940"/>
        <w:gridCol w:w="850"/>
        <w:gridCol w:w="846"/>
        <w:gridCol w:w="871"/>
        <w:gridCol w:w="893"/>
        <w:gridCol w:w="1861"/>
        <w:gridCol w:w="1508"/>
      </w:tblGrid>
      <w:tr w:rsidR="003302AA" w:rsidRPr="00956644" w14:paraId="73B74D00" w14:textId="77777777" w:rsidTr="00A97BDE">
        <w:trPr>
          <w:trHeight w:hRule="exact" w:val="263"/>
        </w:trPr>
        <w:tc>
          <w:tcPr>
            <w:tcW w:w="1940" w:type="dxa"/>
            <w:tcBorders>
              <w:top w:val="none" w:sz="0" w:space="0" w:color="000000"/>
              <w:left w:val="none" w:sz="0" w:space="0" w:color="000000"/>
              <w:bottom w:val="none" w:sz="0" w:space="0" w:color="000000"/>
              <w:right w:val="none" w:sz="0" w:space="0" w:color="000000"/>
            </w:tcBorders>
            <w:shd w:val="clear" w:color="075398" w:fill="075398"/>
            <w:vAlign w:val="center"/>
          </w:tcPr>
          <w:p w14:paraId="340C25CA" w14:textId="77777777" w:rsidR="003302AA" w:rsidRPr="00956644" w:rsidRDefault="003302AA" w:rsidP="00A97BDE">
            <w:pPr>
              <w:ind w:left="104"/>
              <w:rPr>
                <w:rFonts w:ascii="Tahoma" w:hAnsi="Tahoma"/>
                <w:b/>
                <w:color w:val="ECF5F9"/>
                <w:sz w:val="16"/>
                <w:lang w:val="en-US"/>
              </w:rPr>
            </w:pPr>
            <w:proofErr w:type="spellStart"/>
            <w:r>
              <w:rPr>
                <w:rFonts w:ascii="Tahoma" w:hAnsi="Tahoma"/>
                <w:b/>
                <w:color w:val="ECF5F9"/>
                <w:sz w:val="16"/>
                <w:lang w:val="en-US"/>
              </w:rPr>
              <w:t>Caída</w:t>
            </w:r>
            <w:proofErr w:type="spellEnd"/>
            <w:r w:rsidRPr="00956644">
              <w:rPr>
                <w:rFonts w:ascii="Tahoma" w:hAnsi="Tahoma"/>
                <w:b/>
                <w:color w:val="ECF5F9"/>
                <w:sz w:val="16"/>
                <w:lang w:val="en-US"/>
              </w:rPr>
              <w:t xml:space="preserve"> de</w:t>
            </w:r>
            <w:r>
              <w:rPr>
                <w:rFonts w:ascii="Tahoma" w:hAnsi="Tahoma"/>
                <w:b/>
                <w:color w:val="ECF5F9"/>
                <w:sz w:val="16"/>
                <w:lang w:val="en-US"/>
              </w:rPr>
              <w:t xml:space="preserve"> </w:t>
            </w:r>
            <w:proofErr w:type="spellStart"/>
            <w:r>
              <w:rPr>
                <w:rFonts w:ascii="Tahoma" w:hAnsi="Tahoma"/>
                <w:b/>
                <w:color w:val="ECF5F9"/>
                <w:sz w:val="16"/>
                <w:lang w:val="en-US"/>
              </w:rPr>
              <w:t>v</w:t>
            </w:r>
            <w:r w:rsidRPr="00956644">
              <w:rPr>
                <w:rFonts w:ascii="Tahoma" w:hAnsi="Tahoma"/>
                <w:b/>
                <w:color w:val="ECF5F9"/>
                <w:sz w:val="16"/>
                <w:lang w:val="en-US"/>
              </w:rPr>
              <w:t>entas</w:t>
            </w:r>
            <w:proofErr w:type="spellEnd"/>
            <w:r w:rsidRPr="00956644">
              <w:rPr>
                <w:rFonts w:ascii="Tahoma" w:hAnsi="Tahoma"/>
                <w:b/>
                <w:color w:val="ECF5F9"/>
                <w:sz w:val="16"/>
                <w:lang w:val="en-US"/>
              </w:rPr>
              <w:t>:</w:t>
            </w:r>
          </w:p>
        </w:tc>
        <w:tc>
          <w:tcPr>
            <w:tcW w:w="850" w:type="dxa"/>
            <w:tcBorders>
              <w:top w:val="none" w:sz="0" w:space="0" w:color="000000"/>
              <w:left w:val="none" w:sz="0" w:space="0" w:color="000000"/>
              <w:bottom w:val="none" w:sz="0" w:space="0" w:color="000000"/>
              <w:right w:val="none" w:sz="0" w:space="0" w:color="000000"/>
            </w:tcBorders>
            <w:shd w:val="clear" w:color="075398" w:fill="075398"/>
            <w:vAlign w:val="center"/>
          </w:tcPr>
          <w:p w14:paraId="511286A1" w14:textId="77777777" w:rsidR="003302AA" w:rsidRPr="00956644" w:rsidRDefault="003302AA" w:rsidP="00A97BDE">
            <w:pPr>
              <w:jc w:val="center"/>
              <w:rPr>
                <w:rFonts w:ascii="Tahoma" w:hAnsi="Tahoma"/>
                <w:b/>
                <w:color w:val="ECF5F9"/>
                <w:sz w:val="16"/>
                <w:lang w:val="en-US"/>
              </w:rPr>
            </w:pPr>
            <w:r w:rsidRPr="00956644">
              <w:rPr>
                <w:rFonts w:ascii="Tahoma" w:hAnsi="Tahoma"/>
                <w:b/>
                <w:color w:val="ECF5F9"/>
                <w:sz w:val="16"/>
                <w:lang w:val="en-US"/>
              </w:rPr>
              <w:t>11%-</w:t>
            </w:r>
          </w:p>
        </w:tc>
        <w:tc>
          <w:tcPr>
            <w:tcW w:w="846" w:type="dxa"/>
            <w:tcBorders>
              <w:top w:val="none" w:sz="0" w:space="0" w:color="000000"/>
              <w:left w:val="none" w:sz="0" w:space="0" w:color="000000"/>
              <w:bottom w:val="none" w:sz="0" w:space="0" w:color="000000"/>
              <w:right w:val="none" w:sz="0" w:space="0" w:color="000000"/>
            </w:tcBorders>
            <w:shd w:val="clear" w:color="075398" w:fill="075398"/>
            <w:vAlign w:val="center"/>
          </w:tcPr>
          <w:p w14:paraId="4EC3BCEF" w14:textId="77777777" w:rsidR="003302AA" w:rsidRPr="00956644" w:rsidRDefault="003302AA" w:rsidP="00A97BDE">
            <w:pPr>
              <w:jc w:val="center"/>
              <w:rPr>
                <w:rFonts w:ascii="Tahoma" w:hAnsi="Tahoma"/>
                <w:b/>
                <w:color w:val="ECF5F9"/>
                <w:sz w:val="16"/>
                <w:lang w:val="en-US"/>
              </w:rPr>
            </w:pPr>
            <w:r w:rsidRPr="00956644">
              <w:rPr>
                <w:rFonts w:ascii="Tahoma" w:hAnsi="Tahoma"/>
                <w:b/>
                <w:color w:val="ECF5F9"/>
                <w:sz w:val="16"/>
                <w:lang w:val="en-US"/>
              </w:rPr>
              <w:t>31%-</w:t>
            </w:r>
          </w:p>
        </w:tc>
        <w:tc>
          <w:tcPr>
            <w:tcW w:w="871" w:type="dxa"/>
            <w:tcBorders>
              <w:top w:val="none" w:sz="0" w:space="0" w:color="000000"/>
              <w:left w:val="none" w:sz="0" w:space="0" w:color="000000"/>
              <w:bottom w:val="none" w:sz="0" w:space="0" w:color="000000"/>
              <w:right w:val="none" w:sz="0" w:space="0" w:color="000000"/>
            </w:tcBorders>
            <w:shd w:val="clear" w:color="075398" w:fill="075398"/>
            <w:vAlign w:val="center"/>
          </w:tcPr>
          <w:p w14:paraId="4633EC9F" w14:textId="77777777" w:rsidR="003302AA" w:rsidRPr="00956644" w:rsidRDefault="003302AA" w:rsidP="00A97BDE">
            <w:pPr>
              <w:jc w:val="center"/>
              <w:rPr>
                <w:rFonts w:ascii="Tahoma" w:hAnsi="Tahoma"/>
                <w:b/>
                <w:color w:val="ECF5F9"/>
                <w:sz w:val="16"/>
                <w:lang w:val="en-US"/>
              </w:rPr>
            </w:pPr>
            <w:r w:rsidRPr="00956644">
              <w:rPr>
                <w:rFonts w:ascii="Tahoma" w:hAnsi="Tahoma"/>
                <w:b/>
                <w:color w:val="ECF5F9"/>
                <w:sz w:val="16"/>
                <w:lang w:val="en-US"/>
              </w:rPr>
              <w:t>51%-</w:t>
            </w:r>
          </w:p>
        </w:tc>
        <w:tc>
          <w:tcPr>
            <w:tcW w:w="4262" w:type="dxa"/>
            <w:gridSpan w:val="3"/>
            <w:tcBorders>
              <w:top w:val="none" w:sz="0" w:space="0" w:color="000000"/>
              <w:left w:val="none" w:sz="0" w:space="0" w:color="000000"/>
              <w:bottom w:val="none" w:sz="0" w:space="0" w:color="000000"/>
              <w:right w:val="none" w:sz="0" w:space="0" w:color="000000"/>
            </w:tcBorders>
            <w:shd w:val="clear" w:color="075398" w:fill="075398"/>
            <w:vAlign w:val="center"/>
          </w:tcPr>
          <w:p w14:paraId="51097AC2" w14:textId="77777777" w:rsidR="003302AA" w:rsidRPr="00956644" w:rsidRDefault="003302AA" w:rsidP="00A97BDE">
            <w:pPr>
              <w:tabs>
                <w:tab w:val="left" w:pos="1188"/>
                <w:tab w:val="right" w:pos="3892"/>
              </w:tabs>
              <w:ind w:left="169"/>
              <w:rPr>
                <w:rFonts w:ascii="Tahoma" w:hAnsi="Tahoma"/>
                <w:b/>
                <w:color w:val="ECF5F9"/>
                <w:spacing w:val="-8"/>
                <w:sz w:val="16"/>
                <w:lang w:val="es-ES"/>
              </w:rPr>
            </w:pPr>
            <w:r w:rsidRPr="00956644">
              <w:rPr>
                <w:rFonts w:ascii="Tahoma" w:hAnsi="Tahoma"/>
                <w:b/>
                <w:color w:val="ECF5F9"/>
                <w:spacing w:val="-8"/>
                <w:sz w:val="16"/>
                <w:lang w:val="es-ES"/>
              </w:rPr>
              <w:t>71% o</w:t>
            </w:r>
            <w:r w:rsidRPr="00956644">
              <w:rPr>
                <w:rFonts w:ascii="Tahoma" w:hAnsi="Tahoma"/>
                <w:b/>
                <w:color w:val="ECF5F9"/>
                <w:spacing w:val="-8"/>
                <w:sz w:val="16"/>
                <w:lang w:val="es-ES"/>
              </w:rPr>
              <w:tab/>
            </w:r>
            <w:r w:rsidRPr="00956644">
              <w:rPr>
                <w:rFonts w:ascii="Tahoma" w:hAnsi="Tahoma"/>
                <w:b/>
                <w:color w:val="ECF5F9"/>
                <w:spacing w:val="-2"/>
                <w:sz w:val="16"/>
                <w:lang w:val="es-ES"/>
              </w:rPr>
              <w:t>Total empresas</w:t>
            </w:r>
            <w:r w:rsidRPr="00956644">
              <w:rPr>
                <w:rFonts w:ascii="Tahoma" w:hAnsi="Tahoma"/>
                <w:b/>
                <w:color w:val="ECF5F9"/>
                <w:spacing w:val="-2"/>
                <w:sz w:val="16"/>
                <w:lang w:val="es-ES"/>
              </w:rPr>
              <w:tab/>
            </w:r>
            <w:r w:rsidRPr="00956644">
              <w:rPr>
                <w:rFonts w:ascii="Tahoma" w:hAnsi="Tahoma"/>
                <w:b/>
                <w:color w:val="ECF5F9"/>
                <w:sz w:val="16"/>
                <w:lang w:val="es-ES"/>
              </w:rPr>
              <w:t>Total con</w:t>
            </w:r>
          </w:p>
        </w:tc>
      </w:tr>
      <w:tr w:rsidR="003302AA" w:rsidRPr="00956644" w14:paraId="6D236ED1" w14:textId="77777777" w:rsidTr="00A97BDE">
        <w:trPr>
          <w:trHeight w:hRule="exact" w:val="331"/>
        </w:trPr>
        <w:tc>
          <w:tcPr>
            <w:tcW w:w="1940" w:type="dxa"/>
            <w:tcBorders>
              <w:top w:val="none" w:sz="0" w:space="0" w:color="000000"/>
              <w:left w:val="none" w:sz="0" w:space="0" w:color="000000"/>
              <w:bottom w:val="single" w:sz="4" w:space="0" w:color="000000"/>
              <w:right w:val="none" w:sz="0" w:space="0" w:color="000000"/>
            </w:tcBorders>
            <w:shd w:val="clear" w:color="026BB8" w:fill="026BB8"/>
          </w:tcPr>
          <w:p w14:paraId="5A11E1C0" w14:textId="77777777" w:rsidR="003302AA" w:rsidRPr="00956644" w:rsidRDefault="003302AA" w:rsidP="00A97BDE">
            <w:pPr>
              <w:rPr>
                <w:rFonts w:ascii="Arial" w:hAnsi="Arial"/>
                <w:color w:val="000000"/>
                <w:lang w:val="es-ES"/>
              </w:rPr>
            </w:pPr>
          </w:p>
        </w:tc>
        <w:tc>
          <w:tcPr>
            <w:tcW w:w="850" w:type="dxa"/>
            <w:tcBorders>
              <w:top w:val="none" w:sz="0" w:space="0" w:color="000000"/>
              <w:left w:val="none" w:sz="0" w:space="0" w:color="000000"/>
              <w:bottom w:val="none" w:sz="0" w:space="0" w:color="000000"/>
              <w:right w:val="none" w:sz="0" w:space="0" w:color="000000"/>
            </w:tcBorders>
            <w:shd w:val="clear" w:color="075398" w:fill="075398"/>
            <w:vAlign w:val="center"/>
          </w:tcPr>
          <w:p w14:paraId="7B0E5A30" w14:textId="77777777" w:rsidR="003302AA" w:rsidRPr="00956644" w:rsidRDefault="003302AA" w:rsidP="00A97BDE">
            <w:pPr>
              <w:jc w:val="center"/>
              <w:rPr>
                <w:rFonts w:ascii="Tahoma" w:hAnsi="Tahoma"/>
                <w:b/>
                <w:color w:val="ECF5F9"/>
                <w:sz w:val="16"/>
                <w:lang w:val="en-US"/>
              </w:rPr>
            </w:pPr>
            <w:r w:rsidRPr="00956644">
              <w:rPr>
                <w:rFonts w:ascii="Tahoma" w:hAnsi="Tahoma"/>
                <w:b/>
                <w:color w:val="ECF5F9"/>
                <w:sz w:val="16"/>
                <w:lang w:val="en-US"/>
              </w:rPr>
              <w:t>30%</w:t>
            </w:r>
          </w:p>
        </w:tc>
        <w:tc>
          <w:tcPr>
            <w:tcW w:w="846" w:type="dxa"/>
            <w:tcBorders>
              <w:top w:val="none" w:sz="0" w:space="0" w:color="000000"/>
              <w:left w:val="none" w:sz="0" w:space="0" w:color="000000"/>
              <w:bottom w:val="none" w:sz="0" w:space="0" w:color="000000"/>
              <w:right w:val="none" w:sz="0" w:space="0" w:color="000000"/>
            </w:tcBorders>
            <w:shd w:val="clear" w:color="075398" w:fill="075398"/>
            <w:vAlign w:val="center"/>
          </w:tcPr>
          <w:p w14:paraId="70A6E2AA" w14:textId="77777777" w:rsidR="003302AA" w:rsidRPr="00956644" w:rsidRDefault="003302AA" w:rsidP="00A97BDE">
            <w:pPr>
              <w:jc w:val="center"/>
              <w:rPr>
                <w:rFonts w:ascii="Tahoma" w:hAnsi="Tahoma"/>
                <w:b/>
                <w:color w:val="ECF5F9"/>
                <w:sz w:val="16"/>
                <w:lang w:val="en-US"/>
              </w:rPr>
            </w:pPr>
            <w:r w:rsidRPr="00956644">
              <w:rPr>
                <w:rFonts w:ascii="Tahoma" w:hAnsi="Tahoma"/>
                <w:b/>
                <w:color w:val="ECF5F9"/>
                <w:sz w:val="16"/>
                <w:lang w:val="en-US"/>
              </w:rPr>
              <w:t>50%</w:t>
            </w:r>
          </w:p>
        </w:tc>
        <w:tc>
          <w:tcPr>
            <w:tcW w:w="871" w:type="dxa"/>
            <w:tcBorders>
              <w:top w:val="none" w:sz="0" w:space="0" w:color="000000"/>
              <w:left w:val="none" w:sz="0" w:space="0" w:color="000000"/>
              <w:bottom w:val="none" w:sz="0" w:space="0" w:color="000000"/>
              <w:right w:val="none" w:sz="0" w:space="0" w:color="000000"/>
            </w:tcBorders>
            <w:shd w:val="clear" w:color="0460A8" w:fill="0460A8"/>
            <w:vAlign w:val="center"/>
          </w:tcPr>
          <w:p w14:paraId="4D527E15" w14:textId="77777777" w:rsidR="003302AA" w:rsidRPr="00956644" w:rsidRDefault="003302AA" w:rsidP="00A97BDE">
            <w:pPr>
              <w:jc w:val="center"/>
              <w:rPr>
                <w:rFonts w:ascii="Tahoma" w:hAnsi="Tahoma"/>
                <w:b/>
                <w:color w:val="ECF5F9"/>
                <w:sz w:val="17"/>
                <w:lang w:val="en-US"/>
              </w:rPr>
            </w:pPr>
            <w:r w:rsidRPr="00956644">
              <w:rPr>
                <w:rFonts w:ascii="Tahoma" w:hAnsi="Tahoma"/>
                <w:b/>
                <w:color w:val="ECF5F9"/>
                <w:sz w:val="17"/>
                <w:lang w:val="en-US"/>
              </w:rPr>
              <w:t>70%</w:t>
            </w:r>
          </w:p>
        </w:tc>
        <w:tc>
          <w:tcPr>
            <w:tcW w:w="4262" w:type="dxa"/>
            <w:gridSpan w:val="3"/>
            <w:tcBorders>
              <w:top w:val="none" w:sz="0" w:space="0" w:color="000000"/>
              <w:left w:val="none" w:sz="0" w:space="0" w:color="000000"/>
              <w:bottom w:val="none" w:sz="0" w:space="0" w:color="000000"/>
              <w:right w:val="none" w:sz="0" w:space="0" w:color="000000"/>
            </w:tcBorders>
            <w:shd w:val="clear" w:color="0460A8" w:fill="0460A8"/>
          </w:tcPr>
          <w:p w14:paraId="70BBBBE0" w14:textId="77777777" w:rsidR="003302AA" w:rsidRPr="00956644" w:rsidRDefault="003302AA" w:rsidP="00A97BDE">
            <w:pPr>
              <w:tabs>
                <w:tab w:val="left" w:pos="1314"/>
                <w:tab w:val="right" w:pos="4043"/>
              </w:tabs>
              <w:ind w:left="259"/>
              <w:rPr>
                <w:rFonts w:ascii="Tahoma" w:hAnsi="Tahoma"/>
                <w:b/>
                <w:color w:val="ECF5F9"/>
                <w:sz w:val="17"/>
                <w:lang w:val="es-ES"/>
              </w:rPr>
            </w:pPr>
            <w:proofErr w:type="spellStart"/>
            <w:r w:rsidRPr="00956644">
              <w:rPr>
                <w:rFonts w:ascii="Tahoma" w:hAnsi="Tahoma"/>
                <w:b/>
                <w:color w:val="ECF5F9"/>
                <w:sz w:val="17"/>
                <w:lang w:val="es-ES"/>
              </w:rPr>
              <w:t>mas</w:t>
            </w:r>
            <w:proofErr w:type="spellEnd"/>
            <w:r w:rsidRPr="00956644">
              <w:rPr>
                <w:rFonts w:ascii="Tahoma" w:hAnsi="Tahoma"/>
                <w:b/>
                <w:color w:val="ECF5F9"/>
                <w:sz w:val="17"/>
                <w:lang w:val="es-ES"/>
              </w:rPr>
              <w:tab/>
            </w:r>
            <w:r w:rsidRPr="00956644">
              <w:rPr>
                <w:rFonts w:ascii="Tahoma" w:hAnsi="Tahoma"/>
                <w:b/>
                <w:color w:val="ECF5F9"/>
                <w:spacing w:val="-10"/>
                <w:sz w:val="17"/>
                <w:lang w:val="es-ES"/>
              </w:rPr>
              <w:t>beneficiadas</w:t>
            </w:r>
            <w:r w:rsidRPr="00956644">
              <w:rPr>
                <w:rFonts w:ascii="Tahoma" w:hAnsi="Tahoma"/>
                <w:b/>
                <w:color w:val="ECF5F9"/>
                <w:spacing w:val="-10"/>
                <w:sz w:val="17"/>
                <w:lang w:val="es-ES"/>
              </w:rPr>
              <w:tab/>
            </w:r>
            <w:r w:rsidRPr="00956644">
              <w:rPr>
                <w:rFonts w:ascii="Tahoma" w:hAnsi="Tahoma"/>
                <w:b/>
                <w:color w:val="ECF5F9"/>
                <w:sz w:val="17"/>
                <w:lang w:val="es-ES"/>
              </w:rPr>
              <w:t>empresas s/i</w:t>
            </w:r>
          </w:p>
        </w:tc>
      </w:tr>
      <w:tr w:rsidR="003302AA" w:rsidRPr="009B588E" w14:paraId="39169C2D" w14:textId="77777777" w:rsidTr="00A97BDE">
        <w:trPr>
          <w:trHeight w:hRule="exact" w:val="490"/>
        </w:trPr>
        <w:tc>
          <w:tcPr>
            <w:tcW w:w="1940" w:type="dxa"/>
            <w:tcBorders>
              <w:top w:val="single" w:sz="4" w:space="0" w:color="000000"/>
              <w:left w:val="none" w:sz="0" w:space="0" w:color="000000"/>
              <w:bottom w:val="single" w:sz="4" w:space="0" w:color="000000"/>
              <w:right w:val="none" w:sz="0" w:space="0" w:color="000000"/>
            </w:tcBorders>
          </w:tcPr>
          <w:p w14:paraId="035F3E3E" w14:textId="77777777" w:rsidR="003302AA" w:rsidRPr="009B588E" w:rsidRDefault="003302AA" w:rsidP="00A97BDE">
            <w:pPr>
              <w:ind w:left="108" w:right="144"/>
              <w:rPr>
                <w:rFonts w:ascii="Tahoma" w:hAnsi="Tahoma"/>
                <w:color w:val="000000"/>
                <w:spacing w:val="-1"/>
                <w:lang w:val="en-US"/>
              </w:rPr>
            </w:pPr>
            <w:proofErr w:type="spellStart"/>
            <w:r w:rsidRPr="009B588E">
              <w:rPr>
                <w:rFonts w:ascii="Tahoma" w:hAnsi="Tahoma"/>
                <w:color w:val="000000"/>
                <w:spacing w:val="-1"/>
                <w:lang w:val="en-US"/>
              </w:rPr>
              <w:t>Número</w:t>
            </w:r>
            <w:proofErr w:type="spellEnd"/>
            <w:r w:rsidRPr="009B588E">
              <w:rPr>
                <w:rFonts w:ascii="Tahoma" w:hAnsi="Tahoma"/>
                <w:color w:val="000000"/>
                <w:spacing w:val="-1"/>
                <w:lang w:val="en-US"/>
              </w:rPr>
              <w:t xml:space="preserve"> de </w:t>
            </w:r>
            <w:proofErr w:type="spellStart"/>
            <w:r w:rsidRPr="009B588E">
              <w:rPr>
                <w:rFonts w:ascii="Tahoma" w:hAnsi="Tahoma"/>
                <w:color w:val="000000"/>
                <w:spacing w:val="-10"/>
                <w:lang w:val="en-US"/>
              </w:rPr>
              <w:t>empresas</w:t>
            </w:r>
            <w:proofErr w:type="spellEnd"/>
            <w:r w:rsidRPr="009B588E">
              <w:rPr>
                <w:rFonts w:ascii="Tahoma" w:hAnsi="Tahoma"/>
                <w:color w:val="000000"/>
                <w:spacing w:val="-10"/>
                <w:lang w:val="en-US"/>
              </w:rPr>
              <w:t xml:space="preserve"> (</w:t>
            </w:r>
            <w:proofErr w:type="spellStart"/>
            <w:r w:rsidRPr="009B588E">
              <w:rPr>
                <w:rFonts w:ascii="Tahoma" w:hAnsi="Tahoma"/>
                <w:color w:val="000000"/>
                <w:spacing w:val="-10"/>
                <w:lang w:val="en-US"/>
              </w:rPr>
              <w:t>MiPymes</w:t>
            </w:r>
            <w:proofErr w:type="spellEnd"/>
            <w:r w:rsidRPr="009B588E">
              <w:rPr>
                <w:rFonts w:ascii="Tahoma" w:hAnsi="Tahoma"/>
                <w:color w:val="000000"/>
                <w:spacing w:val="-10"/>
                <w:lang w:val="en-US"/>
              </w:rPr>
              <w:t>)</w:t>
            </w:r>
          </w:p>
        </w:tc>
        <w:tc>
          <w:tcPr>
            <w:tcW w:w="850" w:type="dxa"/>
            <w:tcBorders>
              <w:top w:val="none" w:sz="0" w:space="0" w:color="000000"/>
              <w:left w:val="none" w:sz="0" w:space="0" w:color="000000"/>
              <w:bottom w:val="single" w:sz="4" w:space="0" w:color="000000"/>
              <w:right w:val="none" w:sz="0" w:space="0" w:color="000000"/>
            </w:tcBorders>
          </w:tcPr>
          <w:p w14:paraId="77E37CCE"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48.616</w:t>
            </w:r>
          </w:p>
        </w:tc>
        <w:tc>
          <w:tcPr>
            <w:tcW w:w="846" w:type="dxa"/>
            <w:tcBorders>
              <w:top w:val="none" w:sz="0" w:space="0" w:color="000000"/>
              <w:left w:val="none" w:sz="0" w:space="0" w:color="000000"/>
              <w:bottom w:val="single" w:sz="4" w:space="0" w:color="000000"/>
              <w:right w:val="none" w:sz="0" w:space="0" w:color="000000"/>
            </w:tcBorders>
          </w:tcPr>
          <w:p w14:paraId="6D37D216"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39.765</w:t>
            </w:r>
          </w:p>
        </w:tc>
        <w:tc>
          <w:tcPr>
            <w:tcW w:w="871" w:type="dxa"/>
            <w:tcBorders>
              <w:top w:val="none" w:sz="0" w:space="0" w:color="000000"/>
              <w:left w:val="none" w:sz="0" w:space="0" w:color="000000"/>
              <w:bottom w:val="single" w:sz="4" w:space="0" w:color="000000"/>
              <w:right w:val="none" w:sz="0" w:space="0" w:color="000000"/>
            </w:tcBorders>
          </w:tcPr>
          <w:p w14:paraId="11837B86"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33.377</w:t>
            </w:r>
          </w:p>
        </w:tc>
        <w:tc>
          <w:tcPr>
            <w:tcW w:w="893" w:type="dxa"/>
            <w:tcBorders>
              <w:top w:val="none" w:sz="0" w:space="0" w:color="000000"/>
              <w:left w:val="none" w:sz="0" w:space="0" w:color="000000"/>
              <w:bottom w:val="single" w:sz="4" w:space="0" w:color="000000"/>
              <w:right w:val="single" w:sz="4" w:space="0" w:color="000000"/>
            </w:tcBorders>
          </w:tcPr>
          <w:p w14:paraId="7C267BF3" w14:textId="77777777" w:rsidR="003302AA" w:rsidRPr="009B588E" w:rsidRDefault="003302AA" w:rsidP="00A97BDE">
            <w:pPr>
              <w:ind w:left="169"/>
              <w:rPr>
                <w:rFonts w:ascii="Tahoma" w:hAnsi="Tahoma"/>
                <w:color w:val="000000"/>
                <w:lang w:val="en-US"/>
              </w:rPr>
            </w:pPr>
            <w:r w:rsidRPr="009B588E">
              <w:rPr>
                <w:rFonts w:ascii="Tahoma" w:hAnsi="Tahoma"/>
                <w:color w:val="000000"/>
                <w:lang w:val="en-US"/>
              </w:rPr>
              <w:t>88.675</w:t>
            </w:r>
          </w:p>
        </w:tc>
        <w:tc>
          <w:tcPr>
            <w:tcW w:w="1861" w:type="dxa"/>
            <w:tcBorders>
              <w:top w:val="none" w:sz="0" w:space="0" w:color="000000"/>
              <w:left w:val="single" w:sz="4" w:space="0" w:color="000000"/>
              <w:bottom w:val="single" w:sz="4" w:space="0" w:color="000000"/>
              <w:right w:val="single" w:sz="4" w:space="0" w:color="000000"/>
            </w:tcBorders>
          </w:tcPr>
          <w:p w14:paraId="6B6E02ED"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210.433</w:t>
            </w:r>
          </w:p>
        </w:tc>
        <w:tc>
          <w:tcPr>
            <w:tcW w:w="1508" w:type="dxa"/>
            <w:tcBorders>
              <w:top w:val="none" w:sz="0" w:space="0" w:color="000000"/>
              <w:left w:val="single" w:sz="4" w:space="0" w:color="000000"/>
              <w:bottom w:val="single" w:sz="4" w:space="0" w:color="000000"/>
              <w:right w:val="none" w:sz="0" w:space="0" w:color="000000"/>
            </w:tcBorders>
          </w:tcPr>
          <w:p w14:paraId="76731C6E"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213.773</w:t>
            </w:r>
          </w:p>
        </w:tc>
      </w:tr>
      <w:tr w:rsidR="003302AA" w:rsidRPr="009B588E" w14:paraId="10C8041D" w14:textId="77777777" w:rsidTr="00A97BDE">
        <w:trPr>
          <w:trHeight w:hRule="exact" w:val="262"/>
        </w:trPr>
        <w:tc>
          <w:tcPr>
            <w:tcW w:w="1940" w:type="dxa"/>
            <w:tcBorders>
              <w:top w:val="single" w:sz="4" w:space="0" w:color="000000"/>
              <w:left w:val="none" w:sz="0" w:space="0" w:color="000000"/>
              <w:bottom w:val="none" w:sz="0" w:space="0" w:color="000000"/>
              <w:right w:val="none" w:sz="0" w:space="0" w:color="000000"/>
            </w:tcBorders>
            <w:vAlign w:val="center"/>
          </w:tcPr>
          <w:p w14:paraId="337239B3" w14:textId="77777777" w:rsidR="003302AA" w:rsidRPr="009B588E" w:rsidRDefault="003302AA" w:rsidP="00A97BDE">
            <w:pPr>
              <w:ind w:left="104"/>
              <w:rPr>
                <w:rFonts w:ascii="Tahoma" w:hAnsi="Tahoma"/>
                <w:color w:val="000000"/>
                <w:spacing w:val="-4"/>
                <w:lang w:val="en-US"/>
              </w:rPr>
            </w:pPr>
            <w:proofErr w:type="spellStart"/>
            <w:r w:rsidRPr="009B588E">
              <w:rPr>
                <w:rFonts w:ascii="Tahoma" w:hAnsi="Tahoma"/>
                <w:color w:val="000000"/>
                <w:spacing w:val="-4"/>
                <w:lang w:val="en-US"/>
              </w:rPr>
              <w:t>Porcentaje</w:t>
            </w:r>
            <w:proofErr w:type="spellEnd"/>
            <w:r w:rsidRPr="009B588E">
              <w:rPr>
                <w:rFonts w:ascii="Tahoma" w:hAnsi="Tahoma"/>
                <w:color w:val="000000"/>
                <w:spacing w:val="-4"/>
                <w:lang w:val="en-US"/>
              </w:rPr>
              <w:t xml:space="preserve"> de</w:t>
            </w:r>
          </w:p>
        </w:tc>
        <w:tc>
          <w:tcPr>
            <w:tcW w:w="850" w:type="dxa"/>
            <w:tcBorders>
              <w:top w:val="single" w:sz="4" w:space="0" w:color="000000"/>
              <w:left w:val="none" w:sz="0" w:space="0" w:color="000000"/>
              <w:bottom w:val="none" w:sz="0" w:space="0" w:color="000000"/>
              <w:right w:val="none" w:sz="0" w:space="0" w:color="000000"/>
            </w:tcBorders>
            <w:vAlign w:val="center"/>
          </w:tcPr>
          <w:p w14:paraId="401C4937"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20%</w:t>
            </w:r>
          </w:p>
        </w:tc>
        <w:tc>
          <w:tcPr>
            <w:tcW w:w="846" w:type="dxa"/>
            <w:tcBorders>
              <w:top w:val="single" w:sz="4" w:space="0" w:color="000000"/>
              <w:left w:val="none" w:sz="0" w:space="0" w:color="000000"/>
              <w:bottom w:val="none" w:sz="0" w:space="0" w:color="000000"/>
              <w:right w:val="none" w:sz="0" w:space="0" w:color="000000"/>
            </w:tcBorders>
            <w:vAlign w:val="center"/>
          </w:tcPr>
          <w:p w14:paraId="18319DDF"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40%</w:t>
            </w:r>
          </w:p>
        </w:tc>
        <w:tc>
          <w:tcPr>
            <w:tcW w:w="871" w:type="dxa"/>
            <w:tcBorders>
              <w:top w:val="single" w:sz="4" w:space="0" w:color="000000"/>
              <w:left w:val="none" w:sz="0" w:space="0" w:color="000000"/>
              <w:bottom w:val="none" w:sz="0" w:space="0" w:color="000000"/>
              <w:right w:val="none" w:sz="0" w:space="0" w:color="000000"/>
            </w:tcBorders>
            <w:vAlign w:val="center"/>
          </w:tcPr>
          <w:p w14:paraId="42823427"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60%</w:t>
            </w:r>
          </w:p>
        </w:tc>
        <w:tc>
          <w:tcPr>
            <w:tcW w:w="893" w:type="dxa"/>
            <w:tcBorders>
              <w:top w:val="single" w:sz="4" w:space="0" w:color="000000"/>
              <w:left w:val="none" w:sz="0" w:space="0" w:color="000000"/>
              <w:bottom w:val="none" w:sz="0" w:space="0" w:color="000000"/>
              <w:right w:val="single" w:sz="4" w:space="0" w:color="000000"/>
            </w:tcBorders>
            <w:vAlign w:val="center"/>
          </w:tcPr>
          <w:p w14:paraId="1817823B" w14:textId="77777777" w:rsidR="003302AA" w:rsidRPr="009B588E" w:rsidRDefault="003302AA" w:rsidP="00A97BDE">
            <w:pPr>
              <w:ind w:left="259"/>
              <w:rPr>
                <w:rFonts w:ascii="Tahoma" w:hAnsi="Tahoma"/>
                <w:color w:val="000000"/>
                <w:lang w:val="en-US"/>
              </w:rPr>
            </w:pPr>
            <w:r w:rsidRPr="009B588E">
              <w:rPr>
                <w:rFonts w:ascii="Tahoma" w:hAnsi="Tahoma"/>
                <w:color w:val="000000"/>
                <w:lang w:val="en-US"/>
              </w:rPr>
              <w:t>75%</w:t>
            </w:r>
          </w:p>
        </w:tc>
        <w:tc>
          <w:tcPr>
            <w:tcW w:w="1861" w:type="dxa"/>
            <w:tcBorders>
              <w:top w:val="single" w:sz="4" w:space="0" w:color="000000"/>
              <w:left w:val="single" w:sz="4" w:space="0" w:color="000000"/>
              <w:bottom w:val="none" w:sz="0" w:space="0" w:color="000000"/>
              <w:right w:val="single" w:sz="4" w:space="0" w:color="000000"/>
            </w:tcBorders>
          </w:tcPr>
          <w:p w14:paraId="58EBBE8A" w14:textId="77777777" w:rsidR="003302AA" w:rsidRPr="009B588E" w:rsidRDefault="003302AA" w:rsidP="00A97BDE">
            <w:pPr>
              <w:rPr>
                <w:rFonts w:ascii="Arial" w:hAnsi="Arial"/>
                <w:color w:val="000000"/>
                <w:lang w:val="en-US"/>
              </w:rPr>
            </w:pPr>
          </w:p>
        </w:tc>
        <w:tc>
          <w:tcPr>
            <w:tcW w:w="1508" w:type="dxa"/>
            <w:tcBorders>
              <w:top w:val="single" w:sz="4" w:space="0" w:color="000000"/>
              <w:left w:val="single" w:sz="4" w:space="0" w:color="000000"/>
              <w:bottom w:val="none" w:sz="0" w:space="0" w:color="000000"/>
              <w:right w:val="none" w:sz="0" w:space="0" w:color="000000"/>
            </w:tcBorders>
          </w:tcPr>
          <w:p w14:paraId="66F99B4F" w14:textId="77777777" w:rsidR="003302AA" w:rsidRPr="009B588E" w:rsidRDefault="003302AA" w:rsidP="00A97BDE">
            <w:pPr>
              <w:rPr>
                <w:rFonts w:ascii="Arial" w:hAnsi="Arial"/>
                <w:color w:val="000000"/>
                <w:lang w:val="en-US"/>
              </w:rPr>
            </w:pPr>
          </w:p>
        </w:tc>
      </w:tr>
      <w:tr w:rsidR="003302AA" w:rsidRPr="009B588E" w14:paraId="168BABE2" w14:textId="77777777" w:rsidTr="00A97BDE">
        <w:trPr>
          <w:trHeight w:hRule="exact" w:val="234"/>
        </w:trPr>
        <w:tc>
          <w:tcPr>
            <w:tcW w:w="1940" w:type="dxa"/>
            <w:tcBorders>
              <w:top w:val="none" w:sz="0" w:space="0" w:color="000000"/>
              <w:left w:val="none" w:sz="0" w:space="0" w:color="000000"/>
              <w:bottom w:val="single" w:sz="4" w:space="0" w:color="000000"/>
              <w:right w:val="none" w:sz="0" w:space="0" w:color="000000"/>
            </w:tcBorders>
            <w:vAlign w:val="center"/>
          </w:tcPr>
          <w:p w14:paraId="64527AEA" w14:textId="77777777" w:rsidR="003302AA" w:rsidRPr="009B588E" w:rsidRDefault="003302AA" w:rsidP="00A97BDE">
            <w:pPr>
              <w:ind w:left="104"/>
              <w:rPr>
                <w:rFonts w:ascii="Tahoma" w:hAnsi="Tahoma"/>
                <w:color w:val="000000"/>
                <w:lang w:val="en-US"/>
              </w:rPr>
            </w:pPr>
            <w:proofErr w:type="spellStart"/>
            <w:r w:rsidRPr="009B588E">
              <w:rPr>
                <w:rFonts w:ascii="Tahoma" w:hAnsi="Tahoma"/>
                <w:color w:val="000000"/>
                <w:lang w:val="en-US"/>
              </w:rPr>
              <w:t>Reducción</w:t>
            </w:r>
            <w:proofErr w:type="spellEnd"/>
          </w:p>
        </w:tc>
        <w:tc>
          <w:tcPr>
            <w:tcW w:w="850" w:type="dxa"/>
            <w:tcBorders>
              <w:top w:val="none" w:sz="0" w:space="0" w:color="000000"/>
              <w:left w:val="none" w:sz="0" w:space="0" w:color="000000"/>
              <w:bottom w:val="single" w:sz="4" w:space="0" w:color="000000"/>
              <w:right w:val="none" w:sz="0" w:space="0" w:color="000000"/>
            </w:tcBorders>
          </w:tcPr>
          <w:p w14:paraId="4B424D8E" w14:textId="77777777" w:rsidR="003302AA" w:rsidRPr="009B588E" w:rsidRDefault="003302AA" w:rsidP="00A97BDE">
            <w:pPr>
              <w:rPr>
                <w:rFonts w:ascii="Arial" w:hAnsi="Arial"/>
                <w:color w:val="000000"/>
                <w:lang w:val="en-US"/>
              </w:rPr>
            </w:pPr>
          </w:p>
        </w:tc>
        <w:tc>
          <w:tcPr>
            <w:tcW w:w="846" w:type="dxa"/>
            <w:tcBorders>
              <w:top w:val="none" w:sz="0" w:space="0" w:color="000000"/>
              <w:left w:val="none" w:sz="0" w:space="0" w:color="000000"/>
              <w:bottom w:val="single" w:sz="4" w:space="0" w:color="000000"/>
              <w:right w:val="none" w:sz="0" w:space="0" w:color="000000"/>
            </w:tcBorders>
          </w:tcPr>
          <w:p w14:paraId="49A625AA" w14:textId="77777777" w:rsidR="003302AA" w:rsidRPr="009B588E" w:rsidRDefault="003302AA" w:rsidP="00A97BDE">
            <w:pPr>
              <w:rPr>
                <w:rFonts w:ascii="Arial" w:hAnsi="Arial"/>
                <w:color w:val="000000"/>
                <w:lang w:val="en-US"/>
              </w:rPr>
            </w:pPr>
          </w:p>
        </w:tc>
        <w:tc>
          <w:tcPr>
            <w:tcW w:w="871" w:type="dxa"/>
            <w:tcBorders>
              <w:top w:val="none" w:sz="0" w:space="0" w:color="000000"/>
              <w:left w:val="none" w:sz="0" w:space="0" w:color="000000"/>
              <w:bottom w:val="single" w:sz="4" w:space="0" w:color="000000"/>
              <w:right w:val="none" w:sz="0" w:space="0" w:color="000000"/>
            </w:tcBorders>
          </w:tcPr>
          <w:p w14:paraId="05FFC5E0" w14:textId="77777777" w:rsidR="003302AA" w:rsidRPr="009B588E" w:rsidRDefault="003302AA" w:rsidP="00A97BDE">
            <w:pPr>
              <w:rPr>
                <w:rFonts w:ascii="Arial" w:hAnsi="Arial"/>
                <w:color w:val="000000"/>
                <w:lang w:val="en-US"/>
              </w:rPr>
            </w:pPr>
          </w:p>
        </w:tc>
        <w:tc>
          <w:tcPr>
            <w:tcW w:w="893" w:type="dxa"/>
            <w:tcBorders>
              <w:top w:val="none" w:sz="0" w:space="0" w:color="000000"/>
              <w:left w:val="none" w:sz="0" w:space="0" w:color="000000"/>
              <w:bottom w:val="single" w:sz="4" w:space="0" w:color="000000"/>
              <w:right w:val="single" w:sz="4" w:space="0" w:color="000000"/>
            </w:tcBorders>
          </w:tcPr>
          <w:p w14:paraId="4056D10E" w14:textId="77777777" w:rsidR="003302AA" w:rsidRPr="009B588E" w:rsidRDefault="003302AA" w:rsidP="00A97BDE">
            <w:pPr>
              <w:rPr>
                <w:rFonts w:ascii="Arial" w:hAnsi="Arial"/>
                <w:color w:val="000000"/>
                <w:lang w:val="en-US"/>
              </w:rPr>
            </w:pPr>
          </w:p>
        </w:tc>
        <w:tc>
          <w:tcPr>
            <w:tcW w:w="1861" w:type="dxa"/>
            <w:tcBorders>
              <w:top w:val="none" w:sz="0" w:space="0" w:color="000000"/>
              <w:left w:val="single" w:sz="4" w:space="0" w:color="000000"/>
              <w:bottom w:val="single" w:sz="4" w:space="0" w:color="000000"/>
              <w:right w:val="single" w:sz="4" w:space="0" w:color="000000"/>
            </w:tcBorders>
          </w:tcPr>
          <w:p w14:paraId="5D9EE624" w14:textId="77777777" w:rsidR="003302AA" w:rsidRPr="009B588E" w:rsidRDefault="003302AA" w:rsidP="00A97BDE">
            <w:pPr>
              <w:rPr>
                <w:rFonts w:ascii="Arial" w:hAnsi="Arial"/>
                <w:color w:val="000000"/>
                <w:lang w:val="en-US"/>
              </w:rPr>
            </w:pPr>
          </w:p>
        </w:tc>
        <w:tc>
          <w:tcPr>
            <w:tcW w:w="1508" w:type="dxa"/>
            <w:tcBorders>
              <w:top w:val="none" w:sz="0" w:space="0" w:color="000000"/>
              <w:left w:val="single" w:sz="4" w:space="0" w:color="000000"/>
              <w:bottom w:val="single" w:sz="4" w:space="0" w:color="000000"/>
              <w:right w:val="none" w:sz="0" w:space="0" w:color="000000"/>
            </w:tcBorders>
          </w:tcPr>
          <w:p w14:paraId="33EFEE09" w14:textId="77777777" w:rsidR="003302AA" w:rsidRPr="009B588E" w:rsidRDefault="003302AA" w:rsidP="00A97BDE">
            <w:pPr>
              <w:rPr>
                <w:rFonts w:ascii="Arial" w:hAnsi="Arial"/>
                <w:color w:val="000000"/>
                <w:lang w:val="en-US"/>
              </w:rPr>
            </w:pPr>
          </w:p>
        </w:tc>
      </w:tr>
      <w:tr w:rsidR="003302AA" w:rsidRPr="009B588E" w14:paraId="28E0DCB9" w14:textId="77777777" w:rsidTr="00A97BDE">
        <w:trPr>
          <w:trHeight w:hRule="exact" w:val="267"/>
        </w:trPr>
        <w:tc>
          <w:tcPr>
            <w:tcW w:w="1940" w:type="dxa"/>
            <w:tcBorders>
              <w:top w:val="single" w:sz="4" w:space="0" w:color="000000"/>
              <w:left w:val="none" w:sz="0" w:space="0" w:color="000000"/>
              <w:bottom w:val="none" w:sz="0" w:space="0" w:color="000000"/>
              <w:right w:val="none" w:sz="0" w:space="0" w:color="000000"/>
            </w:tcBorders>
            <w:vAlign w:val="center"/>
          </w:tcPr>
          <w:p w14:paraId="074DC410" w14:textId="77777777" w:rsidR="003302AA" w:rsidRPr="009B588E" w:rsidRDefault="003302AA" w:rsidP="00A97BDE">
            <w:pPr>
              <w:ind w:left="104"/>
              <w:rPr>
                <w:rFonts w:ascii="Tahoma" w:hAnsi="Tahoma"/>
                <w:color w:val="000000"/>
                <w:spacing w:val="-2"/>
                <w:lang w:val="en-US"/>
              </w:rPr>
            </w:pPr>
            <w:proofErr w:type="spellStart"/>
            <w:r w:rsidRPr="009B588E">
              <w:rPr>
                <w:rFonts w:ascii="Tahoma" w:hAnsi="Tahoma"/>
                <w:color w:val="000000"/>
                <w:spacing w:val="-2"/>
                <w:lang w:val="en-US"/>
              </w:rPr>
              <w:t>Menor</w:t>
            </w:r>
            <w:proofErr w:type="spellEnd"/>
            <w:r w:rsidRPr="009B588E">
              <w:rPr>
                <w:rFonts w:ascii="Tahoma" w:hAnsi="Tahoma"/>
                <w:color w:val="000000"/>
                <w:spacing w:val="-2"/>
                <w:lang w:val="en-US"/>
              </w:rPr>
              <w:t xml:space="preserve"> </w:t>
            </w:r>
            <w:proofErr w:type="spellStart"/>
            <w:r w:rsidRPr="009B588E">
              <w:rPr>
                <w:rFonts w:ascii="Tahoma" w:hAnsi="Tahoma"/>
                <w:color w:val="000000"/>
                <w:spacing w:val="-2"/>
                <w:lang w:val="en-US"/>
              </w:rPr>
              <w:t>pago</w:t>
            </w:r>
            <w:proofErr w:type="spellEnd"/>
            <w:r w:rsidRPr="009B588E">
              <w:rPr>
                <w:rFonts w:ascii="Tahoma" w:hAnsi="Tahoma"/>
                <w:color w:val="000000"/>
                <w:spacing w:val="-2"/>
                <w:lang w:val="en-US"/>
              </w:rPr>
              <w:t xml:space="preserve"> de IVA</w:t>
            </w:r>
          </w:p>
        </w:tc>
        <w:tc>
          <w:tcPr>
            <w:tcW w:w="850" w:type="dxa"/>
            <w:tcBorders>
              <w:top w:val="single" w:sz="4" w:space="0" w:color="000000"/>
              <w:left w:val="none" w:sz="0" w:space="0" w:color="000000"/>
              <w:bottom w:val="none" w:sz="0" w:space="0" w:color="000000"/>
              <w:right w:val="none" w:sz="0" w:space="0" w:color="000000"/>
            </w:tcBorders>
            <w:vAlign w:val="center"/>
          </w:tcPr>
          <w:p w14:paraId="4D674DD0"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18,6</w:t>
            </w:r>
          </w:p>
        </w:tc>
        <w:tc>
          <w:tcPr>
            <w:tcW w:w="846" w:type="dxa"/>
            <w:tcBorders>
              <w:top w:val="single" w:sz="4" w:space="0" w:color="000000"/>
              <w:left w:val="none" w:sz="0" w:space="0" w:color="000000"/>
              <w:bottom w:val="none" w:sz="0" w:space="0" w:color="000000"/>
              <w:right w:val="none" w:sz="0" w:space="0" w:color="000000"/>
            </w:tcBorders>
            <w:vAlign w:val="center"/>
          </w:tcPr>
          <w:p w14:paraId="0F2100A7"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25,0</w:t>
            </w:r>
          </w:p>
        </w:tc>
        <w:tc>
          <w:tcPr>
            <w:tcW w:w="871" w:type="dxa"/>
            <w:tcBorders>
              <w:top w:val="single" w:sz="4" w:space="0" w:color="000000"/>
              <w:left w:val="none" w:sz="0" w:space="0" w:color="000000"/>
              <w:bottom w:val="none" w:sz="0" w:space="0" w:color="000000"/>
              <w:right w:val="none" w:sz="0" w:space="0" w:color="000000"/>
            </w:tcBorders>
            <w:vAlign w:val="center"/>
          </w:tcPr>
          <w:p w14:paraId="0022C337"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29,7</w:t>
            </w:r>
          </w:p>
        </w:tc>
        <w:tc>
          <w:tcPr>
            <w:tcW w:w="893" w:type="dxa"/>
            <w:tcBorders>
              <w:top w:val="single" w:sz="4" w:space="0" w:color="000000"/>
              <w:left w:val="none" w:sz="0" w:space="0" w:color="000000"/>
              <w:bottom w:val="none" w:sz="0" w:space="0" w:color="000000"/>
              <w:right w:val="single" w:sz="4" w:space="0" w:color="000000"/>
            </w:tcBorders>
            <w:vAlign w:val="center"/>
          </w:tcPr>
          <w:p w14:paraId="50A7BF77" w14:textId="77777777" w:rsidR="003302AA" w:rsidRPr="009B588E" w:rsidRDefault="003302AA" w:rsidP="00A97BDE">
            <w:pPr>
              <w:ind w:left="259"/>
              <w:rPr>
                <w:rFonts w:ascii="Tahoma" w:hAnsi="Tahoma"/>
                <w:color w:val="000000"/>
                <w:lang w:val="en-US"/>
              </w:rPr>
            </w:pPr>
            <w:r w:rsidRPr="009B588E">
              <w:rPr>
                <w:rFonts w:ascii="Tahoma" w:hAnsi="Tahoma"/>
                <w:color w:val="000000"/>
                <w:lang w:val="en-US"/>
              </w:rPr>
              <w:t>98,6</w:t>
            </w:r>
          </w:p>
        </w:tc>
        <w:tc>
          <w:tcPr>
            <w:tcW w:w="1861" w:type="dxa"/>
            <w:tcBorders>
              <w:top w:val="single" w:sz="4" w:space="0" w:color="000000"/>
              <w:left w:val="single" w:sz="4" w:space="0" w:color="000000"/>
              <w:bottom w:val="none" w:sz="0" w:space="0" w:color="000000"/>
              <w:right w:val="single" w:sz="4" w:space="0" w:color="000000"/>
            </w:tcBorders>
            <w:vAlign w:val="center"/>
          </w:tcPr>
          <w:p w14:paraId="4E6911B2"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171,9</w:t>
            </w:r>
          </w:p>
        </w:tc>
        <w:tc>
          <w:tcPr>
            <w:tcW w:w="1508" w:type="dxa"/>
            <w:tcBorders>
              <w:top w:val="single" w:sz="4" w:space="0" w:color="000000"/>
              <w:left w:val="single" w:sz="4" w:space="0" w:color="000000"/>
              <w:bottom w:val="none" w:sz="0" w:space="0" w:color="000000"/>
              <w:right w:val="none" w:sz="0" w:space="0" w:color="000000"/>
            </w:tcBorders>
            <w:vAlign w:val="center"/>
          </w:tcPr>
          <w:p w14:paraId="2FD8BD3F" w14:textId="77777777" w:rsidR="003302AA" w:rsidRPr="009B588E" w:rsidRDefault="003302AA" w:rsidP="00A97BDE">
            <w:pPr>
              <w:jc w:val="center"/>
              <w:rPr>
                <w:rFonts w:ascii="Tahoma" w:hAnsi="Tahoma"/>
                <w:color w:val="000000"/>
                <w:lang w:val="en-US"/>
              </w:rPr>
            </w:pPr>
            <w:r w:rsidRPr="009B588E">
              <w:rPr>
                <w:rFonts w:ascii="Tahoma" w:hAnsi="Tahoma"/>
                <w:color w:val="000000"/>
                <w:lang w:val="en-US"/>
              </w:rPr>
              <w:t>174</w:t>
            </w:r>
          </w:p>
        </w:tc>
      </w:tr>
      <w:tr w:rsidR="003302AA" w:rsidRPr="009B588E" w14:paraId="7B712835" w14:textId="77777777" w:rsidTr="00A97BDE">
        <w:trPr>
          <w:trHeight w:hRule="exact" w:val="248"/>
        </w:trPr>
        <w:tc>
          <w:tcPr>
            <w:tcW w:w="1940" w:type="dxa"/>
            <w:tcBorders>
              <w:top w:val="none" w:sz="0" w:space="0" w:color="000000"/>
              <w:left w:val="none" w:sz="0" w:space="0" w:color="000000"/>
              <w:bottom w:val="single" w:sz="4" w:space="0" w:color="000000"/>
              <w:right w:val="none" w:sz="0" w:space="0" w:color="000000"/>
            </w:tcBorders>
            <w:vAlign w:val="center"/>
          </w:tcPr>
          <w:p w14:paraId="55807FF2" w14:textId="77777777" w:rsidR="003302AA" w:rsidRPr="009B588E" w:rsidRDefault="003302AA" w:rsidP="00A97BDE">
            <w:pPr>
              <w:ind w:left="104"/>
              <w:rPr>
                <w:rFonts w:ascii="Tahoma" w:hAnsi="Tahoma"/>
                <w:color w:val="000000"/>
                <w:lang w:val="en-US"/>
              </w:rPr>
            </w:pPr>
            <w:r w:rsidRPr="009B588E">
              <w:rPr>
                <w:rFonts w:ascii="Tahoma" w:hAnsi="Tahoma"/>
                <w:color w:val="000000"/>
                <w:lang w:val="en-US"/>
              </w:rPr>
              <w:t>(MM de US$)</w:t>
            </w:r>
          </w:p>
        </w:tc>
        <w:tc>
          <w:tcPr>
            <w:tcW w:w="850" w:type="dxa"/>
            <w:tcBorders>
              <w:top w:val="none" w:sz="0" w:space="0" w:color="000000"/>
              <w:left w:val="none" w:sz="0" w:space="0" w:color="000000"/>
              <w:bottom w:val="single" w:sz="4" w:space="0" w:color="000000"/>
              <w:right w:val="none" w:sz="0" w:space="0" w:color="000000"/>
            </w:tcBorders>
          </w:tcPr>
          <w:p w14:paraId="3DB93F7B" w14:textId="77777777" w:rsidR="003302AA" w:rsidRPr="009B588E" w:rsidRDefault="003302AA" w:rsidP="00A97BDE">
            <w:pPr>
              <w:rPr>
                <w:rFonts w:ascii="Arial" w:hAnsi="Arial"/>
                <w:color w:val="000000"/>
                <w:lang w:val="en-US"/>
              </w:rPr>
            </w:pPr>
          </w:p>
        </w:tc>
        <w:tc>
          <w:tcPr>
            <w:tcW w:w="846" w:type="dxa"/>
            <w:tcBorders>
              <w:top w:val="none" w:sz="0" w:space="0" w:color="000000"/>
              <w:left w:val="none" w:sz="0" w:space="0" w:color="000000"/>
              <w:bottom w:val="single" w:sz="4" w:space="0" w:color="000000"/>
              <w:right w:val="none" w:sz="0" w:space="0" w:color="000000"/>
            </w:tcBorders>
          </w:tcPr>
          <w:p w14:paraId="06C51FFD" w14:textId="77777777" w:rsidR="003302AA" w:rsidRPr="009B588E" w:rsidRDefault="003302AA" w:rsidP="00A97BDE">
            <w:pPr>
              <w:rPr>
                <w:rFonts w:ascii="Arial" w:hAnsi="Arial"/>
                <w:color w:val="000000"/>
                <w:lang w:val="en-US"/>
              </w:rPr>
            </w:pPr>
          </w:p>
        </w:tc>
        <w:tc>
          <w:tcPr>
            <w:tcW w:w="871" w:type="dxa"/>
            <w:tcBorders>
              <w:top w:val="none" w:sz="0" w:space="0" w:color="000000"/>
              <w:left w:val="none" w:sz="0" w:space="0" w:color="000000"/>
              <w:bottom w:val="single" w:sz="4" w:space="0" w:color="000000"/>
              <w:right w:val="none" w:sz="0" w:space="0" w:color="000000"/>
            </w:tcBorders>
          </w:tcPr>
          <w:p w14:paraId="5368D944" w14:textId="77777777" w:rsidR="003302AA" w:rsidRPr="009B588E" w:rsidRDefault="003302AA" w:rsidP="00A97BDE">
            <w:pPr>
              <w:rPr>
                <w:rFonts w:ascii="Arial" w:hAnsi="Arial"/>
                <w:color w:val="000000"/>
                <w:lang w:val="en-US"/>
              </w:rPr>
            </w:pPr>
          </w:p>
        </w:tc>
        <w:tc>
          <w:tcPr>
            <w:tcW w:w="893" w:type="dxa"/>
            <w:tcBorders>
              <w:top w:val="none" w:sz="0" w:space="0" w:color="000000"/>
              <w:left w:val="none" w:sz="0" w:space="0" w:color="000000"/>
              <w:bottom w:val="single" w:sz="4" w:space="0" w:color="000000"/>
              <w:right w:val="single" w:sz="4" w:space="0" w:color="000000"/>
            </w:tcBorders>
          </w:tcPr>
          <w:p w14:paraId="7863F3EB" w14:textId="77777777" w:rsidR="003302AA" w:rsidRPr="009B588E" w:rsidRDefault="003302AA" w:rsidP="00A97BDE">
            <w:pPr>
              <w:rPr>
                <w:rFonts w:ascii="Arial" w:hAnsi="Arial"/>
                <w:color w:val="000000"/>
                <w:lang w:val="en-US"/>
              </w:rPr>
            </w:pPr>
          </w:p>
        </w:tc>
        <w:tc>
          <w:tcPr>
            <w:tcW w:w="1861" w:type="dxa"/>
            <w:tcBorders>
              <w:top w:val="none" w:sz="0" w:space="0" w:color="000000"/>
              <w:left w:val="single" w:sz="4" w:space="0" w:color="000000"/>
              <w:bottom w:val="single" w:sz="4" w:space="0" w:color="000000"/>
              <w:right w:val="single" w:sz="4" w:space="0" w:color="000000"/>
            </w:tcBorders>
          </w:tcPr>
          <w:p w14:paraId="2D9185FE" w14:textId="77777777" w:rsidR="003302AA" w:rsidRPr="009B588E" w:rsidRDefault="003302AA" w:rsidP="00A97BDE">
            <w:pPr>
              <w:rPr>
                <w:rFonts w:ascii="Arial" w:hAnsi="Arial"/>
                <w:color w:val="000000"/>
                <w:lang w:val="en-US"/>
              </w:rPr>
            </w:pPr>
          </w:p>
        </w:tc>
        <w:tc>
          <w:tcPr>
            <w:tcW w:w="1508" w:type="dxa"/>
            <w:tcBorders>
              <w:top w:val="none" w:sz="0" w:space="0" w:color="000000"/>
              <w:left w:val="single" w:sz="4" w:space="0" w:color="000000"/>
              <w:bottom w:val="single" w:sz="4" w:space="0" w:color="000000"/>
              <w:right w:val="none" w:sz="0" w:space="0" w:color="000000"/>
            </w:tcBorders>
          </w:tcPr>
          <w:p w14:paraId="42CE326C" w14:textId="77777777" w:rsidR="003302AA" w:rsidRPr="009B588E" w:rsidRDefault="003302AA" w:rsidP="00A97BDE">
            <w:pPr>
              <w:rPr>
                <w:rFonts w:ascii="Arial" w:hAnsi="Arial"/>
                <w:color w:val="000000"/>
                <w:lang w:val="en-US"/>
              </w:rPr>
            </w:pPr>
          </w:p>
        </w:tc>
      </w:tr>
    </w:tbl>
    <w:p w14:paraId="3F206454" w14:textId="77777777" w:rsidR="003302AA" w:rsidRPr="00956644" w:rsidRDefault="003302AA" w:rsidP="003302AA">
      <w:pPr>
        <w:ind w:left="72"/>
        <w:rPr>
          <w:rFonts w:ascii="Times New Roman" w:hAnsi="Times New Roman"/>
          <w:b/>
          <w:color w:val="000000"/>
          <w:spacing w:val="-2"/>
          <w:sz w:val="18"/>
          <w:lang w:val="es-ES"/>
        </w:rPr>
      </w:pPr>
      <w:proofErr w:type="gramStart"/>
      <w:r w:rsidRPr="00956644">
        <w:rPr>
          <w:rFonts w:ascii="Times New Roman" w:hAnsi="Times New Roman"/>
          <w:b/>
          <w:color w:val="000000"/>
          <w:spacing w:val="-2"/>
          <w:sz w:val="18"/>
          <w:lang w:val="es-ES"/>
        </w:rPr>
        <w:t>s</w:t>
      </w:r>
      <w:r>
        <w:rPr>
          <w:rFonts w:ascii="Times New Roman" w:hAnsi="Times New Roman"/>
          <w:b/>
          <w:color w:val="000000"/>
          <w:spacing w:val="-2"/>
          <w:sz w:val="18"/>
          <w:lang w:val="es-ES"/>
        </w:rPr>
        <w:t>/i</w:t>
      </w:r>
      <w:proofErr w:type="gramEnd"/>
      <w:r w:rsidRPr="00956644">
        <w:rPr>
          <w:rFonts w:ascii="Times New Roman" w:hAnsi="Times New Roman"/>
          <w:b/>
          <w:color w:val="000000"/>
          <w:spacing w:val="-2"/>
          <w:sz w:val="18"/>
          <w:lang w:val="es-ES"/>
        </w:rPr>
        <w:t>: empresas sin información respect</w:t>
      </w:r>
      <w:r>
        <w:rPr>
          <w:rFonts w:ascii="Times New Roman" w:hAnsi="Times New Roman"/>
          <w:b/>
          <w:color w:val="000000"/>
          <w:spacing w:val="-2"/>
          <w:sz w:val="18"/>
          <w:lang w:val="es-ES"/>
        </w:rPr>
        <w:t>o a su tamañ</w:t>
      </w:r>
      <w:r w:rsidRPr="00956644">
        <w:rPr>
          <w:rFonts w:ascii="Times New Roman" w:hAnsi="Times New Roman"/>
          <w:b/>
          <w:color w:val="000000"/>
          <w:spacing w:val="-2"/>
          <w:sz w:val="18"/>
          <w:lang w:val="es-ES"/>
        </w:rPr>
        <w:t>o.</w:t>
      </w:r>
    </w:p>
    <w:p w14:paraId="58B5B3B8" w14:textId="77777777" w:rsidR="003302AA" w:rsidRPr="00956644" w:rsidRDefault="003302AA" w:rsidP="003302AA">
      <w:pPr>
        <w:pStyle w:val="Sinespaciado"/>
        <w:spacing w:line="276" w:lineRule="auto"/>
        <w:ind w:firstLine="708"/>
        <w:jc w:val="both"/>
        <w:rPr>
          <w:rFonts w:ascii="Arial" w:hAnsi="Arial" w:cs="Arial"/>
          <w:lang w:val="es-ES"/>
        </w:rPr>
      </w:pPr>
    </w:p>
    <w:p w14:paraId="4DBC8571" w14:textId="77777777" w:rsidR="003302AA" w:rsidRPr="00956644" w:rsidRDefault="003302AA" w:rsidP="003302AA">
      <w:pPr>
        <w:pStyle w:val="Sinespaciado"/>
        <w:spacing w:line="276" w:lineRule="auto"/>
        <w:ind w:firstLine="708"/>
        <w:jc w:val="both"/>
        <w:rPr>
          <w:rFonts w:ascii="Arial" w:hAnsi="Arial" w:cs="Arial"/>
        </w:rPr>
      </w:pPr>
    </w:p>
    <w:p w14:paraId="54581398" w14:textId="77777777" w:rsidR="003302AA" w:rsidRPr="00956644" w:rsidRDefault="003302AA" w:rsidP="003302AA">
      <w:pPr>
        <w:pStyle w:val="Sinespaciado"/>
        <w:spacing w:line="276" w:lineRule="auto"/>
        <w:ind w:firstLine="1701"/>
        <w:jc w:val="both"/>
        <w:rPr>
          <w:rFonts w:ascii="Arial" w:hAnsi="Arial" w:cs="Arial"/>
        </w:rPr>
      </w:pPr>
      <w:r w:rsidRPr="00956644">
        <w:rPr>
          <w:rFonts w:ascii="Arial" w:hAnsi="Arial" w:cs="Arial"/>
        </w:rPr>
        <w:t>De est</w:t>
      </w:r>
      <w:r>
        <w:rPr>
          <w:rFonts w:ascii="Arial" w:hAnsi="Arial" w:cs="Arial"/>
        </w:rPr>
        <w:t>a</w:t>
      </w:r>
      <w:r w:rsidRPr="00956644">
        <w:rPr>
          <w:rFonts w:ascii="Arial" w:hAnsi="Arial" w:cs="Arial"/>
        </w:rPr>
        <w:t xml:space="preserve"> manera, si las empresas que cumplen los requisitos decidieran hacer us</w:t>
      </w:r>
      <w:r>
        <w:rPr>
          <w:rFonts w:ascii="Arial" w:hAnsi="Arial" w:cs="Arial"/>
        </w:rPr>
        <w:t>o</w:t>
      </w:r>
      <w:r w:rsidRPr="00956644">
        <w:rPr>
          <w:rFonts w:ascii="Arial" w:hAnsi="Arial" w:cs="Arial"/>
        </w:rPr>
        <w:t xml:space="preserve"> de la postergación</w:t>
      </w:r>
      <w:r>
        <w:rPr>
          <w:rFonts w:ascii="Arial" w:hAnsi="Arial" w:cs="Arial"/>
        </w:rPr>
        <w:t xml:space="preserve"> del pago del IVA po</w:t>
      </w:r>
      <w:r w:rsidRPr="00956644">
        <w:rPr>
          <w:rFonts w:ascii="Arial" w:hAnsi="Arial" w:cs="Arial"/>
        </w:rPr>
        <w:t>r tres meses (octubre, noviembre y diciembre), el m</w:t>
      </w:r>
      <w:r>
        <w:rPr>
          <w:rFonts w:ascii="Arial" w:hAnsi="Arial" w:cs="Arial"/>
        </w:rPr>
        <w:t>onto</w:t>
      </w:r>
      <w:r w:rsidRPr="00956644">
        <w:rPr>
          <w:rFonts w:ascii="Arial" w:hAnsi="Arial" w:cs="Arial"/>
        </w:rPr>
        <w:t xml:space="preserve"> </w:t>
      </w:r>
      <w:r>
        <w:rPr>
          <w:rFonts w:ascii="Arial" w:hAnsi="Arial" w:cs="Arial"/>
        </w:rPr>
        <w:t>máximo</w:t>
      </w:r>
      <w:r w:rsidRPr="00956644">
        <w:rPr>
          <w:rFonts w:ascii="Arial" w:hAnsi="Arial" w:cs="Arial"/>
        </w:rPr>
        <w:t xml:space="preserve"> que el Fisco dejaría de percibir alcanza a US$ 521 millones, que </w:t>
      </w:r>
      <w:proofErr w:type="spellStart"/>
      <w:r w:rsidRPr="00956644">
        <w:rPr>
          <w:rFonts w:ascii="Arial" w:hAnsi="Arial" w:cs="Arial"/>
        </w:rPr>
        <w:t>serian</w:t>
      </w:r>
      <w:proofErr w:type="spellEnd"/>
      <w:r w:rsidRPr="00956644">
        <w:rPr>
          <w:rFonts w:ascii="Arial" w:hAnsi="Arial" w:cs="Arial"/>
        </w:rPr>
        <w:t xml:space="preserve"> ingresados posteriormente en 12 cuotas sucesivas a partir de febrero de 2020.</w:t>
      </w:r>
    </w:p>
    <w:p w14:paraId="51F49C5D" w14:textId="77777777" w:rsidR="003302AA" w:rsidRDefault="003302AA" w:rsidP="003302AA">
      <w:pPr>
        <w:pStyle w:val="Sinespaciado"/>
        <w:spacing w:line="276" w:lineRule="auto"/>
        <w:ind w:firstLine="1701"/>
        <w:jc w:val="both"/>
        <w:rPr>
          <w:rFonts w:ascii="Arial" w:hAnsi="Arial" w:cs="Arial"/>
          <w:b/>
          <w:i/>
        </w:rPr>
      </w:pPr>
    </w:p>
    <w:p w14:paraId="301F7613" w14:textId="77777777" w:rsidR="003302AA" w:rsidRPr="00956644" w:rsidRDefault="003302AA" w:rsidP="003302AA">
      <w:pPr>
        <w:pStyle w:val="Sinespaciado"/>
        <w:spacing w:line="276" w:lineRule="auto"/>
        <w:ind w:firstLine="1701"/>
        <w:jc w:val="both"/>
        <w:rPr>
          <w:rFonts w:ascii="Arial" w:hAnsi="Arial" w:cs="Arial"/>
          <w:b/>
          <w:i/>
        </w:rPr>
      </w:pPr>
      <w:r w:rsidRPr="00956644">
        <w:rPr>
          <w:rFonts w:ascii="Arial" w:hAnsi="Arial" w:cs="Arial"/>
          <w:b/>
          <w:i/>
        </w:rPr>
        <w:t>Devolución anticipada de renta</w:t>
      </w:r>
    </w:p>
    <w:p w14:paraId="42018C05" w14:textId="77777777" w:rsidR="003302AA" w:rsidRDefault="003302AA" w:rsidP="003302AA">
      <w:pPr>
        <w:pStyle w:val="Sinespaciado"/>
        <w:spacing w:line="276" w:lineRule="auto"/>
        <w:ind w:firstLine="1701"/>
        <w:jc w:val="both"/>
        <w:rPr>
          <w:rFonts w:ascii="Arial" w:hAnsi="Arial" w:cs="Arial"/>
        </w:rPr>
      </w:pPr>
      <w:r w:rsidRPr="00956644">
        <w:rPr>
          <w:rFonts w:ascii="Arial" w:hAnsi="Arial" w:cs="Arial"/>
        </w:rPr>
        <w:t xml:space="preserve">Las Mipymes que, el mes de octubre de 2019, hayan experimentado una disminución de su facturación que exceda de un 10% respecto del promedio de su facturación declarada los 12 anteriores, podrán solicitar el anticipo asociado a </w:t>
      </w:r>
      <w:r>
        <w:rPr>
          <w:rFonts w:ascii="Arial" w:hAnsi="Arial" w:cs="Arial"/>
        </w:rPr>
        <w:t>la</w:t>
      </w:r>
      <w:r w:rsidRPr="00956644">
        <w:rPr>
          <w:rFonts w:ascii="Arial" w:hAnsi="Arial" w:cs="Arial"/>
        </w:rPr>
        <w:t xml:space="preserve"> Operac</w:t>
      </w:r>
      <w:r>
        <w:rPr>
          <w:rFonts w:ascii="Arial" w:hAnsi="Arial" w:cs="Arial"/>
        </w:rPr>
        <w:t>ión Renta. Este se calculara como</w:t>
      </w:r>
      <w:r w:rsidRPr="00956644">
        <w:rPr>
          <w:rFonts w:ascii="Arial" w:hAnsi="Arial" w:cs="Arial"/>
        </w:rPr>
        <w:t xml:space="preserve">: </w:t>
      </w:r>
      <w:r>
        <w:rPr>
          <w:rFonts w:ascii="Arial" w:hAnsi="Arial" w:cs="Arial"/>
        </w:rPr>
        <w:t>“t-B", donde "t”</w:t>
      </w:r>
      <w:r w:rsidRPr="00956644">
        <w:rPr>
          <w:rFonts w:ascii="Arial" w:hAnsi="Arial" w:cs="Arial"/>
        </w:rPr>
        <w:t xml:space="preserve"> es un porcentaje de devolución determinado en base a </w:t>
      </w:r>
      <w:r>
        <w:rPr>
          <w:rFonts w:ascii="Arial" w:hAnsi="Arial" w:cs="Arial"/>
        </w:rPr>
        <w:t>la</w:t>
      </w:r>
      <w:r w:rsidRPr="00956644">
        <w:rPr>
          <w:rFonts w:ascii="Arial" w:hAnsi="Arial" w:cs="Arial"/>
        </w:rPr>
        <w:t xml:space="preserve"> caída de facturación en octubre,</w:t>
      </w:r>
      <w:r>
        <w:rPr>
          <w:rFonts w:ascii="Arial" w:hAnsi="Arial" w:cs="Arial"/>
        </w:rPr>
        <w:t xml:space="preserve"> tal coma se indica en el Cuadro</w:t>
      </w:r>
      <w:r w:rsidRPr="00956644">
        <w:rPr>
          <w:rFonts w:ascii="Arial" w:hAnsi="Arial" w:cs="Arial"/>
        </w:rPr>
        <w:t xml:space="preserve"> N</w:t>
      </w:r>
      <w:r>
        <w:rPr>
          <w:rFonts w:ascii="Arial" w:hAnsi="Arial" w:cs="Arial"/>
        </w:rPr>
        <w:t>°</w:t>
      </w:r>
      <w:r w:rsidRPr="00956644">
        <w:rPr>
          <w:rFonts w:ascii="Arial" w:hAnsi="Arial" w:cs="Arial"/>
        </w:rPr>
        <w:t xml:space="preserve"> 3, y "B" será el promedio simple generado entre: 1) la suma de los PPM pagados por </w:t>
      </w:r>
      <w:r>
        <w:rPr>
          <w:rFonts w:ascii="Arial" w:hAnsi="Arial" w:cs="Arial"/>
        </w:rPr>
        <w:t>la</w:t>
      </w:r>
      <w:r w:rsidRPr="00956644">
        <w:rPr>
          <w:rFonts w:ascii="Arial" w:hAnsi="Arial" w:cs="Arial"/>
        </w:rPr>
        <w:t xml:space="preserve"> empresa hasta septiembre del presente </w:t>
      </w:r>
      <w:r>
        <w:rPr>
          <w:rFonts w:ascii="Arial" w:hAnsi="Arial" w:cs="Arial"/>
        </w:rPr>
        <w:t>año, reajustados por I</w:t>
      </w:r>
      <w:r w:rsidRPr="00956644">
        <w:rPr>
          <w:rFonts w:ascii="Arial" w:hAnsi="Arial" w:cs="Arial"/>
        </w:rPr>
        <w:t xml:space="preserve">PC y, 2) el promedio simple de las devoluciones recibidas en los </w:t>
      </w:r>
      <w:r>
        <w:rPr>
          <w:rFonts w:ascii="Arial" w:hAnsi="Arial" w:cs="Arial"/>
        </w:rPr>
        <w:t>años</w:t>
      </w:r>
      <w:r w:rsidRPr="00956644">
        <w:rPr>
          <w:rFonts w:ascii="Arial" w:hAnsi="Arial" w:cs="Arial"/>
        </w:rPr>
        <w:t xml:space="preserve"> tributarios 2018 y 2019, expresadas en UTM. El mínimo de devolución será de 1 UTM.</w:t>
      </w:r>
    </w:p>
    <w:p w14:paraId="506582D8" w14:textId="77777777" w:rsidR="003302AA" w:rsidRPr="009B588E" w:rsidRDefault="003302AA" w:rsidP="003302AA">
      <w:pPr>
        <w:spacing w:before="216" w:after="36"/>
        <w:jc w:val="center"/>
        <w:rPr>
          <w:rFonts w:ascii="Arial" w:hAnsi="Arial" w:cs="Arial"/>
          <w:color w:val="000000"/>
          <w:spacing w:val="-11"/>
          <w:u w:val="single"/>
          <w:lang w:val="es-ES"/>
        </w:rPr>
      </w:pPr>
      <w:r w:rsidRPr="009B588E">
        <w:rPr>
          <w:rFonts w:ascii="Arial" w:hAnsi="Arial" w:cs="Arial"/>
          <w:color w:val="000000"/>
          <w:spacing w:val="-11"/>
          <w:u w:val="single"/>
          <w:lang w:val="es-ES"/>
        </w:rPr>
        <w:t xml:space="preserve">Cuadro N° 3: Beneficio devolución anticipada de renta, según caída en la facturación de </w:t>
      </w:r>
      <w:r w:rsidRPr="009B588E">
        <w:rPr>
          <w:rFonts w:ascii="Arial" w:hAnsi="Arial" w:cs="Arial"/>
          <w:color w:val="000000"/>
          <w:spacing w:val="-11"/>
          <w:u w:val="single"/>
          <w:lang w:val="es-ES"/>
        </w:rPr>
        <w:br/>
        <w:t>octubre 2019 respecto al promedio de los 12 meses previos</w:t>
      </w:r>
    </w:p>
    <w:p w14:paraId="615968F1" w14:textId="77777777" w:rsidR="003302AA" w:rsidRPr="009B588E" w:rsidRDefault="003302AA" w:rsidP="003302AA">
      <w:pPr>
        <w:spacing w:before="216" w:after="36"/>
        <w:jc w:val="center"/>
        <w:rPr>
          <w:rFonts w:ascii="Arial" w:hAnsi="Arial" w:cs="Arial"/>
          <w:color w:val="000000"/>
          <w:spacing w:val="-11"/>
          <w:lang w:val="es-ES"/>
        </w:rPr>
      </w:pPr>
    </w:p>
    <w:tbl>
      <w:tblPr>
        <w:tblW w:w="0" w:type="auto"/>
        <w:tblInd w:w="2474" w:type="dxa"/>
        <w:tblLayout w:type="fixed"/>
        <w:tblCellMar>
          <w:left w:w="0" w:type="dxa"/>
          <w:right w:w="0" w:type="dxa"/>
        </w:tblCellMar>
        <w:tblLook w:val="04A0" w:firstRow="1" w:lastRow="0" w:firstColumn="1" w:lastColumn="0" w:noHBand="0" w:noVBand="1"/>
      </w:tblPr>
      <w:tblGrid>
        <w:gridCol w:w="2149"/>
        <w:gridCol w:w="1890"/>
      </w:tblGrid>
      <w:tr w:rsidR="003302AA" w:rsidRPr="00F81A99" w14:paraId="6D1405CB" w14:textId="77777777" w:rsidTr="00A97BDE">
        <w:trPr>
          <w:trHeight w:hRule="exact" w:val="569"/>
        </w:trPr>
        <w:tc>
          <w:tcPr>
            <w:tcW w:w="2149" w:type="dxa"/>
            <w:tcBorders>
              <w:top w:val="single" w:sz="40" w:space="0" w:color="000000"/>
              <w:left w:val="single" w:sz="4" w:space="0" w:color="000000"/>
              <w:bottom w:val="none" w:sz="0" w:space="0" w:color="000000"/>
              <w:right w:val="none" w:sz="0" w:space="0" w:color="000000"/>
            </w:tcBorders>
            <w:shd w:val="clear" w:color="0469B2" w:fill="0469B2"/>
          </w:tcPr>
          <w:p w14:paraId="3E1BC28A" w14:textId="77777777" w:rsidR="003302AA" w:rsidRPr="00F81A99" w:rsidRDefault="003302AA" w:rsidP="00A97BDE">
            <w:pPr>
              <w:jc w:val="center"/>
              <w:rPr>
                <w:rFonts w:ascii="Tahoma" w:hAnsi="Tahoma"/>
                <w:b/>
                <w:color w:val="ECF5F9"/>
                <w:sz w:val="16"/>
                <w:lang w:val="es-ES"/>
              </w:rPr>
            </w:pPr>
            <w:r w:rsidRPr="00F81A99">
              <w:rPr>
                <w:rFonts w:ascii="Tahoma" w:hAnsi="Tahoma"/>
                <w:b/>
                <w:color w:val="ECF5F9"/>
                <w:sz w:val="16"/>
                <w:lang w:val="es-ES"/>
              </w:rPr>
              <w:t xml:space="preserve">Porcentaje de caída </w:t>
            </w:r>
            <w:r w:rsidRPr="00F81A99">
              <w:rPr>
                <w:rFonts w:ascii="Tahoma" w:hAnsi="Tahoma"/>
                <w:b/>
                <w:color w:val="ECF5F9"/>
                <w:sz w:val="16"/>
                <w:lang w:val="es-ES"/>
              </w:rPr>
              <w:br/>
              <w:t xml:space="preserve">en </w:t>
            </w:r>
            <w:r>
              <w:rPr>
                <w:rFonts w:ascii="Tahoma" w:hAnsi="Tahoma"/>
                <w:b/>
                <w:color w:val="ECF5F9"/>
                <w:sz w:val="16"/>
                <w:lang w:val="es-ES"/>
              </w:rPr>
              <w:t>la</w:t>
            </w:r>
            <w:r w:rsidRPr="00F81A99">
              <w:rPr>
                <w:rFonts w:ascii="Tahoma" w:hAnsi="Tahoma"/>
                <w:b/>
                <w:color w:val="ECF5F9"/>
                <w:sz w:val="16"/>
                <w:lang w:val="es-ES"/>
              </w:rPr>
              <w:t xml:space="preserve"> facturación</w:t>
            </w:r>
          </w:p>
        </w:tc>
        <w:tc>
          <w:tcPr>
            <w:tcW w:w="1890" w:type="dxa"/>
            <w:tcBorders>
              <w:top w:val="single" w:sz="40" w:space="0" w:color="000000"/>
              <w:left w:val="none" w:sz="0" w:space="0" w:color="000000"/>
              <w:bottom w:val="none" w:sz="0" w:space="0" w:color="000000"/>
              <w:right w:val="single" w:sz="4" w:space="0" w:color="000000"/>
            </w:tcBorders>
            <w:shd w:val="clear" w:color="0469B2" w:fill="0469B2"/>
          </w:tcPr>
          <w:p w14:paraId="4A02EB91" w14:textId="77777777" w:rsidR="003302AA" w:rsidRPr="00F81A99" w:rsidRDefault="003302AA" w:rsidP="00A97BDE">
            <w:pPr>
              <w:jc w:val="center"/>
              <w:rPr>
                <w:rFonts w:ascii="Tahoma" w:hAnsi="Tahoma"/>
                <w:b/>
                <w:color w:val="ECF5F9"/>
                <w:sz w:val="16"/>
                <w:lang w:val="en-US"/>
              </w:rPr>
            </w:pPr>
            <w:proofErr w:type="spellStart"/>
            <w:r w:rsidRPr="00F81A99">
              <w:rPr>
                <w:rFonts w:ascii="Tahoma" w:hAnsi="Tahoma"/>
                <w:b/>
                <w:color w:val="ECF5F9"/>
                <w:sz w:val="16"/>
                <w:lang w:val="en-US"/>
              </w:rPr>
              <w:t>Porcentaje</w:t>
            </w:r>
            <w:proofErr w:type="spellEnd"/>
            <w:r w:rsidRPr="00F81A99">
              <w:rPr>
                <w:rFonts w:ascii="Tahoma" w:hAnsi="Tahoma"/>
                <w:b/>
                <w:color w:val="ECF5F9"/>
                <w:sz w:val="16"/>
                <w:lang w:val="en-US"/>
              </w:rPr>
              <w:t xml:space="preserve"> de </w:t>
            </w:r>
            <w:r w:rsidRPr="00F81A99">
              <w:rPr>
                <w:rFonts w:ascii="Tahoma" w:hAnsi="Tahoma"/>
                <w:b/>
                <w:color w:val="ECF5F9"/>
                <w:sz w:val="16"/>
                <w:lang w:val="en-US"/>
              </w:rPr>
              <w:br/>
            </w:r>
            <w:proofErr w:type="spellStart"/>
            <w:r w:rsidRPr="00F81A99">
              <w:rPr>
                <w:rFonts w:ascii="Tahoma" w:hAnsi="Tahoma"/>
                <w:b/>
                <w:color w:val="ECF5F9"/>
                <w:sz w:val="16"/>
                <w:lang w:val="en-US"/>
              </w:rPr>
              <w:t>devoluci</w:t>
            </w:r>
            <w:r>
              <w:rPr>
                <w:rFonts w:ascii="Tahoma" w:hAnsi="Tahoma"/>
                <w:b/>
                <w:color w:val="ECF5F9"/>
                <w:sz w:val="16"/>
                <w:lang w:val="en-US"/>
              </w:rPr>
              <w:t>ó</w:t>
            </w:r>
            <w:r w:rsidRPr="00F81A99">
              <w:rPr>
                <w:rFonts w:ascii="Tahoma" w:hAnsi="Tahoma"/>
                <w:b/>
                <w:color w:val="ECF5F9"/>
                <w:sz w:val="16"/>
                <w:lang w:val="en-US"/>
              </w:rPr>
              <w:t>n</w:t>
            </w:r>
            <w:proofErr w:type="spellEnd"/>
          </w:p>
        </w:tc>
      </w:tr>
      <w:tr w:rsidR="003302AA" w:rsidRPr="00F81A99" w14:paraId="185E4E66" w14:textId="77777777" w:rsidTr="00A97BDE">
        <w:trPr>
          <w:trHeight w:hRule="exact" w:val="281"/>
        </w:trPr>
        <w:tc>
          <w:tcPr>
            <w:tcW w:w="2149" w:type="dxa"/>
            <w:tcBorders>
              <w:top w:val="none" w:sz="0" w:space="0" w:color="000000"/>
              <w:left w:val="single" w:sz="4" w:space="0" w:color="000000"/>
              <w:bottom w:val="single" w:sz="4" w:space="0" w:color="000000"/>
              <w:right w:val="none" w:sz="0" w:space="0" w:color="000000"/>
            </w:tcBorders>
            <w:vAlign w:val="center"/>
          </w:tcPr>
          <w:p w14:paraId="342F4112" w14:textId="77777777" w:rsidR="003302AA" w:rsidRPr="00F81A99" w:rsidRDefault="003302AA" w:rsidP="00A97BDE">
            <w:pPr>
              <w:jc w:val="center"/>
              <w:rPr>
                <w:rFonts w:ascii="Tahoma" w:hAnsi="Tahoma"/>
                <w:b/>
                <w:color w:val="000000"/>
                <w:spacing w:val="-12"/>
                <w:sz w:val="17"/>
                <w:lang w:val="en-US"/>
              </w:rPr>
            </w:pPr>
            <w:r w:rsidRPr="00F81A99">
              <w:rPr>
                <w:rFonts w:ascii="Tahoma" w:hAnsi="Tahoma"/>
                <w:b/>
                <w:color w:val="000000"/>
                <w:spacing w:val="-12"/>
                <w:sz w:val="17"/>
                <w:lang w:val="en-US"/>
              </w:rPr>
              <w:t>0% — 10%</w:t>
            </w:r>
          </w:p>
        </w:tc>
        <w:tc>
          <w:tcPr>
            <w:tcW w:w="1890" w:type="dxa"/>
            <w:tcBorders>
              <w:top w:val="none" w:sz="0" w:space="0" w:color="000000"/>
              <w:left w:val="none" w:sz="0" w:space="0" w:color="000000"/>
              <w:bottom w:val="single" w:sz="4" w:space="0" w:color="000000"/>
              <w:right w:val="single" w:sz="4" w:space="0" w:color="000000"/>
            </w:tcBorders>
            <w:vAlign w:val="center"/>
          </w:tcPr>
          <w:p w14:paraId="13E020FD" w14:textId="77777777" w:rsidR="003302AA" w:rsidRPr="00F81A99" w:rsidRDefault="003302AA" w:rsidP="00A97BDE">
            <w:pPr>
              <w:jc w:val="center"/>
              <w:rPr>
                <w:rFonts w:ascii="Tahoma" w:hAnsi="Tahoma"/>
                <w:b/>
                <w:color w:val="000000"/>
                <w:sz w:val="17"/>
                <w:lang w:val="en-US"/>
              </w:rPr>
            </w:pPr>
            <w:r w:rsidRPr="00F81A99">
              <w:rPr>
                <w:rFonts w:ascii="Tahoma" w:hAnsi="Tahoma"/>
                <w:b/>
                <w:color w:val="000000"/>
                <w:sz w:val="17"/>
                <w:lang w:val="en-US"/>
              </w:rPr>
              <w:t>0%</w:t>
            </w:r>
          </w:p>
        </w:tc>
      </w:tr>
      <w:tr w:rsidR="003302AA" w:rsidRPr="00F81A99" w14:paraId="193DE490" w14:textId="77777777" w:rsidTr="00A97BDE">
        <w:trPr>
          <w:trHeight w:hRule="exact" w:val="298"/>
        </w:trPr>
        <w:tc>
          <w:tcPr>
            <w:tcW w:w="2149" w:type="dxa"/>
            <w:tcBorders>
              <w:top w:val="single" w:sz="4" w:space="0" w:color="000000"/>
              <w:left w:val="single" w:sz="4" w:space="0" w:color="000000"/>
              <w:bottom w:val="single" w:sz="4" w:space="0" w:color="000000"/>
              <w:right w:val="none" w:sz="0" w:space="0" w:color="000000"/>
            </w:tcBorders>
            <w:vAlign w:val="center"/>
          </w:tcPr>
          <w:p w14:paraId="74F25347" w14:textId="77777777" w:rsidR="003302AA" w:rsidRPr="00F81A99" w:rsidRDefault="003302AA" w:rsidP="00A97BDE">
            <w:pPr>
              <w:jc w:val="center"/>
              <w:rPr>
                <w:rFonts w:ascii="Tahoma" w:hAnsi="Tahoma"/>
                <w:b/>
                <w:color w:val="000000"/>
                <w:spacing w:val="-6"/>
                <w:sz w:val="17"/>
                <w:lang w:val="en-US"/>
              </w:rPr>
            </w:pPr>
            <w:r w:rsidRPr="00F81A99">
              <w:rPr>
                <w:rFonts w:ascii="Tahoma" w:hAnsi="Tahoma"/>
                <w:b/>
                <w:color w:val="000000"/>
                <w:spacing w:val="-6"/>
                <w:sz w:val="17"/>
                <w:lang w:val="en-US"/>
              </w:rPr>
              <w:t>10%— 30%</w:t>
            </w:r>
          </w:p>
        </w:tc>
        <w:tc>
          <w:tcPr>
            <w:tcW w:w="1890" w:type="dxa"/>
            <w:tcBorders>
              <w:top w:val="single" w:sz="4" w:space="0" w:color="000000"/>
              <w:left w:val="none" w:sz="0" w:space="0" w:color="000000"/>
              <w:bottom w:val="single" w:sz="4" w:space="0" w:color="000000"/>
              <w:right w:val="single" w:sz="4" w:space="0" w:color="000000"/>
            </w:tcBorders>
            <w:vAlign w:val="center"/>
          </w:tcPr>
          <w:p w14:paraId="0F71BBCA" w14:textId="77777777" w:rsidR="003302AA" w:rsidRPr="00F81A99" w:rsidRDefault="003302AA" w:rsidP="00A97BDE">
            <w:pPr>
              <w:jc w:val="center"/>
              <w:rPr>
                <w:rFonts w:ascii="Tahoma" w:hAnsi="Tahoma"/>
                <w:b/>
                <w:color w:val="000000"/>
                <w:sz w:val="17"/>
                <w:lang w:val="en-US"/>
              </w:rPr>
            </w:pPr>
            <w:r w:rsidRPr="00F81A99">
              <w:rPr>
                <w:rFonts w:ascii="Tahoma" w:hAnsi="Tahoma"/>
                <w:b/>
                <w:color w:val="000000"/>
                <w:sz w:val="17"/>
                <w:lang w:val="en-US"/>
              </w:rPr>
              <w:t>20%</w:t>
            </w:r>
          </w:p>
        </w:tc>
      </w:tr>
      <w:tr w:rsidR="003302AA" w:rsidRPr="00F81A99" w14:paraId="0ABCDA0E" w14:textId="77777777" w:rsidTr="00A97BDE">
        <w:trPr>
          <w:trHeight w:hRule="exact" w:val="285"/>
        </w:trPr>
        <w:tc>
          <w:tcPr>
            <w:tcW w:w="2149" w:type="dxa"/>
            <w:tcBorders>
              <w:top w:val="single" w:sz="4" w:space="0" w:color="000000"/>
              <w:left w:val="single" w:sz="4" w:space="0" w:color="000000"/>
              <w:bottom w:val="single" w:sz="4" w:space="0" w:color="000000"/>
              <w:right w:val="none" w:sz="0" w:space="0" w:color="000000"/>
            </w:tcBorders>
            <w:vAlign w:val="center"/>
          </w:tcPr>
          <w:p w14:paraId="76763A48" w14:textId="77777777" w:rsidR="003302AA" w:rsidRPr="00F81A99" w:rsidRDefault="003302AA" w:rsidP="00A97BDE">
            <w:pPr>
              <w:jc w:val="center"/>
              <w:rPr>
                <w:rFonts w:ascii="Tahoma" w:hAnsi="Tahoma"/>
                <w:b/>
                <w:color w:val="000000"/>
                <w:spacing w:val="-10"/>
                <w:sz w:val="17"/>
                <w:lang w:val="en-US"/>
              </w:rPr>
            </w:pPr>
            <w:r w:rsidRPr="00F81A99">
              <w:rPr>
                <w:rFonts w:ascii="Tahoma" w:hAnsi="Tahoma"/>
                <w:b/>
                <w:color w:val="000000"/>
                <w:spacing w:val="-10"/>
                <w:sz w:val="17"/>
                <w:lang w:val="en-US"/>
              </w:rPr>
              <w:t>30% — 50%</w:t>
            </w:r>
          </w:p>
        </w:tc>
        <w:tc>
          <w:tcPr>
            <w:tcW w:w="1890" w:type="dxa"/>
            <w:tcBorders>
              <w:top w:val="single" w:sz="4" w:space="0" w:color="000000"/>
              <w:left w:val="none" w:sz="0" w:space="0" w:color="000000"/>
              <w:bottom w:val="single" w:sz="4" w:space="0" w:color="000000"/>
              <w:right w:val="single" w:sz="4" w:space="0" w:color="000000"/>
            </w:tcBorders>
            <w:vAlign w:val="center"/>
          </w:tcPr>
          <w:p w14:paraId="30A6D16C" w14:textId="77777777" w:rsidR="003302AA" w:rsidRPr="00F81A99" w:rsidRDefault="003302AA" w:rsidP="00A97BDE">
            <w:pPr>
              <w:jc w:val="center"/>
              <w:rPr>
                <w:rFonts w:ascii="Tahoma" w:hAnsi="Tahoma"/>
                <w:b/>
                <w:color w:val="000000"/>
                <w:sz w:val="17"/>
                <w:lang w:val="en-US"/>
              </w:rPr>
            </w:pPr>
            <w:r w:rsidRPr="00F81A99">
              <w:rPr>
                <w:rFonts w:ascii="Tahoma" w:hAnsi="Tahoma"/>
                <w:b/>
                <w:color w:val="000000"/>
                <w:sz w:val="17"/>
                <w:lang w:val="en-US"/>
              </w:rPr>
              <w:t>40%</w:t>
            </w:r>
          </w:p>
        </w:tc>
      </w:tr>
      <w:tr w:rsidR="003302AA" w:rsidRPr="00F81A99" w14:paraId="1048B624" w14:textId="77777777" w:rsidTr="00A97BDE">
        <w:trPr>
          <w:trHeight w:hRule="exact" w:val="291"/>
        </w:trPr>
        <w:tc>
          <w:tcPr>
            <w:tcW w:w="2149" w:type="dxa"/>
            <w:tcBorders>
              <w:top w:val="single" w:sz="4" w:space="0" w:color="000000"/>
              <w:left w:val="single" w:sz="4" w:space="0" w:color="000000"/>
              <w:bottom w:val="single" w:sz="4" w:space="0" w:color="000000"/>
              <w:right w:val="none" w:sz="0" w:space="0" w:color="000000"/>
            </w:tcBorders>
            <w:vAlign w:val="center"/>
          </w:tcPr>
          <w:p w14:paraId="0A05F8F2" w14:textId="77777777" w:rsidR="003302AA" w:rsidRPr="00F81A99" w:rsidRDefault="003302AA" w:rsidP="00A97BDE">
            <w:pPr>
              <w:jc w:val="center"/>
              <w:rPr>
                <w:rFonts w:ascii="Tahoma" w:hAnsi="Tahoma"/>
                <w:b/>
                <w:color w:val="000000"/>
                <w:spacing w:val="-12"/>
                <w:sz w:val="17"/>
                <w:lang w:val="en-US"/>
              </w:rPr>
            </w:pPr>
            <w:r w:rsidRPr="00F81A99">
              <w:rPr>
                <w:rFonts w:ascii="Tahoma" w:hAnsi="Tahoma"/>
                <w:b/>
                <w:color w:val="000000"/>
                <w:spacing w:val="-12"/>
                <w:sz w:val="17"/>
                <w:lang w:val="en-US"/>
              </w:rPr>
              <w:t>50% — 70%</w:t>
            </w:r>
          </w:p>
        </w:tc>
        <w:tc>
          <w:tcPr>
            <w:tcW w:w="1890" w:type="dxa"/>
            <w:tcBorders>
              <w:top w:val="single" w:sz="4" w:space="0" w:color="000000"/>
              <w:left w:val="none" w:sz="0" w:space="0" w:color="000000"/>
              <w:bottom w:val="single" w:sz="4" w:space="0" w:color="000000"/>
              <w:right w:val="single" w:sz="4" w:space="0" w:color="000000"/>
            </w:tcBorders>
            <w:vAlign w:val="center"/>
          </w:tcPr>
          <w:p w14:paraId="222C15B0" w14:textId="77777777" w:rsidR="003302AA" w:rsidRPr="00F81A99" w:rsidRDefault="003302AA" w:rsidP="00A97BDE">
            <w:pPr>
              <w:jc w:val="center"/>
              <w:rPr>
                <w:rFonts w:ascii="Tahoma" w:hAnsi="Tahoma"/>
                <w:b/>
                <w:color w:val="000000"/>
                <w:sz w:val="17"/>
                <w:lang w:val="en-US"/>
              </w:rPr>
            </w:pPr>
            <w:r w:rsidRPr="00F81A99">
              <w:rPr>
                <w:rFonts w:ascii="Tahoma" w:hAnsi="Tahoma"/>
                <w:b/>
                <w:color w:val="000000"/>
                <w:sz w:val="17"/>
                <w:lang w:val="en-US"/>
              </w:rPr>
              <w:t>60%</w:t>
            </w:r>
          </w:p>
        </w:tc>
      </w:tr>
      <w:tr w:rsidR="003302AA" w:rsidRPr="00F81A99" w14:paraId="6BC4C655" w14:textId="77777777" w:rsidTr="00A97BDE">
        <w:trPr>
          <w:trHeight w:hRule="exact" w:val="295"/>
        </w:trPr>
        <w:tc>
          <w:tcPr>
            <w:tcW w:w="2149" w:type="dxa"/>
            <w:tcBorders>
              <w:top w:val="single" w:sz="4" w:space="0" w:color="000000"/>
              <w:left w:val="single" w:sz="4" w:space="0" w:color="000000"/>
              <w:bottom w:val="single" w:sz="4" w:space="0" w:color="000000"/>
              <w:right w:val="none" w:sz="0" w:space="0" w:color="000000"/>
            </w:tcBorders>
            <w:vAlign w:val="center"/>
          </w:tcPr>
          <w:p w14:paraId="50803534" w14:textId="77777777" w:rsidR="003302AA" w:rsidRPr="00F81A99" w:rsidRDefault="003302AA" w:rsidP="00A97BDE">
            <w:pPr>
              <w:jc w:val="center"/>
              <w:rPr>
                <w:rFonts w:ascii="Tahoma" w:hAnsi="Tahoma"/>
                <w:b/>
                <w:color w:val="000000"/>
                <w:sz w:val="17"/>
                <w:lang w:val="en-US"/>
              </w:rPr>
            </w:pPr>
            <w:r w:rsidRPr="00F81A99">
              <w:rPr>
                <w:rFonts w:ascii="Tahoma" w:hAnsi="Tahoma"/>
                <w:b/>
                <w:color w:val="000000"/>
                <w:sz w:val="17"/>
                <w:lang w:val="en-US"/>
              </w:rPr>
              <w:t>70%-100%</w:t>
            </w:r>
          </w:p>
        </w:tc>
        <w:tc>
          <w:tcPr>
            <w:tcW w:w="1890" w:type="dxa"/>
            <w:tcBorders>
              <w:top w:val="single" w:sz="4" w:space="0" w:color="000000"/>
              <w:left w:val="none" w:sz="0" w:space="0" w:color="000000"/>
              <w:bottom w:val="single" w:sz="4" w:space="0" w:color="000000"/>
              <w:right w:val="single" w:sz="4" w:space="0" w:color="000000"/>
            </w:tcBorders>
            <w:vAlign w:val="center"/>
          </w:tcPr>
          <w:p w14:paraId="6185F995" w14:textId="77777777" w:rsidR="003302AA" w:rsidRPr="00F81A99" w:rsidRDefault="003302AA" w:rsidP="00A97BDE">
            <w:pPr>
              <w:jc w:val="center"/>
              <w:rPr>
                <w:rFonts w:ascii="Tahoma" w:hAnsi="Tahoma"/>
                <w:b/>
                <w:color w:val="000000"/>
                <w:sz w:val="17"/>
                <w:lang w:val="en-US"/>
              </w:rPr>
            </w:pPr>
            <w:r w:rsidRPr="00F81A99">
              <w:rPr>
                <w:rFonts w:ascii="Tahoma" w:hAnsi="Tahoma"/>
                <w:b/>
                <w:color w:val="000000"/>
                <w:sz w:val="17"/>
                <w:lang w:val="en-US"/>
              </w:rPr>
              <w:t>75%</w:t>
            </w:r>
          </w:p>
        </w:tc>
      </w:tr>
    </w:tbl>
    <w:p w14:paraId="76F998B9" w14:textId="77777777" w:rsidR="003302AA" w:rsidRDefault="003302AA" w:rsidP="003302AA">
      <w:pPr>
        <w:ind w:firstLine="1701"/>
        <w:jc w:val="both"/>
        <w:rPr>
          <w:rFonts w:ascii="Arial" w:hAnsi="Arial" w:cs="Arial"/>
          <w:lang w:val="es-ES"/>
        </w:rPr>
      </w:pPr>
    </w:p>
    <w:p w14:paraId="6064D622"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De acuerdo a información entregada por el SII para contribuyentes que cumplen con el requisito de caída en su facturación de más del 10% respecto de los 12 meses anteriores, el Cuadro N° 4</w:t>
      </w:r>
      <w:r w:rsidRPr="003A317B">
        <w:rPr>
          <w:rFonts w:ascii="Arial" w:hAnsi="Arial" w:cs="Arial"/>
          <w:b/>
          <w:sz w:val="22"/>
          <w:szCs w:val="22"/>
          <w:lang w:val="es-ES"/>
        </w:rPr>
        <w:t xml:space="preserve"> </w:t>
      </w:r>
      <w:r w:rsidRPr="003A317B">
        <w:rPr>
          <w:rFonts w:ascii="Arial" w:hAnsi="Arial" w:cs="Arial"/>
          <w:sz w:val="22"/>
          <w:szCs w:val="22"/>
          <w:lang w:val="es-ES"/>
        </w:rPr>
        <w:t>contiene el número de Mipymes que podrían verse beneficiadas, el porcentaje del beneficio y la devolución de renta que podrían obtener. Nuevamente, se incluye a las empresas sin información respecto a su tamaño, adoptando un criterio conservador.</w:t>
      </w:r>
    </w:p>
    <w:p w14:paraId="1777C9F8" w14:textId="77777777" w:rsidR="003302AA" w:rsidRPr="003A317B" w:rsidRDefault="003302AA" w:rsidP="003A317B">
      <w:pPr>
        <w:spacing w:line="276" w:lineRule="auto"/>
        <w:rPr>
          <w:sz w:val="22"/>
          <w:szCs w:val="22"/>
          <w:lang w:val="es-ES"/>
        </w:rPr>
      </w:pPr>
    </w:p>
    <w:p w14:paraId="698BECFB" w14:textId="77777777" w:rsidR="003302AA" w:rsidRDefault="003302AA" w:rsidP="003302AA">
      <w:pPr>
        <w:rPr>
          <w:lang w:val="es-ES"/>
        </w:rPr>
      </w:pPr>
    </w:p>
    <w:p w14:paraId="380F5ABC" w14:textId="77777777" w:rsidR="003302AA" w:rsidRDefault="003302AA" w:rsidP="003302AA">
      <w:pPr>
        <w:jc w:val="center"/>
        <w:rPr>
          <w:noProof/>
          <w:lang w:val="es-ES"/>
        </w:rPr>
      </w:pPr>
      <w:r w:rsidRPr="00694EF4">
        <w:rPr>
          <w:noProof/>
          <w:lang w:val="es-CL" w:eastAsia="es-CL"/>
        </w:rPr>
        <w:drawing>
          <wp:inline distT="0" distB="0" distL="0" distR="0" wp14:anchorId="6C2A9254" wp14:editId="383C94F4">
            <wp:extent cx="5398770" cy="15424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8770" cy="1542415"/>
                    </a:xfrm>
                    <a:prstGeom prst="rect">
                      <a:avLst/>
                    </a:prstGeom>
                    <a:noFill/>
                    <a:ln>
                      <a:noFill/>
                    </a:ln>
                  </pic:spPr>
                </pic:pic>
              </a:graphicData>
            </a:graphic>
          </wp:inline>
        </w:drawing>
      </w:r>
    </w:p>
    <w:p w14:paraId="4018BA4F" w14:textId="77777777" w:rsidR="003302AA" w:rsidRDefault="003302AA" w:rsidP="003302AA">
      <w:pPr>
        <w:rPr>
          <w:noProof/>
          <w:lang w:val="es-ES"/>
        </w:rPr>
      </w:pPr>
    </w:p>
    <w:p w14:paraId="0FB044A4"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Por su parte, las Mipymes que realicen únicamente operaciones en que deban emitir boletas conforme con el artículo 53 de la Ley sobre Impuesto a las Ventas y Servicios, podrán solicitar un anticipo de un 50%. En base a la información del SII para estas empresas, el monto máximo a devolver a este grupo de Mipymes podría llegar a US$ 60,2 millones.</w:t>
      </w:r>
      <w:r w:rsidRPr="003A317B">
        <w:rPr>
          <w:rFonts w:ascii="Arial" w:hAnsi="Arial" w:cs="Arial"/>
          <w:sz w:val="22"/>
          <w:szCs w:val="22"/>
          <w:lang w:val="es-ES"/>
        </w:rPr>
        <w:tab/>
      </w:r>
    </w:p>
    <w:p w14:paraId="7845F62E"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Por último, existe un grupo de empresas cuya emisión de facturas o boletas está exenta de IVA, pero que sí cumplen con el requisito de tener una caída de 10% en sus ventas respecto de los últimos 12 meses. Se estima que la devolución anticipada para este grupo podría alcanzar US$188 millones.</w:t>
      </w:r>
    </w:p>
    <w:p w14:paraId="2F02422A" w14:textId="77777777" w:rsidR="003302AA" w:rsidRPr="003A317B" w:rsidRDefault="003302AA" w:rsidP="003A317B">
      <w:pPr>
        <w:spacing w:line="276" w:lineRule="auto"/>
        <w:ind w:firstLine="1701"/>
        <w:jc w:val="both"/>
        <w:rPr>
          <w:rFonts w:ascii="Arial" w:hAnsi="Arial" w:cs="Arial"/>
          <w:sz w:val="22"/>
          <w:szCs w:val="22"/>
          <w:lang w:val="es-ES"/>
        </w:rPr>
      </w:pPr>
    </w:p>
    <w:p w14:paraId="04B11E0D" w14:textId="77777777" w:rsidR="003302AA" w:rsidRPr="003A317B" w:rsidRDefault="003302AA" w:rsidP="003A317B">
      <w:pPr>
        <w:spacing w:line="276" w:lineRule="auto"/>
        <w:ind w:firstLine="1701"/>
        <w:jc w:val="both"/>
        <w:rPr>
          <w:rFonts w:ascii="Arial" w:hAnsi="Arial" w:cs="Arial"/>
          <w:b/>
          <w:i/>
          <w:sz w:val="22"/>
          <w:szCs w:val="22"/>
          <w:lang w:val="es-ES"/>
        </w:rPr>
      </w:pPr>
      <w:r w:rsidRPr="003A317B">
        <w:rPr>
          <w:rFonts w:ascii="Arial" w:hAnsi="Arial" w:cs="Arial"/>
          <w:b/>
          <w:i/>
          <w:sz w:val="22"/>
          <w:szCs w:val="22"/>
          <w:lang w:val="es-ES"/>
        </w:rPr>
        <w:t>Modificaciones al FOGAPE</w:t>
      </w:r>
    </w:p>
    <w:p w14:paraId="19DA9591"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El proyecto establece un aporte para el FOGAPE de US$ 100 millones que requerirá de financiamiento de activos disponibles en el Tesoro Público. Este aporte de capital corresponde a una transacción de activos financieros y se registrará como compra de Acciones y Participaciones de Capital, razón por la que no se considera como gasto público.</w:t>
      </w:r>
    </w:p>
    <w:p w14:paraId="71A8A208" w14:textId="77777777" w:rsidR="003302AA" w:rsidRPr="003A317B" w:rsidRDefault="003302AA" w:rsidP="003A317B">
      <w:pPr>
        <w:spacing w:line="276" w:lineRule="auto"/>
        <w:ind w:firstLine="1701"/>
        <w:jc w:val="both"/>
        <w:rPr>
          <w:rFonts w:ascii="Arial" w:hAnsi="Arial" w:cs="Arial"/>
          <w:sz w:val="22"/>
          <w:szCs w:val="22"/>
          <w:lang w:val="es-ES"/>
        </w:rPr>
      </w:pPr>
    </w:p>
    <w:p w14:paraId="6D5CFC3F" w14:textId="77777777" w:rsidR="003302AA" w:rsidRPr="003A317B" w:rsidRDefault="003302AA" w:rsidP="003A317B">
      <w:pPr>
        <w:spacing w:line="276" w:lineRule="auto"/>
        <w:ind w:firstLine="1701"/>
        <w:jc w:val="both"/>
        <w:rPr>
          <w:rFonts w:ascii="Arial" w:hAnsi="Arial" w:cs="Arial"/>
          <w:b/>
          <w:i/>
          <w:sz w:val="22"/>
          <w:szCs w:val="22"/>
          <w:lang w:val="es-ES"/>
        </w:rPr>
      </w:pPr>
      <w:r w:rsidRPr="003A317B">
        <w:rPr>
          <w:rFonts w:ascii="Arial" w:hAnsi="Arial" w:cs="Arial"/>
          <w:b/>
          <w:i/>
          <w:sz w:val="22"/>
          <w:szCs w:val="22"/>
          <w:lang w:val="es-ES"/>
        </w:rPr>
        <w:t>Menor recaudación por donaciones</w:t>
      </w:r>
    </w:p>
    <w:p w14:paraId="2345FA18"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Al momento de la elaboración del presente Informe Financiero, se contaba con información preliminar del Ministerio de Economía, Fomento y Turismo respecto al daño ocasionado a Pymes en términos de infraestructura, maquinaria y mercadería. Con todo, en base a dicha información, se trabaja un supuesto de daños en un rango amplio que fluctúa entre US$ 45 a USS 80 millones. Este monto base sufrirá variaciones en la medida que sigan materializándose daños a las Mipymes en fechas posteriores a la aprobación y publicación del presente Proyecto de Ley.</w:t>
      </w:r>
    </w:p>
    <w:p w14:paraId="4E983246"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Tomando como base la experiencia de la ley Nº 20.444, y los incentivos tributarios que se crearon en ella para beneficiar a las donaciones efectuadas por los daños derivados del terremoto que azotó al país el año 2010, es factible suponer un monto donado que corresponda aproximadamente al 20% de los daños, mientras no superen caso a caso los topes de donación que el proyecto plantea Además, esperando una participación mayoritaria por parte de las empresas en el total de donaciones, similar a experiencias pasadas, es posible estimar una menor recaudación fiscal que fluctuará entre US$2,4 a US$3,9 millones y que se materializará principalmente los años tributarios 2021 y 2022.</w:t>
      </w:r>
    </w:p>
    <w:p w14:paraId="3FCD932D" w14:textId="77777777" w:rsidR="003302AA" w:rsidRPr="003A317B" w:rsidRDefault="003302AA" w:rsidP="003A317B">
      <w:pPr>
        <w:spacing w:line="276" w:lineRule="auto"/>
        <w:ind w:firstLine="1701"/>
        <w:jc w:val="both"/>
        <w:rPr>
          <w:rFonts w:ascii="Arial" w:hAnsi="Arial" w:cs="Arial"/>
          <w:sz w:val="22"/>
          <w:szCs w:val="22"/>
          <w:lang w:val="es-ES"/>
        </w:rPr>
      </w:pPr>
    </w:p>
    <w:p w14:paraId="4C9406D4" w14:textId="77777777" w:rsidR="003302AA" w:rsidRPr="003A317B" w:rsidRDefault="003302AA" w:rsidP="003A317B">
      <w:pPr>
        <w:spacing w:line="276" w:lineRule="auto"/>
        <w:ind w:firstLine="1701"/>
        <w:jc w:val="both"/>
        <w:rPr>
          <w:rFonts w:ascii="Arial" w:hAnsi="Arial" w:cs="Arial"/>
          <w:b/>
          <w:i/>
          <w:sz w:val="22"/>
          <w:szCs w:val="22"/>
          <w:lang w:val="es-ES"/>
        </w:rPr>
      </w:pPr>
      <w:r w:rsidRPr="003A317B">
        <w:rPr>
          <w:rFonts w:ascii="Arial" w:hAnsi="Arial" w:cs="Arial"/>
          <w:b/>
          <w:i/>
          <w:sz w:val="22"/>
          <w:szCs w:val="22"/>
          <w:lang w:val="es-ES"/>
        </w:rPr>
        <w:t>Postergación pago cuota patentes municipales</w:t>
      </w:r>
    </w:p>
    <w:p w14:paraId="65D6D8EB"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Se permite a cada Municipio la decisión de postergar, hasta en tres meses, las fechas de pago de las cuotas anuales o semestrales de patentes municipales correspondientes a la cuota semestral de enero de 2020, y a las correspondientes al periodo anual comprendido entre et 1º de julio de 2020 y el 30 de junio de 2021. Los contribuyentes beneficiados deberán, posteriormente, pagar el total del monto postergado dividido en hasta seis cuotas iguales, sucesivas y sin las multas ni intereses asociados a periodo correspondiente.</w:t>
      </w:r>
    </w:p>
    <w:p w14:paraId="7E4C8A68"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Debido a que cada Municipio podrá ejercer a su arbitrio la opción de conceder el beneficio en cuestión, no es posible cuantificar el efecto fiscal que esta medida conlleva, que, de todas formas, tendrá efectos transitorios para las cuentas del Municipio respectivo. Cabe hacer presente que esta opción no conlleva la condonación de deudas de patentes municipales. Finalmente, esta medida no genera impacto en las cuentas fiscales del Gobierno Central.</w:t>
      </w:r>
    </w:p>
    <w:p w14:paraId="5966AC38" w14:textId="77777777" w:rsidR="003302AA" w:rsidRPr="003A317B" w:rsidRDefault="003302AA" w:rsidP="003A317B">
      <w:pPr>
        <w:spacing w:line="276" w:lineRule="auto"/>
        <w:ind w:firstLine="1701"/>
        <w:jc w:val="both"/>
        <w:rPr>
          <w:rFonts w:ascii="Arial" w:hAnsi="Arial" w:cs="Arial"/>
          <w:sz w:val="22"/>
          <w:szCs w:val="22"/>
          <w:lang w:val="es-ES"/>
        </w:rPr>
      </w:pPr>
    </w:p>
    <w:p w14:paraId="52E9C4AC" w14:textId="77777777" w:rsidR="003302AA" w:rsidRPr="003A317B" w:rsidRDefault="003302AA" w:rsidP="003A317B">
      <w:pPr>
        <w:spacing w:line="276" w:lineRule="auto"/>
        <w:ind w:firstLine="1701"/>
        <w:jc w:val="both"/>
        <w:rPr>
          <w:rFonts w:ascii="Arial" w:hAnsi="Arial" w:cs="Arial"/>
          <w:b/>
          <w:i/>
          <w:sz w:val="22"/>
          <w:szCs w:val="22"/>
          <w:lang w:val="es-ES"/>
        </w:rPr>
      </w:pPr>
      <w:r w:rsidRPr="003A317B">
        <w:rPr>
          <w:rFonts w:ascii="Arial" w:hAnsi="Arial" w:cs="Arial"/>
          <w:b/>
          <w:i/>
          <w:sz w:val="22"/>
          <w:szCs w:val="22"/>
          <w:lang w:val="es-ES"/>
        </w:rPr>
        <w:t>Gastos asociados al Catastro Público</w:t>
      </w:r>
    </w:p>
    <w:p w14:paraId="6D2ADCA3"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 xml:space="preserve">Para el buen funcionamiento de este Catastro, a cargo de la Subsecretaria de Economía y Empresas de menor tamaño del Ministerio del ramo, se aumentará la dotación el año de publicación de la ley en dos cargos a contrata. Esto implica un mayor gasto anual fiscal máximo de $47,1 millones, que equivale a dos rentas brutas </w:t>
      </w:r>
      <w:proofErr w:type="spellStart"/>
      <w:r w:rsidRPr="003A317B">
        <w:rPr>
          <w:rFonts w:ascii="Arial" w:hAnsi="Arial" w:cs="Arial"/>
          <w:sz w:val="22"/>
          <w:szCs w:val="22"/>
          <w:lang w:val="es-ES"/>
        </w:rPr>
        <w:t>mensualizadas</w:t>
      </w:r>
      <w:proofErr w:type="spellEnd"/>
      <w:r w:rsidRPr="003A317B">
        <w:rPr>
          <w:rFonts w:ascii="Arial" w:hAnsi="Arial" w:cs="Arial"/>
          <w:sz w:val="22"/>
          <w:szCs w:val="22"/>
          <w:lang w:val="es-ES"/>
        </w:rPr>
        <w:t>, grado 11º Profesional.</w:t>
      </w:r>
    </w:p>
    <w:p w14:paraId="205F5779" w14:textId="77777777" w:rsidR="003302AA" w:rsidRPr="003A317B" w:rsidRDefault="003302AA" w:rsidP="003A317B">
      <w:pPr>
        <w:spacing w:line="276" w:lineRule="auto"/>
        <w:ind w:firstLine="1701"/>
        <w:jc w:val="both"/>
        <w:rPr>
          <w:rFonts w:ascii="Arial" w:hAnsi="Arial" w:cs="Arial"/>
          <w:sz w:val="22"/>
          <w:szCs w:val="22"/>
          <w:lang w:val="es-ES"/>
        </w:rPr>
      </w:pPr>
    </w:p>
    <w:p w14:paraId="04AB72FC" w14:textId="77777777" w:rsidR="003302AA" w:rsidRPr="003A317B" w:rsidRDefault="003302AA" w:rsidP="003A317B">
      <w:pPr>
        <w:spacing w:line="276" w:lineRule="auto"/>
        <w:ind w:firstLine="1701"/>
        <w:jc w:val="both"/>
        <w:rPr>
          <w:rFonts w:ascii="Arial" w:hAnsi="Arial" w:cs="Arial"/>
          <w:b/>
          <w:i/>
          <w:sz w:val="22"/>
          <w:szCs w:val="22"/>
          <w:lang w:val="es-ES"/>
        </w:rPr>
      </w:pPr>
      <w:r w:rsidRPr="003A317B">
        <w:rPr>
          <w:rFonts w:ascii="Arial" w:hAnsi="Arial" w:cs="Arial"/>
          <w:b/>
          <w:i/>
          <w:sz w:val="22"/>
          <w:szCs w:val="22"/>
          <w:lang w:val="es-ES"/>
        </w:rPr>
        <w:t>Impacto proyectado en cada año calendario</w:t>
      </w:r>
    </w:p>
    <w:p w14:paraId="4066DF99"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El Cuadro N° 5 presenta la proyección esperada de impacto fiscal de cada medida, con un supuesto de entrada en vigencia del Proyecto en diciembre del presente año.</w:t>
      </w:r>
    </w:p>
    <w:p w14:paraId="459CD74F" w14:textId="77777777" w:rsidR="003302AA" w:rsidRPr="003A317B" w:rsidRDefault="003302AA" w:rsidP="003A317B">
      <w:pPr>
        <w:spacing w:line="276" w:lineRule="auto"/>
        <w:ind w:firstLine="1701"/>
        <w:jc w:val="both"/>
        <w:rPr>
          <w:rFonts w:ascii="Arial" w:hAnsi="Arial" w:cs="Arial"/>
          <w:sz w:val="22"/>
          <w:szCs w:val="22"/>
          <w:lang w:val="es-ES"/>
        </w:rPr>
      </w:pPr>
    </w:p>
    <w:p w14:paraId="2CFCCCAA"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Cuadro N°5: Impacto proyectado en los saldos fiscales por las medidas de Apoyo a las Mipymes del Proyecto de Ley (millones de dólares)</w:t>
      </w:r>
    </w:p>
    <w:p w14:paraId="79445CDD" w14:textId="77777777" w:rsidR="003302AA" w:rsidRPr="003A317B" w:rsidRDefault="003302AA" w:rsidP="003A317B">
      <w:pPr>
        <w:spacing w:line="276" w:lineRule="auto"/>
        <w:ind w:firstLine="1701"/>
        <w:jc w:val="both"/>
        <w:rPr>
          <w:rFonts w:ascii="Arial" w:hAnsi="Arial" w:cs="Arial"/>
          <w:i/>
          <w:sz w:val="22"/>
          <w:szCs w:val="22"/>
          <w:lang w:val="es-ES"/>
        </w:rPr>
      </w:pPr>
    </w:p>
    <w:p w14:paraId="4EAB7296" w14:textId="77777777" w:rsidR="003302AA" w:rsidRPr="003A317B" w:rsidRDefault="003302AA" w:rsidP="003A317B">
      <w:pPr>
        <w:spacing w:line="276" w:lineRule="auto"/>
        <w:jc w:val="both"/>
        <w:rPr>
          <w:rFonts w:ascii="Arial" w:hAnsi="Arial" w:cs="Arial"/>
          <w:i/>
          <w:noProof/>
          <w:sz w:val="22"/>
          <w:szCs w:val="22"/>
          <w:lang w:val="es-ES"/>
        </w:rPr>
      </w:pPr>
      <w:r w:rsidRPr="003A317B">
        <w:rPr>
          <w:rFonts w:ascii="Arial" w:hAnsi="Arial" w:cs="Arial"/>
          <w:i/>
          <w:noProof/>
          <w:sz w:val="22"/>
          <w:szCs w:val="22"/>
          <w:lang w:val="es-CL" w:eastAsia="es-CL"/>
        </w:rPr>
        <w:drawing>
          <wp:inline distT="0" distB="0" distL="0" distR="0" wp14:anchorId="072B38F9" wp14:editId="20356441">
            <wp:extent cx="5398770" cy="11214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8770" cy="1121410"/>
                    </a:xfrm>
                    <a:prstGeom prst="rect">
                      <a:avLst/>
                    </a:prstGeom>
                    <a:noFill/>
                    <a:ln>
                      <a:noFill/>
                    </a:ln>
                  </pic:spPr>
                </pic:pic>
              </a:graphicData>
            </a:graphic>
          </wp:inline>
        </w:drawing>
      </w:r>
    </w:p>
    <w:p w14:paraId="2257B857" w14:textId="77777777" w:rsidR="003302AA" w:rsidRPr="003A317B" w:rsidRDefault="003302AA" w:rsidP="003A317B">
      <w:pPr>
        <w:spacing w:line="276" w:lineRule="auto"/>
        <w:jc w:val="both"/>
        <w:rPr>
          <w:rFonts w:ascii="Arial" w:hAnsi="Arial" w:cs="Arial"/>
          <w:i/>
          <w:noProof/>
          <w:sz w:val="22"/>
          <w:szCs w:val="22"/>
          <w:lang w:val="es-ES"/>
        </w:rPr>
      </w:pPr>
    </w:p>
    <w:p w14:paraId="1A479EE6" w14:textId="77777777" w:rsidR="003302AA" w:rsidRPr="003A317B" w:rsidRDefault="003302AA" w:rsidP="003A317B">
      <w:pPr>
        <w:spacing w:line="276" w:lineRule="auto"/>
        <w:ind w:firstLine="1701"/>
        <w:jc w:val="both"/>
        <w:rPr>
          <w:rFonts w:ascii="Arial" w:hAnsi="Arial" w:cs="Arial"/>
          <w:b/>
          <w:i/>
          <w:sz w:val="22"/>
          <w:szCs w:val="22"/>
          <w:lang w:val="es-ES"/>
        </w:rPr>
      </w:pPr>
      <w:r w:rsidRPr="003A317B">
        <w:rPr>
          <w:rFonts w:ascii="Arial" w:hAnsi="Arial" w:cs="Arial"/>
          <w:b/>
          <w:i/>
          <w:sz w:val="22"/>
          <w:szCs w:val="22"/>
          <w:lang w:val="es-ES"/>
        </w:rPr>
        <w:t>Financiamiento del Proyecto</w:t>
      </w:r>
    </w:p>
    <w:p w14:paraId="48A7A75C"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Dado que la situación financiera del Fisco es transitoriamente deficitaria, para financiar el aporte de capital en cuestión, eventualmente se requerirá retirar recursos del Fondo de Estabilización Económica y Social (FEES) que se entienden parte del Tesoro Público.</w:t>
      </w:r>
    </w:p>
    <w:p w14:paraId="62CC4B0A" w14:textId="77777777" w:rsidR="003302AA" w:rsidRPr="003A317B" w:rsidRDefault="003302AA" w:rsidP="003A317B">
      <w:pPr>
        <w:spacing w:line="276" w:lineRule="auto"/>
        <w:ind w:firstLine="1701"/>
        <w:jc w:val="both"/>
        <w:rPr>
          <w:rFonts w:ascii="Arial" w:hAnsi="Arial" w:cs="Arial"/>
          <w:sz w:val="22"/>
          <w:szCs w:val="22"/>
          <w:lang w:val="es-ES"/>
        </w:rPr>
      </w:pPr>
      <w:r w:rsidRPr="003A317B">
        <w:rPr>
          <w:rFonts w:ascii="Arial" w:hAnsi="Arial" w:cs="Arial"/>
          <w:sz w:val="22"/>
          <w:szCs w:val="22"/>
          <w:lang w:val="es-ES"/>
        </w:rPr>
        <w:t>Finalmente, cabe señalar que este Fondo cuenta con un saldo de US$ 14.247,85 millones al 31 de Octubre del presente año y sus retiros se rigen por lo dispuesto en el artículo 4º de D.F.L. N° 1, de 2006</w:t>
      </w:r>
      <w:r w:rsidRPr="003A317B">
        <w:rPr>
          <w:rStyle w:val="Refdenotaalpie"/>
          <w:rFonts w:ascii="Arial" w:hAnsi="Arial" w:cs="Arial"/>
          <w:sz w:val="22"/>
          <w:szCs w:val="22"/>
          <w:lang w:val="es-ES"/>
        </w:rPr>
        <w:footnoteReference w:id="2"/>
      </w:r>
      <w:r w:rsidRPr="003A317B">
        <w:rPr>
          <w:rFonts w:ascii="Arial" w:hAnsi="Arial" w:cs="Arial"/>
          <w:sz w:val="22"/>
          <w:szCs w:val="22"/>
          <w:lang w:val="es-ES"/>
        </w:rPr>
        <w:t>, del Ministerio de Hacienda.</w:t>
      </w:r>
    </w:p>
    <w:p w14:paraId="52679792" w14:textId="77777777" w:rsidR="003302AA" w:rsidRPr="003A317B" w:rsidRDefault="003302AA" w:rsidP="003A317B">
      <w:pPr>
        <w:pStyle w:val="Sinespaciado"/>
        <w:spacing w:line="276" w:lineRule="auto"/>
        <w:ind w:firstLine="708"/>
        <w:jc w:val="both"/>
        <w:rPr>
          <w:rFonts w:ascii="Arial" w:hAnsi="Arial" w:cs="Arial"/>
          <w:b/>
        </w:rPr>
      </w:pPr>
    </w:p>
    <w:p w14:paraId="6B2EAD2E" w14:textId="77777777" w:rsidR="00875C22" w:rsidRDefault="00875C22" w:rsidP="00875C22">
      <w:pPr>
        <w:tabs>
          <w:tab w:val="left" w:pos="4751"/>
        </w:tabs>
        <w:spacing w:line="276" w:lineRule="auto"/>
        <w:ind w:right="142" w:firstLine="1701"/>
        <w:jc w:val="both"/>
        <w:rPr>
          <w:rFonts w:ascii="Arial" w:hAnsi="Arial" w:cs="Arial"/>
          <w:sz w:val="22"/>
          <w:szCs w:val="22"/>
          <w:lang w:val="es-ES"/>
        </w:rPr>
      </w:pPr>
    </w:p>
    <w:p w14:paraId="78B6A230" w14:textId="77777777" w:rsidR="00855A04" w:rsidRPr="00855A04" w:rsidRDefault="0045513A" w:rsidP="00855A04">
      <w:pPr>
        <w:spacing w:line="276" w:lineRule="auto"/>
        <w:ind w:firstLine="1701"/>
        <w:jc w:val="both"/>
        <w:rPr>
          <w:rFonts w:ascii="Arial" w:hAnsi="Arial" w:cs="Arial"/>
          <w:sz w:val="22"/>
          <w:szCs w:val="22"/>
        </w:rPr>
      </w:pPr>
      <w:r w:rsidRPr="00855A04">
        <w:rPr>
          <w:rFonts w:ascii="Arial" w:hAnsi="Arial" w:cs="Arial"/>
          <w:sz w:val="22"/>
          <w:szCs w:val="22"/>
          <w:lang w:val="es-ES"/>
        </w:rPr>
        <w:t>Concurrieron</w:t>
      </w:r>
      <w:r w:rsidR="00855A04" w:rsidRPr="00855A04">
        <w:rPr>
          <w:rFonts w:ascii="Arial" w:hAnsi="Arial" w:cs="Arial"/>
          <w:sz w:val="22"/>
          <w:szCs w:val="22"/>
          <w:lang w:val="es-ES"/>
        </w:rPr>
        <w:t xml:space="preserve"> con el acuerdo, los integrantes de la Comisión </w:t>
      </w:r>
      <w:r w:rsidR="00855A04">
        <w:rPr>
          <w:rFonts w:ascii="Arial" w:hAnsi="Arial" w:cs="Arial"/>
          <w:sz w:val="22"/>
          <w:szCs w:val="22"/>
        </w:rPr>
        <w:t xml:space="preserve">diputada y diputados </w:t>
      </w:r>
      <w:r w:rsidR="00855A04" w:rsidRPr="00855A04">
        <w:rPr>
          <w:rFonts w:ascii="Arial" w:hAnsi="Arial" w:cs="Arial"/>
          <w:sz w:val="22"/>
          <w:szCs w:val="22"/>
        </w:rPr>
        <w:t>Pepe Auth Stewart; Sofía Cid Versalovic; Giorgio Jackson Drago;  Pablo Lorenzini Basso; Patricio Melero Abaroa; Manuel Monsalve Benavides; Daniel Nuñez Arancibia</w:t>
      </w:r>
      <w:r w:rsidR="00855A04">
        <w:rPr>
          <w:rFonts w:ascii="Arial" w:hAnsi="Arial" w:cs="Arial"/>
          <w:sz w:val="22"/>
          <w:szCs w:val="22"/>
        </w:rPr>
        <w:t xml:space="preserve"> (Presidente)</w:t>
      </w:r>
      <w:r w:rsidR="00855A04" w:rsidRPr="00855A04">
        <w:rPr>
          <w:rFonts w:ascii="Arial" w:hAnsi="Arial" w:cs="Arial"/>
          <w:sz w:val="22"/>
          <w:szCs w:val="22"/>
        </w:rPr>
        <w:t>; José Miguel Ortiz Novoa; Leopoldo Perez Lahsen; Guillermo Ramírez Diez; Alejandro Santana Tirachini; Marcelo Schilling Rodríguez</w:t>
      </w:r>
      <w:r w:rsidR="00855A04">
        <w:rPr>
          <w:rFonts w:ascii="Arial" w:hAnsi="Arial" w:cs="Arial"/>
          <w:sz w:val="22"/>
          <w:szCs w:val="22"/>
        </w:rPr>
        <w:t xml:space="preserve"> y</w:t>
      </w:r>
      <w:r w:rsidR="00855A04" w:rsidRPr="00855A04">
        <w:rPr>
          <w:rFonts w:ascii="Arial" w:hAnsi="Arial" w:cs="Arial"/>
          <w:sz w:val="22"/>
          <w:szCs w:val="22"/>
        </w:rPr>
        <w:t xml:space="preserve"> Gastón Von Muhlenbrock Zamora.</w:t>
      </w:r>
    </w:p>
    <w:p w14:paraId="1178FB9C" w14:textId="77777777" w:rsidR="00855A04" w:rsidRPr="00855A04" w:rsidRDefault="00855A04" w:rsidP="00855A04">
      <w:pPr>
        <w:spacing w:line="360" w:lineRule="auto"/>
        <w:ind w:firstLine="1701"/>
        <w:jc w:val="both"/>
        <w:rPr>
          <w:rFonts w:ascii="Arial" w:hAnsi="Arial" w:cs="Arial"/>
          <w:sz w:val="22"/>
          <w:szCs w:val="22"/>
        </w:rPr>
      </w:pPr>
    </w:p>
    <w:p w14:paraId="69594000" w14:textId="77777777" w:rsidR="00855A04" w:rsidRPr="00855A04" w:rsidRDefault="00855A04" w:rsidP="00855A04">
      <w:pPr>
        <w:spacing w:line="360" w:lineRule="auto"/>
        <w:ind w:firstLine="1701"/>
        <w:jc w:val="both"/>
        <w:rPr>
          <w:rFonts w:ascii="Arial" w:hAnsi="Arial" w:cs="Arial"/>
          <w:sz w:val="22"/>
          <w:szCs w:val="22"/>
        </w:rPr>
      </w:pPr>
      <w:r w:rsidRPr="00855A04">
        <w:rPr>
          <w:rFonts w:ascii="Arial" w:hAnsi="Arial" w:cs="Arial"/>
          <w:sz w:val="22"/>
          <w:szCs w:val="22"/>
        </w:rPr>
        <w:t>Además asisten los diputados Raúl Soto Mardones y Jaime Naranjo Ortiz.</w:t>
      </w:r>
    </w:p>
    <w:p w14:paraId="1FF91FE9" w14:textId="77777777" w:rsidR="00855A04" w:rsidRPr="00855A04" w:rsidRDefault="00855A04" w:rsidP="00855A04">
      <w:pPr>
        <w:spacing w:line="360" w:lineRule="auto"/>
        <w:ind w:firstLine="1701"/>
        <w:jc w:val="both"/>
        <w:rPr>
          <w:rFonts w:ascii="Arial" w:hAnsi="Arial" w:cs="Arial"/>
          <w:sz w:val="22"/>
          <w:szCs w:val="22"/>
        </w:rPr>
      </w:pPr>
    </w:p>
    <w:p w14:paraId="3349F44E" w14:textId="77777777" w:rsidR="00855A04" w:rsidRPr="00855A04" w:rsidRDefault="00855A04" w:rsidP="00855A04">
      <w:pPr>
        <w:spacing w:line="360" w:lineRule="auto"/>
        <w:ind w:firstLine="1701"/>
        <w:jc w:val="both"/>
        <w:rPr>
          <w:rFonts w:ascii="Arial" w:hAnsi="Arial" w:cs="Arial"/>
          <w:sz w:val="22"/>
          <w:szCs w:val="22"/>
        </w:rPr>
      </w:pPr>
      <w:r w:rsidRPr="00855A04">
        <w:rPr>
          <w:rFonts w:ascii="Arial" w:hAnsi="Arial" w:cs="Arial"/>
          <w:sz w:val="22"/>
          <w:szCs w:val="22"/>
        </w:rPr>
        <w:t>Reemplazo:</w:t>
      </w:r>
    </w:p>
    <w:p w14:paraId="372E12D4" w14:textId="77777777" w:rsidR="00855A04" w:rsidRDefault="00855A04" w:rsidP="00855A04">
      <w:pPr>
        <w:spacing w:line="360" w:lineRule="auto"/>
        <w:ind w:firstLine="1701"/>
        <w:jc w:val="both"/>
        <w:rPr>
          <w:rFonts w:ascii="Arial" w:hAnsi="Arial" w:cs="Arial"/>
          <w:sz w:val="22"/>
          <w:szCs w:val="22"/>
        </w:rPr>
      </w:pPr>
      <w:r>
        <w:rPr>
          <w:rFonts w:ascii="Arial" w:hAnsi="Arial" w:cs="Arial"/>
          <w:sz w:val="22"/>
          <w:szCs w:val="22"/>
        </w:rPr>
        <w:t>En la primera parte de la sesión e</w:t>
      </w:r>
      <w:r w:rsidRPr="00855A04">
        <w:rPr>
          <w:rFonts w:ascii="Arial" w:hAnsi="Arial" w:cs="Arial"/>
          <w:sz w:val="22"/>
          <w:szCs w:val="22"/>
        </w:rPr>
        <w:t>l diputado señor Daniel Nuñez Arancibia, fue reemplazado por el diputado señor Boris Barrera Moreno.</w:t>
      </w:r>
    </w:p>
    <w:p w14:paraId="7D951538" w14:textId="77777777" w:rsidR="00855A04" w:rsidRPr="00855A04" w:rsidRDefault="00855A04" w:rsidP="00855A04">
      <w:pPr>
        <w:spacing w:line="360" w:lineRule="auto"/>
        <w:ind w:firstLine="1701"/>
        <w:jc w:val="both"/>
        <w:rPr>
          <w:rFonts w:ascii="Arial" w:hAnsi="Arial" w:cs="Arial"/>
          <w:sz w:val="22"/>
          <w:szCs w:val="22"/>
        </w:rPr>
      </w:pPr>
      <w:r>
        <w:rPr>
          <w:rFonts w:ascii="Arial" w:hAnsi="Arial" w:cs="Arial"/>
          <w:sz w:val="22"/>
          <w:szCs w:val="22"/>
        </w:rPr>
        <w:t xml:space="preserve">Asimismo, el diputado </w:t>
      </w:r>
      <w:r w:rsidR="00C74F1C">
        <w:rPr>
          <w:rFonts w:ascii="Arial" w:hAnsi="Arial" w:cs="Arial"/>
          <w:sz w:val="22"/>
          <w:szCs w:val="22"/>
        </w:rPr>
        <w:t>reemplazó, en la primera parte de la sesión, en la Presidencia de la Comisión, al Presidente titular diputado Daniel Núñez Arancibia.</w:t>
      </w:r>
    </w:p>
    <w:p w14:paraId="5B5C0D1D" w14:textId="77777777" w:rsidR="00855A04" w:rsidRPr="00855A04" w:rsidRDefault="00855A04" w:rsidP="00855A04">
      <w:pPr>
        <w:spacing w:line="360" w:lineRule="auto"/>
        <w:ind w:firstLine="1701"/>
        <w:jc w:val="both"/>
        <w:rPr>
          <w:rFonts w:ascii="Arial" w:hAnsi="Arial" w:cs="Arial"/>
          <w:sz w:val="22"/>
          <w:szCs w:val="22"/>
        </w:rPr>
      </w:pPr>
    </w:p>
    <w:p w14:paraId="756FF077" w14:textId="77777777" w:rsidR="00855A04" w:rsidRPr="00855A04" w:rsidRDefault="00855A04" w:rsidP="00855A04">
      <w:pPr>
        <w:spacing w:line="360" w:lineRule="auto"/>
        <w:ind w:firstLine="1701"/>
        <w:jc w:val="both"/>
        <w:rPr>
          <w:rFonts w:ascii="Arial" w:hAnsi="Arial" w:cs="Arial"/>
          <w:sz w:val="22"/>
          <w:szCs w:val="22"/>
        </w:rPr>
      </w:pPr>
    </w:p>
    <w:p w14:paraId="62690AC0" w14:textId="77777777" w:rsidR="0045513A" w:rsidRPr="00502286" w:rsidRDefault="0045513A" w:rsidP="00875C22">
      <w:pPr>
        <w:tabs>
          <w:tab w:val="left" w:pos="4751"/>
        </w:tabs>
        <w:spacing w:line="276" w:lineRule="auto"/>
        <w:ind w:right="142" w:firstLine="1701"/>
        <w:jc w:val="both"/>
        <w:rPr>
          <w:rFonts w:ascii="Arial" w:hAnsi="Arial" w:cs="Arial"/>
          <w:sz w:val="22"/>
          <w:szCs w:val="22"/>
          <w:lang w:val="es-ES"/>
        </w:rPr>
      </w:pPr>
    </w:p>
    <w:p w14:paraId="72CE5BF6" w14:textId="77777777" w:rsidR="001C44DC" w:rsidRDefault="001C44DC" w:rsidP="001C44DC">
      <w:pPr>
        <w:tabs>
          <w:tab w:val="left" w:pos="4751"/>
        </w:tabs>
        <w:spacing w:line="276" w:lineRule="auto"/>
        <w:ind w:right="51"/>
        <w:jc w:val="center"/>
        <w:rPr>
          <w:rFonts w:ascii="Arial" w:hAnsi="Arial" w:cs="Arial"/>
          <w:sz w:val="22"/>
          <w:szCs w:val="22"/>
        </w:rPr>
      </w:pPr>
    </w:p>
    <w:p w14:paraId="71AAE200" w14:textId="77777777" w:rsidR="001C44DC" w:rsidRDefault="001C44DC" w:rsidP="001C44DC">
      <w:pPr>
        <w:tabs>
          <w:tab w:val="left" w:pos="4751"/>
        </w:tabs>
        <w:spacing w:line="276" w:lineRule="auto"/>
        <w:ind w:right="51"/>
        <w:jc w:val="center"/>
        <w:rPr>
          <w:rFonts w:ascii="Arial" w:hAnsi="Arial" w:cs="Arial"/>
          <w:sz w:val="22"/>
          <w:szCs w:val="22"/>
        </w:rPr>
      </w:pPr>
    </w:p>
    <w:p w14:paraId="43AD2119" w14:textId="77777777" w:rsidR="001C44DC" w:rsidRDefault="001C44DC" w:rsidP="001C44DC">
      <w:pPr>
        <w:tabs>
          <w:tab w:val="left" w:pos="4751"/>
        </w:tabs>
        <w:spacing w:line="276" w:lineRule="auto"/>
        <w:ind w:right="51"/>
        <w:jc w:val="center"/>
        <w:rPr>
          <w:rFonts w:ascii="Arial" w:hAnsi="Arial" w:cs="Arial"/>
          <w:sz w:val="22"/>
          <w:szCs w:val="22"/>
        </w:rPr>
      </w:pPr>
    </w:p>
    <w:p w14:paraId="63DB82BD" w14:textId="77777777" w:rsidR="001C44DC" w:rsidRDefault="001C44DC" w:rsidP="001C44DC">
      <w:pPr>
        <w:tabs>
          <w:tab w:val="left" w:pos="4751"/>
        </w:tabs>
        <w:spacing w:line="276" w:lineRule="auto"/>
        <w:ind w:right="51"/>
        <w:jc w:val="center"/>
        <w:rPr>
          <w:rFonts w:ascii="Arial" w:hAnsi="Arial" w:cs="Arial"/>
          <w:sz w:val="22"/>
          <w:szCs w:val="22"/>
        </w:rPr>
      </w:pPr>
    </w:p>
    <w:p w14:paraId="77337183" w14:textId="77777777" w:rsidR="001C44DC" w:rsidRDefault="001C44DC" w:rsidP="001C44DC">
      <w:pPr>
        <w:tabs>
          <w:tab w:val="left" w:pos="4751"/>
        </w:tabs>
        <w:spacing w:line="276" w:lineRule="auto"/>
        <w:ind w:right="51"/>
        <w:jc w:val="center"/>
        <w:rPr>
          <w:rFonts w:ascii="Arial" w:hAnsi="Arial" w:cs="Arial"/>
          <w:sz w:val="22"/>
          <w:szCs w:val="22"/>
        </w:rPr>
      </w:pPr>
    </w:p>
    <w:p w14:paraId="0B969B2A" w14:textId="77777777" w:rsidR="001C44DC" w:rsidRPr="001C44DC" w:rsidRDefault="001C44DC" w:rsidP="001C44DC">
      <w:pPr>
        <w:tabs>
          <w:tab w:val="left" w:pos="4751"/>
        </w:tabs>
        <w:spacing w:line="276" w:lineRule="auto"/>
        <w:ind w:right="51"/>
        <w:jc w:val="center"/>
        <w:rPr>
          <w:rFonts w:ascii="Arial" w:hAnsi="Arial" w:cs="Arial"/>
          <w:b/>
          <w:sz w:val="22"/>
          <w:szCs w:val="22"/>
        </w:rPr>
      </w:pPr>
      <w:r w:rsidRPr="001C44DC">
        <w:rPr>
          <w:rFonts w:ascii="Arial" w:hAnsi="Arial" w:cs="Arial"/>
          <w:b/>
          <w:sz w:val="22"/>
          <w:szCs w:val="22"/>
        </w:rPr>
        <w:t>MARÍA EUGENIA SILVA FERRER</w:t>
      </w:r>
    </w:p>
    <w:p w14:paraId="2BCB5561" w14:textId="77777777" w:rsidR="00000546" w:rsidRPr="001C44DC" w:rsidRDefault="00000546" w:rsidP="001C44DC">
      <w:pPr>
        <w:tabs>
          <w:tab w:val="left" w:pos="4751"/>
        </w:tabs>
        <w:spacing w:line="276" w:lineRule="auto"/>
        <w:ind w:right="51"/>
        <w:jc w:val="center"/>
        <w:rPr>
          <w:rFonts w:ascii="Arial" w:hAnsi="Arial" w:cs="Arial"/>
          <w:b/>
          <w:sz w:val="22"/>
          <w:szCs w:val="22"/>
        </w:rPr>
      </w:pPr>
      <w:r w:rsidRPr="001C44DC">
        <w:rPr>
          <w:rFonts w:ascii="Arial" w:hAnsi="Arial" w:cs="Arial"/>
          <w:b/>
          <w:sz w:val="22"/>
          <w:szCs w:val="22"/>
        </w:rPr>
        <w:t>Abogado Secretari</w:t>
      </w:r>
      <w:r w:rsidR="00DF31C3" w:rsidRPr="001C44DC">
        <w:rPr>
          <w:rFonts w:ascii="Arial" w:hAnsi="Arial" w:cs="Arial"/>
          <w:b/>
          <w:sz w:val="22"/>
          <w:szCs w:val="22"/>
        </w:rPr>
        <w:t>a</w:t>
      </w:r>
      <w:r w:rsidRPr="001C44DC">
        <w:rPr>
          <w:rFonts w:ascii="Arial" w:hAnsi="Arial" w:cs="Arial"/>
          <w:b/>
          <w:sz w:val="22"/>
          <w:szCs w:val="22"/>
        </w:rPr>
        <w:t xml:space="preserve"> de la Comisión</w:t>
      </w:r>
    </w:p>
    <w:p w14:paraId="329729C7" w14:textId="77777777" w:rsidR="0003528C" w:rsidRPr="001C44DC" w:rsidRDefault="0003528C" w:rsidP="00FF3975">
      <w:pPr>
        <w:tabs>
          <w:tab w:val="left" w:pos="3686"/>
        </w:tabs>
        <w:spacing w:line="276" w:lineRule="auto"/>
        <w:ind w:left="3686" w:right="74" w:firstLine="1701"/>
        <w:jc w:val="center"/>
        <w:rPr>
          <w:rFonts w:ascii="Arial" w:hAnsi="Arial" w:cs="Arial"/>
          <w:sz w:val="22"/>
          <w:szCs w:val="22"/>
        </w:rPr>
      </w:pPr>
    </w:p>
    <w:sectPr w:rsidR="0003528C" w:rsidRPr="001C44DC" w:rsidSect="00F63BE4">
      <w:headerReference w:type="even" r:id="rId13"/>
      <w:headerReference w:type="default" r:id="rId14"/>
      <w:headerReference w:type="first" r:id="rId15"/>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E97E1" w14:textId="77777777" w:rsidR="008A5CCD" w:rsidRDefault="008A5CCD">
      <w:r>
        <w:separator/>
      </w:r>
    </w:p>
  </w:endnote>
  <w:endnote w:type="continuationSeparator" w:id="0">
    <w:p w14:paraId="3FFB737A" w14:textId="77777777" w:rsidR="008A5CCD" w:rsidRDefault="008A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3C324" w14:textId="77777777" w:rsidR="008A5CCD" w:rsidRDefault="008A5CCD">
      <w:r>
        <w:separator/>
      </w:r>
    </w:p>
  </w:footnote>
  <w:footnote w:type="continuationSeparator" w:id="0">
    <w:p w14:paraId="0F1E85C7" w14:textId="77777777" w:rsidR="008A5CCD" w:rsidRDefault="008A5CCD">
      <w:r>
        <w:continuationSeparator/>
      </w:r>
    </w:p>
  </w:footnote>
  <w:footnote w:id="1">
    <w:p w14:paraId="47533ABF" w14:textId="77777777" w:rsidR="00645CDE" w:rsidRPr="00645CDE" w:rsidRDefault="00645CDE" w:rsidP="00645CDE">
      <w:pPr>
        <w:pStyle w:val="Textonotapie"/>
        <w:jc w:val="both"/>
        <w:rPr>
          <w:sz w:val="18"/>
          <w:szCs w:val="18"/>
          <w:lang w:val="es-ES"/>
        </w:rPr>
      </w:pPr>
      <w:r>
        <w:rPr>
          <w:rStyle w:val="Refdenotaalpie"/>
        </w:rPr>
        <w:footnoteRef/>
      </w:r>
      <w:r w:rsidRPr="00645CDE">
        <w:rPr>
          <w:rFonts w:ascii="Arial" w:hAnsi="Arial" w:cs="Arial"/>
          <w:sz w:val="18"/>
          <w:szCs w:val="18"/>
        </w:rPr>
        <w:t>Definidas en la ley N°20.416 como aquellas empresas con ingresos por ventas, servicios u otras actividades del giro no superiores a 100.000 UF (pequeñas y medianas)</w:t>
      </w:r>
      <w:r w:rsidRPr="00645CDE">
        <w:rPr>
          <w:sz w:val="18"/>
          <w:szCs w:val="18"/>
        </w:rPr>
        <w:t xml:space="preserve"> </w:t>
      </w:r>
    </w:p>
  </w:footnote>
  <w:footnote w:id="2">
    <w:p w14:paraId="5F017C9D" w14:textId="77777777" w:rsidR="003302AA" w:rsidRDefault="003302AA" w:rsidP="003302AA">
      <w:pPr>
        <w:pStyle w:val="Textonotapie"/>
        <w:jc w:val="both"/>
        <w:rPr>
          <w:rFonts w:ascii="Arial" w:hAnsi="Arial" w:cs="Arial"/>
          <w:sz w:val="18"/>
          <w:szCs w:val="18"/>
        </w:rPr>
      </w:pPr>
      <w:r>
        <w:rPr>
          <w:rStyle w:val="Refdenotaalpie"/>
        </w:rPr>
        <w:footnoteRef/>
      </w:r>
      <w:r>
        <w:t xml:space="preserve"> D.O. de 12 de febrero de 2007: R</w:t>
      </w:r>
      <w:r w:rsidRPr="00006C3E">
        <w:rPr>
          <w:rFonts w:ascii="Arial" w:hAnsi="Arial" w:cs="Arial"/>
          <w:sz w:val="18"/>
          <w:szCs w:val="18"/>
        </w:rPr>
        <w:t xml:space="preserve">efunde en un solo fondo los recursos adicionales de </w:t>
      </w:r>
      <w:proofErr w:type="spellStart"/>
      <w:r w:rsidRPr="00006C3E">
        <w:rPr>
          <w:rFonts w:ascii="Arial" w:hAnsi="Arial" w:cs="Arial"/>
          <w:sz w:val="18"/>
          <w:szCs w:val="18"/>
        </w:rPr>
        <w:t>estabilizacion</w:t>
      </w:r>
      <w:proofErr w:type="spellEnd"/>
      <w:r w:rsidRPr="00006C3E">
        <w:rPr>
          <w:rFonts w:ascii="Arial" w:hAnsi="Arial" w:cs="Arial"/>
          <w:sz w:val="18"/>
          <w:szCs w:val="18"/>
        </w:rPr>
        <w:t xml:space="preserve"> de los ingresos fiscales a que se refiere el decreto ley nº 3.653, de 1981, y los del fondo de </w:t>
      </w:r>
      <w:proofErr w:type="spellStart"/>
      <w:r w:rsidRPr="00006C3E">
        <w:rPr>
          <w:rFonts w:ascii="Arial" w:hAnsi="Arial" w:cs="Arial"/>
          <w:sz w:val="18"/>
          <w:szCs w:val="18"/>
        </w:rPr>
        <w:t>compensacion</w:t>
      </w:r>
      <w:proofErr w:type="spellEnd"/>
      <w:r w:rsidRPr="00006C3E">
        <w:rPr>
          <w:rFonts w:ascii="Arial" w:hAnsi="Arial" w:cs="Arial"/>
          <w:sz w:val="18"/>
          <w:szCs w:val="18"/>
        </w:rPr>
        <w:t xml:space="preserve"> para los ingresos del cobre, constituido conforme al convenio de pr</w:t>
      </w:r>
      <w:r>
        <w:rPr>
          <w:rFonts w:ascii="Arial" w:hAnsi="Arial" w:cs="Arial"/>
          <w:sz w:val="18"/>
          <w:szCs w:val="18"/>
        </w:rPr>
        <w:t>é</w:t>
      </w:r>
      <w:r w:rsidRPr="00006C3E">
        <w:rPr>
          <w:rFonts w:ascii="Arial" w:hAnsi="Arial" w:cs="Arial"/>
          <w:sz w:val="18"/>
          <w:szCs w:val="18"/>
        </w:rPr>
        <w:t xml:space="preserve">stamo </w:t>
      </w:r>
      <w:proofErr w:type="spellStart"/>
      <w:r w:rsidRPr="00006C3E">
        <w:rPr>
          <w:rFonts w:ascii="Arial" w:hAnsi="Arial" w:cs="Arial"/>
          <w:sz w:val="18"/>
          <w:szCs w:val="18"/>
        </w:rPr>
        <w:t>birf</w:t>
      </w:r>
      <w:proofErr w:type="spellEnd"/>
      <w:r w:rsidRPr="00006C3E">
        <w:rPr>
          <w:rFonts w:ascii="Arial" w:hAnsi="Arial" w:cs="Arial"/>
          <w:sz w:val="18"/>
          <w:szCs w:val="18"/>
        </w:rPr>
        <w:t xml:space="preserve"> </w:t>
      </w:r>
      <w:r>
        <w:rPr>
          <w:rFonts w:ascii="Arial" w:hAnsi="Arial" w:cs="Arial"/>
          <w:sz w:val="18"/>
          <w:szCs w:val="18"/>
        </w:rPr>
        <w:t>N°</w:t>
      </w:r>
      <w:r w:rsidRPr="00006C3E">
        <w:rPr>
          <w:rFonts w:ascii="Arial" w:hAnsi="Arial" w:cs="Arial"/>
          <w:sz w:val="18"/>
          <w:szCs w:val="18"/>
        </w:rPr>
        <w:t xml:space="preserve"> 2.625 ch, y fija la normativa para su operación</w:t>
      </w:r>
      <w:r>
        <w:rPr>
          <w:rFonts w:ascii="Arial" w:hAnsi="Arial" w:cs="Arial"/>
          <w:sz w:val="18"/>
          <w:szCs w:val="18"/>
        </w:rPr>
        <w:t>.</w:t>
      </w:r>
    </w:p>
    <w:p w14:paraId="57167AF6" w14:textId="77777777" w:rsidR="003302AA" w:rsidRDefault="003302AA" w:rsidP="003302AA">
      <w:pPr>
        <w:jc w:val="both"/>
        <w:rPr>
          <w:rFonts w:ascii="Arial" w:hAnsi="Arial" w:cs="Arial"/>
          <w:color w:val="666666"/>
          <w:sz w:val="18"/>
          <w:szCs w:val="18"/>
          <w:shd w:val="clear" w:color="auto" w:fill="FFFFFF"/>
          <w:lang w:val="es-ES"/>
        </w:rPr>
      </w:pPr>
      <w:r>
        <w:rPr>
          <w:rFonts w:ascii="Arial" w:hAnsi="Arial" w:cs="Arial"/>
          <w:color w:val="666666"/>
          <w:sz w:val="18"/>
          <w:szCs w:val="18"/>
          <w:shd w:val="clear" w:color="auto" w:fill="FFFFFF"/>
          <w:lang w:val="es-ES"/>
        </w:rPr>
        <w:t>“</w:t>
      </w:r>
      <w:r w:rsidRPr="000A3184">
        <w:rPr>
          <w:rFonts w:ascii="Arial" w:hAnsi="Arial" w:cs="Arial"/>
          <w:color w:val="666666"/>
          <w:sz w:val="18"/>
          <w:szCs w:val="18"/>
          <w:shd w:val="clear" w:color="auto" w:fill="FFFFFF"/>
          <w:lang w:val="es-ES"/>
        </w:rPr>
        <w:t xml:space="preserve">Artículo 4°.- </w:t>
      </w:r>
      <w:r w:rsidRPr="000A3184">
        <w:rPr>
          <w:rFonts w:ascii="Arial" w:hAnsi="Arial" w:cs="Arial"/>
          <w:b/>
          <w:color w:val="666666"/>
          <w:sz w:val="18"/>
          <w:szCs w:val="18"/>
          <w:shd w:val="clear" w:color="auto" w:fill="FFFFFF"/>
          <w:lang w:val="es-ES"/>
        </w:rPr>
        <w:t xml:space="preserve">Los recursos del Fondo podrán destinarse a lo </w:t>
      </w:r>
      <w:proofErr w:type="spellStart"/>
      <w:r w:rsidRPr="000A3184">
        <w:rPr>
          <w:rFonts w:ascii="Arial" w:hAnsi="Arial" w:cs="Arial"/>
          <w:b/>
          <w:color w:val="666666"/>
          <w:sz w:val="18"/>
          <w:szCs w:val="18"/>
          <w:shd w:val="clear" w:color="auto" w:fill="FFFFFF"/>
          <w:lang w:val="es-ES"/>
        </w:rPr>
        <w:t>siguiente</w:t>
      </w:r>
      <w:r w:rsidRPr="000A3184">
        <w:rPr>
          <w:rFonts w:ascii="Arial" w:hAnsi="Arial" w:cs="Arial"/>
          <w:color w:val="666666"/>
          <w:sz w:val="18"/>
          <w:szCs w:val="18"/>
          <w:shd w:val="clear" w:color="auto" w:fill="FFFFFF"/>
          <w:lang w:val="es-ES"/>
        </w:rPr>
        <w:t>:a</w:t>
      </w:r>
      <w:proofErr w:type="spellEnd"/>
      <w:r w:rsidRPr="000A3184">
        <w:rPr>
          <w:rFonts w:ascii="Arial" w:hAnsi="Arial" w:cs="Arial"/>
          <w:color w:val="666666"/>
          <w:sz w:val="18"/>
          <w:szCs w:val="18"/>
          <w:shd w:val="clear" w:color="auto" w:fill="FFFFFF"/>
          <w:lang w:val="es-ES"/>
        </w:rPr>
        <w:t>)   al financiamiento de la Ley de Presupuestos, hasta por el monto que se establezca en dicha ley, y que se incluya en el Cálculo de Ingresos Generales de la Nación respectiva;</w:t>
      </w:r>
    </w:p>
    <w:p w14:paraId="147806BD" w14:textId="77777777" w:rsidR="003302AA" w:rsidRPr="000A3184" w:rsidRDefault="003302AA" w:rsidP="003302AA">
      <w:pPr>
        <w:jc w:val="both"/>
        <w:rPr>
          <w:rFonts w:ascii="Arial" w:hAnsi="Arial" w:cs="Arial"/>
          <w:sz w:val="22"/>
          <w:szCs w:val="22"/>
          <w:lang w:val="es-ES" w:eastAsia="es-CL"/>
        </w:rPr>
      </w:pPr>
      <w:r w:rsidRPr="000A3184">
        <w:rPr>
          <w:rFonts w:ascii="Arial" w:hAnsi="Arial" w:cs="Arial"/>
          <w:color w:val="666666"/>
          <w:sz w:val="18"/>
          <w:szCs w:val="18"/>
          <w:shd w:val="clear" w:color="auto" w:fill="FFFFFF"/>
          <w:lang w:val="es-ES"/>
        </w:rPr>
        <w:t>b)   a la sustitución de ingresos y/o financiamiento de mayor gasto que se produzca durante la ejecución presupuestaria, conforme a las autorizaciones y limitaciones establecidas en la legislación vigente;</w:t>
      </w:r>
      <w:r w:rsidRPr="000A3184">
        <w:rPr>
          <w:rFonts w:ascii="Arial" w:hAnsi="Arial" w:cs="Arial"/>
          <w:color w:val="666666"/>
          <w:sz w:val="18"/>
          <w:szCs w:val="18"/>
          <w:lang w:val="es-ES"/>
        </w:rPr>
        <w:br/>
      </w:r>
      <w:r w:rsidRPr="000A3184">
        <w:rPr>
          <w:rFonts w:ascii="Arial" w:hAnsi="Arial" w:cs="Arial"/>
          <w:color w:val="666666"/>
          <w:sz w:val="18"/>
          <w:szCs w:val="18"/>
          <w:shd w:val="clear" w:color="auto" w:fill="FFFFFF"/>
          <w:lang w:val="es-ES"/>
        </w:rPr>
        <w:t>c)   a las amortizaciones, intereses u otros gastos por concepto de Deuda Pública, incluidos los originados en contratos de canje de tasas de interés y/o de monedas;</w:t>
      </w:r>
      <w:r w:rsidRPr="000A3184">
        <w:rPr>
          <w:rFonts w:ascii="Arial" w:hAnsi="Arial" w:cs="Arial"/>
          <w:color w:val="666666"/>
          <w:sz w:val="18"/>
          <w:szCs w:val="18"/>
          <w:lang w:val="es-ES"/>
        </w:rPr>
        <w:br/>
      </w:r>
      <w:r w:rsidRPr="000A3184">
        <w:rPr>
          <w:rFonts w:ascii="Arial" w:hAnsi="Arial" w:cs="Arial"/>
          <w:color w:val="666666"/>
          <w:sz w:val="18"/>
          <w:szCs w:val="18"/>
          <w:shd w:val="clear" w:color="auto" w:fill="FFFFFF"/>
          <w:lang w:val="es-ES"/>
        </w:rPr>
        <w:t>d)   a las amortizaciones, intereses u otros gastos por concepto del pago de Bonos de Reconocimiento a que se refiere el artículo 11 transitorio del decreto ley N° 3.500 de 1980, incluidos los originados en contratos de canje de tasas de interés y/o de monedas;</w:t>
      </w:r>
      <w:r w:rsidRPr="000A3184">
        <w:rPr>
          <w:rFonts w:ascii="Arial" w:hAnsi="Arial" w:cs="Arial"/>
          <w:color w:val="666666"/>
          <w:sz w:val="18"/>
          <w:szCs w:val="18"/>
          <w:lang w:val="es-ES"/>
        </w:rPr>
        <w:br/>
      </w:r>
      <w:r w:rsidRPr="000A3184">
        <w:rPr>
          <w:rFonts w:ascii="Arial" w:hAnsi="Arial" w:cs="Arial"/>
          <w:color w:val="666666"/>
          <w:sz w:val="18"/>
          <w:szCs w:val="18"/>
          <w:shd w:val="clear" w:color="auto" w:fill="FFFFFF"/>
          <w:lang w:val="es-ES"/>
        </w:rPr>
        <w:t>e)   al financiamiento del aporte a que se refiere la letra a) del artículo 6° de la ley N° 20.128, cuando así lo disponga el Ministro de Hacienda; y</w:t>
      </w:r>
      <w:r w:rsidRPr="000A3184">
        <w:rPr>
          <w:rFonts w:ascii="Arial" w:hAnsi="Arial" w:cs="Arial"/>
          <w:color w:val="666666"/>
          <w:sz w:val="18"/>
          <w:szCs w:val="18"/>
          <w:lang w:val="es-ES"/>
        </w:rPr>
        <w:br/>
      </w:r>
      <w:r w:rsidRPr="000A3184">
        <w:rPr>
          <w:rFonts w:ascii="Arial" w:hAnsi="Arial" w:cs="Arial"/>
          <w:color w:val="666666"/>
          <w:sz w:val="18"/>
          <w:szCs w:val="18"/>
          <w:shd w:val="clear" w:color="auto" w:fill="FFFFFF"/>
          <w:lang w:val="es-ES"/>
        </w:rPr>
        <w:t>f)   al financiamiento de aportes extraordinarios al Fondo a que se refiere el artículo 5° de la ley N° 20.128, cuando así lo disponga el Ministro de Hacienda.</w:t>
      </w:r>
      <w:r w:rsidRPr="000A3184">
        <w:rPr>
          <w:rFonts w:ascii="Arial" w:hAnsi="Arial" w:cs="Arial"/>
          <w:color w:val="666666"/>
          <w:sz w:val="18"/>
          <w:szCs w:val="18"/>
          <w:lang w:val="es-ES"/>
        </w:rPr>
        <w:br/>
      </w:r>
      <w:r w:rsidRPr="000A3184">
        <w:rPr>
          <w:rFonts w:ascii="Arial" w:hAnsi="Arial" w:cs="Arial"/>
          <w:color w:val="666666"/>
          <w:sz w:val="18"/>
          <w:szCs w:val="18"/>
          <w:lang w:val="es-ES"/>
        </w:rPr>
        <w:br/>
      </w:r>
      <w:r w:rsidRPr="000A3184">
        <w:rPr>
          <w:rFonts w:ascii="Arial" w:hAnsi="Arial" w:cs="Arial"/>
          <w:color w:val="666666"/>
          <w:sz w:val="18"/>
          <w:szCs w:val="18"/>
          <w:shd w:val="clear" w:color="auto" w:fill="FFFFFF"/>
          <w:lang w:val="es-ES"/>
        </w:rPr>
        <w:t>     No obstante lo anterior, mediante decreto del Ministerio de Hacienda, se podrá disponer que, con cargo a los recursos del Fondo, se reintegren a Rentas Generales de la Nación, aquellos montos de aporte fiscal que fueron destinados a pagos por los conceptos señalados en las letras precedentes en el ejercicio anterior, y que fueron incluidos en el cálculo de los aportes a que se refiere el inciso final del artículo 20 de la ley N° 20.128</w:t>
      </w:r>
      <w:r>
        <w:rPr>
          <w:rFonts w:ascii="Arial" w:hAnsi="Arial" w:cs="Arial"/>
          <w:color w:val="666666"/>
          <w:sz w:val="18"/>
          <w:szCs w:val="18"/>
          <w:shd w:val="clear" w:color="auto" w:fill="FFFFFF"/>
          <w:lang w:val="es-ES"/>
        </w:rPr>
        <w:t>”</w:t>
      </w:r>
      <w:r w:rsidRPr="000A3184">
        <w:rPr>
          <w:rFonts w:ascii="Arial" w:hAnsi="Arial" w:cs="Arial"/>
          <w:color w:val="666666"/>
          <w:sz w:val="18"/>
          <w:szCs w:val="18"/>
          <w:shd w:val="clear" w:color="auto" w:fill="FFFFFF"/>
          <w:lang w:val="es-ES"/>
        </w:rPr>
        <w:t>.</w:t>
      </w:r>
    </w:p>
    <w:p w14:paraId="5BA72C31" w14:textId="77777777" w:rsidR="003302AA" w:rsidRPr="000A3184" w:rsidRDefault="003302AA" w:rsidP="003302AA">
      <w:pPr>
        <w:pStyle w:val="Textonotapie"/>
        <w:jc w:val="both"/>
        <w:rPr>
          <w:rFonts w:ascii="Arial" w:hAnsi="Arial" w:cs="Arial"/>
          <w:sz w:val="18"/>
          <w:szCs w:val="18"/>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4C925" w14:textId="77777777" w:rsidR="0094073F" w:rsidRDefault="005421BE"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14:paraId="26F5748C" w14:textId="77777777" w:rsidR="0094073F" w:rsidRDefault="0094073F"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D26D" w14:textId="77777777" w:rsidR="0094073F" w:rsidRPr="006A322E" w:rsidRDefault="005421BE"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8738EC">
      <w:rPr>
        <w:rStyle w:val="Nmerodepgina"/>
        <w:rFonts w:ascii="Arial" w:hAnsi="Arial" w:cs="Arial"/>
        <w:noProof/>
        <w:sz w:val="22"/>
        <w:szCs w:val="22"/>
      </w:rPr>
      <w:t>8</w:t>
    </w:r>
    <w:r w:rsidRPr="006A322E">
      <w:rPr>
        <w:rStyle w:val="Nmerodepgina"/>
        <w:rFonts w:ascii="Arial" w:hAnsi="Arial" w:cs="Arial"/>
        <w:sz w:val="22"/>
        <w:szCs w:val="22"/>
      </w:rPr>
      <w:fldChar w:fldCharType="end"/>
    </w:r>
  </w:p>
  <w:p w14:paraId="112F7ACA" w14:textId="77777777"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14:paraId="65864D08" w14:textId="77777777" w:rsidR="0094073F" w:rsidRDefault="0094073F">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7BE70" w14:textId="77777777"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0"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2"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2"/>
  </w:num>
  <w:num w:numId="2">
    <w:abstractNumId w:val="8"/>
  </w:num>
  <w:num w:numId="3">
    <w:abstractNumId w:val="4"/>
  </w:num>
  <w:num w:numId="4">
    <w:abstractNumId w:val="10"/>
  </w:num>
  <w:num w:numId="5">
    <w:abstractNumId w:val="11"/>
  </w:num>
  <w:num w:numId="6">
    <w:abstractNumId w:val="7"/>
  </w:num>
  <w:num w:numId="7">
    <w:abstractNumId w:val="0"/>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C1B"/>
    <w:rsid w:val="000655EB"/>
    <w:rsid w:val="00067889"/>
    <w:rsid w:val="00082AC0"/>
    <w:rsid w:val="00092F03"/>
    <w:rsid w:val="000A36DB"/>
    <w:rsid w:val="000A793A"/>
    <w:rsid w:val="000B075A"/>
    <w:rsid w:val="000B27BE"/>
    <w:rsid w:val="000B3614"/>
    <w:rsid w:val="000C14DE"/>
    <w:rsid w:val="000C773C"/>
    <w:rsid w:val="000D255C"/>
    <w:rsid w:val="000D732A"/>
    <w:rsid w:val="000E2850"/>
    <w:rsid w:val="000E46A2"/>
    <w:rsid w:val="0010562D"/>
    <w:rsid w:val="001056E1"/>
    <w:rsid w:val="00105C4F"/>
    <w:rsid w:val="00111DA4"/>
    <w:rsid w:val="00122A92"/>
    <w:rsid w:val="00137915"/>
    <w:rsid w:val="001410D8"/>
    <w:rsid w:val="00150739"/>
    <w:rsid w:val="00153C80"/>
    <w:rsid w:val="00155C4F"/>
    <w:rsid w:val="001657EB"/>
    <w:rsid w:val="001740B0"/>
    <w:rsid w:val="00177F3E"/>
    <w:rsid w:val="00181D28"/>
    <w:rsid w:val="0018710D"/>
    <w:rsid w:val="00194C89"/>
    <w:rsid w:val="001A0331"/>
    <w:rsid w:val="001A0A6E"/>
    <w:rsid w:val="001A4325"/>
    <w:rsid w:val="001A6EAF"/>
    <w:rsid w:val="001B385D"/>
    <w:rsid w:val="001B559F"/>
    <w:rsid w:val="001B6DF7"/>
    <w:rsid w:val="001C15F9"/>
    <w:rsid w:val="001C44DC"/>
    <w:rsid w:val="001D013A"/>
    <w:rsid w:val="001D1F88"/>
    <w:rsid w:val="001D2037"/>
    <w:rsid w:val="001D26B2"/>
    <w:rsid w:val="001E02DE"/>
    <w:rsid w:val="001F3130"/>
    <w:rsid w:val="001F370B"/>
    <w:rsid w:val="00203587"/>
    <w:rsid w:val="00203EA8"/>
    <w:rsid w:val="00206275"/>
    <w:rsid w:val="00207FBD"/>
    <w:rsid w:val="00211E3A"/>
    <w:rsid w:val="00215450"/>
    <w:rsid w:val="002159BD"/>
    <w:rsid w:val="00216C94"/>
    <w:rsid w:val="0022154B"/>
    <w:rsid w:val="00222C16"/>
    <w:rsid w:val="00222CE3"/>
    <w:rsid w:val="00224EE3"/>
    <w:rsid w:val="00225145"/>
    <w:rsid w:val="002363E4"/>
    <w:rsid w:val="00237247"/>
    <w:rsid w:val="00242EBA"/>
    <w:rsid w:val="0024379A"/>
    <w:rsid w:val="002466BF"/>
    <w:rsid w:val="00252BF7"/>
    <w:rsid w:val="002533A6"/>
    <w:rsid w:val="0025389D"/>
    <w:rsid w:val="0025499B"/>
    <w:rsid w:val="0025683D"/>
    <w:rsid w:val="00261788"/>
    <w:rsid w:val="00262581"/>
    <w:rsid w:val="00263D8A"/>
    <w:rsid w:val="002669A4"/>
    <w:rsid w:val="0027137A"/>
    <w:rsid w:val="002722FF"/>
    <w:rsid w:val="00281921"/>
    <w:rsid w:val="002861A8"/>
    <w:rsid w:val="00287F6E"/>
    <w:rsid w:val="00291DB2"/>
    <w:rsid w:val="00293FDE"/>
    <w:rsid w:val="00295029"/>
    <w:rsid w:val="00295966"/>
    <w:rsid w:val="00297A30"/>
    <w:rsid w:val="002A4B6E"/>
    <w:rsid w:val="002B04D9"/>
    <w:rsid w:val="002B3E48"/>
    <w:rsid w:val="002B47CD"/>
    <w:rsid w:val="002B73D0"/>
    <w:rsid w:val="002B799B"/>
    <w:rsid w:val="002D0186"/>
    <w:rsid w:val="002D25BA"/>
    <w:rsid w:val="002D6BF2"/>
    <w:rsid w:val="002E3F06"/>
    <w:rsid w:val="002E4BB5"/>
    <w:rsid w:val="002F52D7"/>
    <w:rsid w:val="002F7D6E"/>
    <w:rsid w:val="00300921"/>
    <w:rsid w:val="00301EB3"/>
    <w:rsid w:val="003026D7"/>
    <w:rsid w:val="003034DF"/>
    <w:rsid w:val="00306B90"/>
    <w:rsid w:val="00320E49"/>
    <w:rsid w:val="00323E29"/>
    <w:rsid w:val="003302AA"/>
    <w:rsid w:val="003420A2"/>
    <w:rsid w:val="00345001"/>
    <w:rsid w:val="00350CEB"/>
    <w:rsid w:val="00353168"/>
    <w:rsid w:val="00354B53"/>
    <w:rsid w:val="00355EE2"/>
    <w:rsid w:val="003567AB"/>
    <w:rsid w:val="0036023E"/>
    <w:rsid w:val="003633B6"/>
    <w:rsid w:val="00365DBF"/>
    <w:rsid w:val="0037118C"/>
    <w:rsid w:val="003751E6"/>
    <w:rsid w:val="00376D8A"/>
    <w:rsid w:val="00381096"/>
    <w:rsid w:val="00387B11"/>
    <w:rsid w:val="00387C60"/>
    <w:rsid w:val="0039043C"/>
    <w:rsid w:val="00390A5C"/>
    <w:rsid w:val="003A2768"/>
    <w:rsid w:val="003A283E"/>
    <w:rsid w:val="003A317B"/>
    <w:rsid w:val="003A3CDF"/>
    <w:rsid w:val="003B6D2E"/>
    <w:rsid w:val="003C5A53"/>
    <w:rsid w:val="003C6567"/>
    <w:rsid w:val="003D0FF3"/>
    <w:rsid w:val="003D5F83"/>
    <w:rsid w:val="003E25ED"/>
    <w:rsid w:val="003F16B1"/>
    <w:rsid w:val="003F3E3E"/>
    <w:rsid w:val="003F4387"/>
    <w:rsid w:val="003F58E3"/>
    <w:rsid w:val="00404FCD"/>
    <w:rsid w:val="00412680"/>
    <w:rsid w:val="00415FBA"/>
    <w:rsid w:val="004178C8"/>
    <w:rsid w:val="00424C75"/>
    <w:rsid w:val="004340CF"/>
    <w:rsid w:val="0045513A"/>
    <w:rsid w:val="00455201"/>
    <w:rsid w:val="00456F2C"/>
    <w:rsid w:val="00461DC7"/>
    <w:rsid w:val="00470ED7"/>
    <w:rsid w:val="00473F70"/>
    <w:rsid w:val="00475866"/>
    <w:rsid w:val="004821F2"/>
    <w:rsid w:val="004854D7"/>
    <w:rsid w:val="0049078F"/>
    <w:rsid w:val="00490BED"/>
    <w:rsid w:val="00490F2B"/>
    <w:rsid w:val="004926F6"/>
    <w:rsid w:val="00492EA5"/>
    <w:rsid w:val="0049721C"/>
    <w:rsid w:val="004A0187"/>
    <w:rsid w:val="004A05A9"/>
    <w:rsid w:val="004A6351"/>
    <w:rsid w:val="004A7E10"/>
    <w:rsid w:val="004B69F4"/>
    <w:rsid w:val="004C2168"/>
    <w:rsid w:val="004C5554"/>
    <w:rsid w:val="004C7DA7"/>
    <w:rsid w:val="004D6D47"/>
    <w:rsid w:val="004D737C"/>
    <w:rsid w:val="004D7FE5"/>
    <w:rsid w:val="004E0718"/>
    <w:rsid w:val="004F185C"/>
    <w:rsid w:val="004F3712"/>
    <w:rsid w:val="004F4389"/>
    <w:rsid w:val="0050054A"/>
    <w:rsid w:val="005006F3"/>
    <w:rsid w:val="00501BA9"/>
    <w:rsid w:val="00502286"/>
    <w:rsid w:val="0050418F"/>
    <w:rsid w:val="00504BCD"/>
    <w:rsid w:val="005051C8"/>
    <w:rsid w:val="00506ABD"/>
    <w:rsid w:val="0050793E"/>
    <w:rsid w:val="005154A2"/>
    <w:rsid w:val="0052226D"/>
    <w:rsid w:val="00536BF8"/>
    <w:rsid w:val="005404DD"/>
    <w:rsid w:val="005421BE"/>
    <w:rsid w:val="00546538"/>
    <w:rsid w:val="0054787B"/>
    <w:rsid w:val="005505DB"/>
    <w:rsid w:val="00551F91"/>
    <w:rsid w:val="005541F1"/>
    <w:rsid w:val="0056106F"/>
    <w:rsid w:val="0056394B"/>
    <w:rsid w:val="00567C9F"/>
    <w:rsid w:val="005711C7"/>
    <w:rsid w:val="00571C91"/>
    <w:rsid w:val="005729E8"/>
    <w:rsid w:val="005743D9"/>
    <w:rsid w:val="005764E1"/>
    <w:rsid w:val="00577BC2"/>
    <w:rsid w:val="005800F7"/>
    <w:rsid w:val="00586579"/>
    <w:rsid w:val="005868CA"/>
    <w:rsid w:val="00586BB9"/>
    <w:rsid w:val="0058737A"/>
    <w:rsid w:val="005934B7"/>
    <w:rsid w:val="005966BB"/>
    <w:rsid w:val="005975C4"/>
    <w:rsid w:val="005B6C86"/>
    <w:rsid w:val="005C15B9"/>
    <w:rsid w:val="005C28DC"/>
    <w:rsid w:val="005C3E43"/>
    <w:rsid w:val="005C759D"/>
    <w:rsid w:val="005D1037"/>
    <w:rsid w:val="005D115D"/>
    <w:rsid w:val="005D2D78"/>
    <w:rsid w:val="005D63F7"/>
    <w:rsid w:val="005E0B36"/>
    <w:rsid w:val="005E18C3"/>
    <w:rsid w:val="005E4461"/>
    <w:rsid w:val="005E6EA1"/>
    <w:rsid w:val="005E70C2"/>
    <w:rsid w:val="005E79EC"/>
    <w:rsid w:val="005F00F0"/>
    <w:rsid w:val="005F35F7"/>
    <w:rsid w:val="005F5458"/>
    <w:rsid w:val="005F799E"/>
    <w:rsid w:val="00603B68"/>
    <w:rsid w:val="0061124D"/>
    <w:rsid w:val="006133FB"/>
    <w:rsid w:val="006158D2"/>
    <w:rsid w:val="00616520"/>
    <w:rsid w:val="006216EF"/>
    <w:rsid w:val="00622235"/>
    <w:rsid w:val="00622798"/>
    <w:rsid w:val="006228C1"/>
    <w:rsid w:val="00623904"/>
    <w:rsid w:val="006279EF"/>
    <w:rsid w:val="00633529"/>
    <w:rsid w:val="00634607"/>
    <w:rsid w:val="00645CDE"/>
    <w:rsid w:val="00653750"/>
    <w:rsid w:val="00654D59"/>
    <w:rsid w:val="00657D91"/>
    <w:rsid w:val="0066140B"/>
    <w:rsid w:val="0066246E"/>
    <w:rsid w:val="006728FD"/>
    <w:rsid w:val="006734DD"/>
    <w:rsid w:val="006768E8"/>
    <w:rsid w:val="00677FB4"/>
    <w:rsid w:val="0068740A"/>
    <w:rsid w:val="00687A36"/>
    <w:rsid w:val="0069122A"/>
    <w:rsid w:val="006A322E"/>
    <w:rsid w:val="006A353D"/>
    <w:rsid w:val="006A723A"/>
    <w:rsid w:val="006B3499"/>
    <w:rsid w:val="006C60E7"/>
    <w:rsid w:val="006D4D78"/>
    <w:rsid w:val="006E042F"/>
    <w:rsid w:val="006E4C86"/>
    <w:rsid w:val="006F1858"/>
    <w:rsid w:val="0070266D"/>
    <w:rsid w:val="007039B4"/>
    <w:rsid w:val="0070544F"/>
    <w:rsid w:val="00706980"/>
    <w:rsid w:val="0071604D"/>
    <w:rsid w:val="007238C0"/>
    <w:rsid w:val="007260AF"/>
    <w:rsid w:val="007264FB"/>
    <w:rsid w:val="007307B6"/>
    <w:rsid w:val="00731349"/>
    <w:rsid w:val="00733A49"/>
    <w:rsid w:val="00734D82"/>
    <w:rsid w:val="007371F1"/>
    <w:rsid w:val="00740755"/>
    <w:rsid w:val="00742336"/>
    <w:rsid w:val="00753938"/>
    <w:rsid w:val="00763599"/>
    <w:rsid w:val="00765197"/>
    <w:rsid w:val="00771297"/>
    <w:rsid w:val="00771715"/>
    <w:rsid w:val="0078215D"/>
    <w:rsid w:val="00795ACB"/>
    <w:rsid w:val="007A2A06"/>
    <w:rsid w:val="007C5874"/>
    <w:rsid w:val="007C67A6"/>
    <w:rsid w:val="007D2A9C"/>
    <w:rsid w:val="007D718A"/>
    <w:rsid w:val="007D7DC6"/>
    <w:rsid w:val="007E6A61"/>
    <w:rsid w:val="007F51D5"/>
    <w:rsid w:val="008026DC"/>
    <w:rsid w:val="008027EB"/>
    <w:rsid w:val="00802B2E"/>
    <w:rsid w:val="0080419B"/>
    <w:rsid w:val="0080445F"/>
    <w:rsid w:val="0081307D"/>
    <w:rsid w:val="00815AD4"/>
    <w:rsid w:val="00823B9F"/>
    <w:rsid w:val="008257D6"/>
    <w:rsid w:val="00826279"/>
    <w:rsid w:val="0083014B"/>
    <w:rsid w:val="00843684"/>
    <w:rsid w:val="00843E7D"/>
    <w:rsid w:val="008457CA"/>
    <w:rsid w:val="00852DF2"/>
    <w:rsid w:val="00853E4F"/>
    <w:rsid w:val="00855A04"/>
    <w:rsid w:val="00860164"/>
    <w:rsid w:val="0086024F"/>
    <w:rsid w:val="00861C0A"/>
    <w:rsid w:val="008669B1"/>
    <w:rsid w:val="00870DB0"/>
    <w:rsid w:val="00871072"/>
    <w:rsid w:val="008738EC"/>
    <w:rsid w:val="00875C22"/>
    <w:rsid w:val="0088370E"/>
    <w:rsid w:val="008853E0"/>
    <w:rsid w:val="008874E2"/>
    <w:rsid w:val="00893EB3"/>
    <w:rsid w:val="008A07C0"/>
    <w:rsid w:val="008A2250"/>
    <w:rsid w:val="008A4662"/>
    <w:rsid w:val="008A5CCD"/>
    <w:rsid w:val="008B6BE7"/>
    <w:rsid w:val="008C1AB7"/>
    <w:rsid w:val="008C2FF2"/>
    <w:rsid w:val="008D7143"/>
    <w:rsid w:val="008E4B87"/>
    <w:rsid w:val="00901E28"/>
    <w:rsid w:val="0090409F"/>
    <w:rsid w:val="00905E9F"/>
    <w:rsid w:val="009106CA"/>
    <w:rsid w:val="00912636"/>
    <w:rsid w:val="0092491E"/>
    <w:rsid w:val="00924CE4"/>
    <w:rsid w:val="00926C49"/>
    <w:rsid w:val="00935A5D"/>
    <w:rsid w:val="0094073F"/>
    <w:rsid w:val="009412DB"/>
    <w:rsid w:val="00942BF4"/>
    <w:rsid w:val="00950D70"/>
    <w:rsid w:val="009523A2"/>
    <w:rsid w:val="0095318A"/>
    <w:rsid w:val="009566C4"/>
    <w:rsid w:val="009616CA"/>
    <w:rsid w:val="0096172D"/>
    <w:rsid w:val="0096238E"/>
    <w:rsid w:val="00964A73"/>
    <w:rsid w:val="0096600D"/>
    <w:rsid w:val="00966E5D"/>
    <w:rsid w:val="00973E34"/>
    <w:rsid w:val="00974EA1"/>
    <w:rsid w:val="009828BE"/>
    <w:rsid w:val="009846C0"/>
    <w:rsid w:val="009858A8"/>
    <w:rsid w:val="00990D45"/>
    <w:rsid w:val="0099400D"/>
    <w:rsid w:val="00994D0B"/>
    <w:rsid w:val="009A45CB"/>
    <w:rsid w:val="009B1C11"/>
    <w:rsid w:val="009C2EC8"/>
    <w:rsid w:val="009C3E74"/>
    <w:rsid w:val="009D4B23"/>
    <w:rsid w:val="009D6060"/>
    <w:rsid w:val="009D7DFC"/>
    <w:rsid w:val="009E1E5B"/>
    <w:rsid w:val="009E214B"/>
    <w:rsid w:val="009F1416"/>
    <w:rsid w:val="009F22BB"/>
    <w:rsid w:val="009F68C6"/>
    <w:rsid w:val="00A00235"/>
    <w:rsid w:val="00A10552"/>
    <w:rsid w:val="00A15283"/>
    <w:rsid w:val="00A1618C"/>
    <w:rsid w:val="00A169F8"/>
    <w:rsid w:val="00A22E24"/>
    <w:rsid w:val="00A25847"/>
    <w:rsid w:val="00A322BC"/>
    <w:rsid w:val="00A32627"/>
    <w:rsid w:val="00A36228"/>
    <w:rsid w:val="00A44785"/>
    <w:rsid w:val="00A45C42"/>
    <w:rsid w:val="00A50F4E"/>
    <w:rsid w:val="00A53B1F"/>
    <w:rsid w:val="00A54425"/>
    <w:rsid w:val="00A6504F"/>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C0C2A"/>
    <w:rsid w:val="00AC50D2"/>
    <w:rsid w:val="00AC7895"/>
    <w:rsid w:val="00AD6EA2"/>
    <w:rsid w:val="00AD7289"/>
    <w:rsid w:val="00AD74C1"/>
    <w:rsid w:val="00AE194A"/>
    <w:rsid w:val="00AE3094"/>
    <w:rsid w:val="00AF54C8"/>
    <w:rsid w:val="00AF72A3"/>
    <w:rsid w:val="00B0079E"/>
    <w:rsid w:val="00B02C70"/>
    <w:rsid w:val="00B03209"/>
    <w:rsid w:val="00B04605"/>
    <w:rsid w:val="00B06573"/>
    <w:rsid w:val="00B10728"/>
    <w:rsid w:val="00B27604"/>
    <w:rsid w:val="00B3203F"/>
    <w:rsid w:val="00B322A4"/>
    <w:rsid w:val="00B33B8D"/>
    <w:rsid w:val="00B3562D"/>
    <w:rsid w:val="00B43C9A"/>
    <w:rsid w:val="00B45F3E"/>
    <w:rsid w:val="00B55855"/>
    <w:rsid w:val="00B604EC"/>
    <w:rsid w:val="00B73A07"/>
    <w:rsid w:val="00B751EB"/>
    <w:rsid w:val="00B75F2E"/>
    <w:rsid w:val="00B80834"/>
    <w:rsid w:val="00B8684A"/>
    <w:rsid w:val="00B86A64"/>
    <w:rsid w:val="00B87ACA"/>
    <w:rsid w:val="00B9098A"/>
    <w:rsid w:val="00BA0BB1"/>
    <w:rsid w:val="00BA4F7B"/>
    <w:rsid w:val="00BB34A8"/>
    <w:rsid w:val="00BC72AA"/>
    <w:rsid w:val="00BD23C7"/>
    <w:rsid w:val="00BD2C2C"/>
    <w:rsid w:val="00BD4865"/>
    <w:rsid w:val="00BD56E0"/>
    <w:rsid w:val="00BE0AD6"/>
    <w:rsid w:val="00BE7DF4"/>
    <w:rsid w:val="00C111F3"/>
    <w:rsid w:val="00C13F57"/>
    <w:rsid w:val="00C20AB5"/>
    <w:rsid w:val="00C24E7F"/>
    <w:rsid w:val="00C427C0"/>
    <w:rsid w:val="00C428F5"/>
    <w:rsid w:val="00C44961"/>
    <w:rsid w:val="00C541C6"/>
    <w:rsid w:val="00C55F7D"/>
    <w:rsid w:val="00C57EA4"/>
    <w:rsid w:val="00C6017E"/>
    <w:rsid w:val="00C626A4"/>
    <w:rsid w:val="00C640DB"/>
    <w:rsid w:val="00C6704F"/>
    <w:rsid w:val="00C73F3B"/>
    <w:rsid w:val="00C74F1C"/>
    <w:rsid w:val="00C7634E"/>
    <w:rsid w:val="00C80498"/>
    <w:rsid w:val="00C842F0"/>
    <w:rsid w:val="00C85E3D"/>
    <w:rsid w:val="00C86CCF"/>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7AFD"/>
    <w:rsid w:val="00CD0090"/>
    <w:rsid w:val="00CD2E12"/>
    <w:rsid w:val="00CD70C9"/>
    <w:rsid w:val="00CE1455"/>
    <w:rsid w:val="00CF3B06"/>
    <w:rsid w:val="00CF3B68"/>
    <w:rsid w:val="00D01CCC"/>
    <w:rsid w:val="00D0483A"/>
    <w:rsid w:val="00D10405"/>
    <w:rsid w:val="00D107D4"/>
    <w:rsid w:val="00D14384"/>
    <w:rsid w:val="00D16CAE"/>
    <w:rsid w:val="00D175B9"/>
    <w:rsid w:val="00D201C1"/>
    <w:rsid w:val="00D26948"/>
    <w:rsid w:val="00D269BB"/>
    <w:rsid w:val="00D34E09"/>
    <w:rsid w:val="00D45395"/>
    <w:rsid w:val="00D532F8"/>
    <w:rsid w:val="00D55BDB"/>
    <w:rsid w:val="00D57B25"/>
    <w:rsid w:val="00D64D65"/>
    <w:rsid w:val="00D76D23"/>
    <w:rsid w:val="00D77A33"/>
    <w:rsid w:val="00D85CFB"/>
    <w:rsid w:val="00D87C06"/>
    <w:rsid w:val="00D90104"/>
    <w:rsid w:val="00D912F3"/>
    <w:rsid w:val="00D95C35"/>
    <w:rsid w:val="00D968C4"/>
    <w:rsid w:val="00DA1887"/>
    <w:rsid w:val="00DA1D38"/>
    <w:rsid w:val="00DA3C6B"/>
    <w:rsid w:val="00DB0DE4"/>
    <w:rsid w:val="00DB35F7"/>
    <w:rsid w:val="00DE3FC8"/>
    <w:rsid w:val="00DF31C3"/>
    <w:rsid w:val="00DF61F0"/>
    <w:rsid w:val="00E01111"/>
    <w:rsid w:val="00E03A40"/>
    <w:rsid w:val="00E10F75"/>
    <w:rsid w:val="00E11D98"/>
    <w:rsid w:val="00E1511F"/>
    <w:rsid w:val="00E200B3"/>
    <w:rsid w:val="00E207AC"/>
    <w:rsid w:val="00E26FB8"/>
    <w:rsid w:val="00E35D93"/>
    <w:rsid w:val="00E42F7C"/>
    <w:rsid w:val="00E4471D"/>
    <w:rsid w:val="00E465DF"/>
    <w:rsid w:val="00E569F9"/>
    <w:rsid w:val="00E56B61"/>
    <w:rsid w:val="00E57118"/>
    <w:rsid w:val="00E63C76"/>
    <w:rsid w:val="00E71A56"/>
    <w:rsid w:val="00E76B9E"/>
    <w:rsid w:val="00E8152D"/>
    <w:rsid w:val="00E84217"/>
    <w:rsid w:val="00E8612A"/>
    <w:rsid w:val="00E871B4"/>
    <w:rsid w:val="00E916D5"/>
    <w:rsid w:val="00EA45CC"/>
    <w:rsid w:val="00EA60DD"/>
    <w:rsid w:val="00EB3805"/>
    <w:rsid w:val="00EB3864"/>
    <w:rsid w:val="00EB47C2"/>
    <w:rsid w:val="00ED2F7A"/>
    <w:rsid w:val="00ED5375"/>
    <w:rsid w:val="00ED70EC"/>
    <w:rsid w:val="00ED7D30"/>
    <w:rsid w:val="00EE1896"/>
    <w:rsid w:val="00EE2F8E"/>
    <w:rsid w:val="00EE6300"/>
    <w:rsid w:val="00EF21F8"/>
    <w:rsid w:val="00EF67A0"/>
    <w:rsid w:val="00F03E74"/>
    <w:rsid w:val="00F05125"/>
    <w:rsid w:val="00F058A2"/>
    <w:rsid w:val="00F1637A"/>
    <w:rsid w:val="00F310F9"/>
    <w:rsid w:val="00F43857"/>
    <w:rsid w:val="00F46F0A"/>
    <w:rsid w:val="00F5679D"/>
    <w:rsid w:val="00F61ABD"/>
    <w:rsid w:val="00F6292B"/>
    <w:rsid w:val="00F63BE4"/>
    <w:rsid w:val="00F6416F"/>
    <w:rsid w:val="00F64996"/>
    <w:rsid w:val="00F66826"/>
    <w:rsid w:val="00F7156C"/>
    <w:rsid w:val="00F776D0"/>
    <w:rsid w:val="00F77B6B"/>
    <w:rsid w:val="00F8080C"/>
    <w:rsid w:val="00F80B5B"/>
    <w:rsid w:val="00F8475E"/>
    <w:rsid w:val="00F85F89"/>
    <w:rsid w:val="00F94C24"/>
    <w:rsid w:val="00FA5D48"/>
    <w:rsid w:val="00FB13AB"/>
    <w:rsid w:val="00FB1943"/>
    <w:rsid w:val="00FB54A3"/>
    <w:rsid w:val="00FB72E0"/>
    <w:rsid w:val="00FC1B73"/>
    <w:rsid w:val="00FD0065"/>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C62CB"/>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645CDE"/>
  </w:style>
  <w:style w:type="character" w:customStyle="1" w:styleId="TextonotapieCar">
    <w:name w:val="Texto nota pie Car"/>
    <w:basedOn w:val="Fuentedeprrafopredeter"/>
    <w:link w:val="Textonotapie"/>
    <w:uiPriority w:val="99"/>
    <w:semiHidden/>
    <w:rsid w:val="00645CDE"/>
    <w:rPr>
      <w:lang w:val="es-ES_tradnl" w:eastAsia="es-ES"/>
    </w:rPr>
  </w:style>
  <w:style w:type="character" w:styleId="Refdenotaalpie">
    <w:name w:val="footnote reference"/>
    <w:basedOn w:val="Fuentedeprrafopredeter"/>
    <w:uiPriority w:val="99"/>
    <w:semiHidden/>
    <w:unhideWhenUsed/>
    <w:rsid w:val="00645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582569181">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262184818">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84A43EC9-62C9-4A0B-B675-32256D99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2480</Words>
  <Characters>12885</Characters>
  <Application>Microsoft Office Word</Application>
  <DocSecurity>4</DocSecurity>
  <Lines>107</Lines>
  <Paragraphs>30</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Erika Suarez Benitez</cp:lastModifiedBy>
  <cp:revision>2</cp:revision>
  <cp:lastPrinted>2014-03-13T13:01:00Z</cp:lastPrinted>
  <dcterms:created xsi:type="dcterms:W3CDTF">2019-12-16T21:21:00Z</dcterms:created>
  <dcterms:modified xsi:type="dcterms:W3CDTF">2019-12-16T21:21:00Z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