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D6B6B" w14:textId="68D40A9B" w:rsidR="001C093C" w:rsidRPr="005B3558" w:rsidRDefault="00412E36" w:rsidP="00421BAF">
      <w:pPr>
        <w:shd w:val="clear" w:color="auto" w:fill="FFFFFF"/>
        <w:tabs>
          <w:tab w:val="left" w:pos="-284"/>
          <w:tab w:val="left" w:pos="0"/>
          <w:tab w:val="left" w:pos="1701"/>
        </w:tabs>
        <w:jc w:val="both"/>
        <w:rPr>
          <w:rFonts w:ascii="Arial" w:hAnsi="Arial" w:cs="Arial"/>
          <w:b/>
          <w:bCs/>
          <w:color w:val="000000"/>
          <w:spacing w:val="4"/>
          <w:sz w:val="22"/>
          <w:szCs w:val="22"/>
        </w:rPr>
      </w:pPr>
      <w:r>
        <w:rPr>
          <w:rFonts w:ascii="Arial" w:hAnsi="Arial" w:cs="Arial"/>
          <w:b/>
          <w:bCs/>
          <w:color w:val="000000"/>
          <w:spacing w:val="-2"/>
          <w:sz w:val="22"/>
          <w:szCs w:val="22"/>
        </w:rPr>
        <w:t xml:space="preserve">INFORME </w:t>
      </w:r>
      <w:bookmarkStart w:id="0" w:name="_GoBack"/>
      <w:bookmarkEnd w:id="0"/>
      <w:r w:rsidR="00A870A1" w:rsidRPr="005B3558">
        <w:rPr>
          <w:rFonts w:ascii="Arial" w:hAnsi="Arial" w:cs="Arial"/>
          <w:b/>
          <w:bCs/>
          <w:color w:val="000000"/>
          <w:spacing w:val="-2"/>
          <w:sz w:val="22"/>
          <w:szCs w:val="22"/>
        </w:rPr>
        <w:t xml:space="preserve">DE LA COMISIÓN DE HACIENDA RECAÍDO EN EL </w:t>
      </w:r>
      <w:r w:rsidR="001C093C" w:rsidRPr="005B3558">
        <w:rPr>
          <w:rFonts w:ascii="Arial" w:hAnsi="Arial" w:cs="Arial"/>
          <w:b/>
          <w:bCs/>
          <w:color w:val="000000"/>
          <w:spacing w:val="4"/>
          <w:sz w:val="22"/>
          <w:szCs w:val="22"/>
        </w:rPr>
        <w:t xml:space="preserve">PROYECTO DE ACUERDO QUE APRUEBA EL “ACUERDO ENTRE EL GOBIERNO DE LA REPUBLICA DE CHILE Y LA ORGANIZACIÓN INTERNACIONAL DE POLICIA CRIMINAL </w:t>
      </w:r>
      <w:r w:rsidR="00A870A1" w:rsidRPr="005B3558">
        <w:rPr>
          <w:rFonts w:ascii="Arial" w:hAnsi="Arial" w:cs="Arial"/>
          <w:b/>
          <w:bCs/>
          <w:color w:val="000000"/>
          <w:spacing w:val="4"/>
          <w:sz w:val="22"/>
          <w:szCs w:val="22"/>
        </w:rPr>
        <w:t>–</w:t>
      </w:r>
      <w:r w:rsidR="001C093C" w:rsidRPr="005B3558">
        <w:rPr>
          <w:rFonts w:ascii="Arial" w:hAnsi="Arial" w:cs="Arial"/>
          <w:b/>
          <w:bCs/>
          <w:color w:val="000000"/>
          <w:spacing w:val="4"/>
          <w:sz w:val="22"/>
          <w:szCs w:val="22"/>
        </w:rPr>
        <w:t xml:space="preserve"> INTERPOL</w:t>
      </w:r>
      <w:r w:rsidR="00A870A1" w:rsidRPr="005B3558">
        <w:rPr>
          <w:rFonts w:ascii="Arial" w:hAnsi="Arial" w:cs="Arial"/>
          <w:b/>
          <w:bCs/>
          <w:color w:val="000000"/>
          <w:spacing w:val="4"/>
          <w:sz w:val="22"/>
          <w:szCs w:val="22"/>
        </w:rPr>
        <w:t>,</w:t>
      </w:r>
      <w:r w:rsidR="001C093C" w:rsidRPr="005B3558">
        <w:rPr>
          <w:rFonts w:ascii="Arial" w:hAnsi="Arial" w:cs="Arial"/>
          <w:b/>
          <w:bCs/>
          <w:color w:val="000000"/>
          <w:spacing w:val="4"/>
          <w:sz w:val="22"/>
          <w:szCs w:val="22"/>
        </w:rPr>
        <w:t xml:space="preserve"> SOBRE LOS PRIVILEGIOS E INMUNIDADES APLICADAS DURANTE LA 88ª REUNION DE SU ASAMBLEA GENERAL Y LAS REUNIONES DEL COMITÉ EJECUTIVO QUE SE CELEBRARAN EN SANTIAGO, REP</w:t>
      </w:r>
      <w:r w:rsidR="00687312" w:rsidRPr="005B3558">
        <w:rPr>
          <w:rFonts w:ascii="Arial" w:hAnsi="Arial" w:cs="Arial"/>
          <w:b/>
          <w:bCs/>
          <w:color w:val="000000"/>
          <w:spacing w:val="4"/>
          <w:sz w:val="22"/>
          <w:szCs w:val="22"/>
        </w:rPr>
        <w:t>ÚB</w:t>
      </w:r>
      <w:r w:rsidR="001C093C" w:rsidRPr="005B3558">
        <w:rPr>
          <w:rFonts w:ascii="Arial" w:hAnsi="Arial" w:cs="Arial"/>
          <w:b/>
          <w:bCs/>
          <w:color w:val="000000"/>
          <w:spacing w:val="4"/>
          <w:sz w:val="22"/>
          <w:szCs w:val="22"/>
        </w:rPr>
        <w:t xml:space="preserve">LICA DE CHILE, DEL 12 AL 18 DE OCTUBRE 2019”, SUSCRITO EN PARIS Y LYON, FRANCIA, EL 1 DE AGOSTO DE 2019. </w:t>
      </w:r>
    </w:p>
    <w:p w14:paraId="179EC8C2" w14:textId="77777777" w:rsidR="00CF67AE" w:rsidRPr="005B3558" w:rsidRDefault="00CF67AE" w:rsidP="00421BAF">
      <w:pPr>
        <w:shd w:val="clear" w:color="auto" w:fill="FFFFFF"/>
        <w:tabs>
          <w:tab w:val="left" w:pos="-284"/>
          <w:tab w:val="left" w:pos="0"/>
          <w:tab w:val="left" w:pos="1701"/>
        </w:tabs>
        <w:jc w:val="both"/>
        <w:rPr>
          <w:rFonts w:ascii="Arial" w:hAnsi="Arial" w:cs="Arial"/>
          <w:b/>
          <w:bCs/>
          <w:color w:val="000000"/>
          <w:spacing w:val="4"/>
          <w:sz w:val="22"/>
          <w:szCs w:val="22"/>
        </w:rPr>
      </w:pPr>
      <w:r w:rsidRPr="005B3558">
        <w:rPr>
          <w:rFonts w:ascii="Arial" w:hAnsi="Arial" w:cs="Arial"/>
          <w:b/>
          <w:bCs/>
          <w:color w:val="000000"/>
          <w:spacing w:val="4"/>
          <w:sz w:val="22"/>
          <w:szCs w:val="22"/>
        </w:rPr>
        <w:t>___________________________________________________________________</w:t>
      </w:r>
    </w:p>
    <w:p w14:paraId="418868A2" w14:textId="77777777" w:rsidR="00AC6EDE" w:rsidRPr="005B3558" w:rsidRDefault="00AC6EDE" w:rsidP="00421BAF">
      <w:pPr>
        <w:shd w:val="clear" w:color="auto" w:fill="FFFFFF"/>
        <w:ind w:firstLine="1701"/>
        <w:jc w:val="both"/>
        <w:rPr>
          <w:rFonts w:ascii="Arial" w:hAnsi="Arial" w:cs="Arial"/>
          <w:sz w:val="22"/>
          <w:szCs w:val="22"/>
        </w:rPr>
      </w:pPr>
    </w:p>
    <w:p w14:paraId="2922E47F" w14:textId="77777777" w:rsidR="00705A09" w:rsidRPr="005B3558" w:rsidRDefault="00705A09" w:rsidP="00450ACF">
      <w:pPr>
        <w:shd w:val="clear" w:color="auto" w:fill="FFFFFF"/>
        <w:tabs>
          <w:tab w:val="left" w:pos="-284"/>
          <w:tab w:val="left" w:pos="0"/>
          <w:tab w:val="left" w:pos="1701"/>
        </w:tabs>
        <w:spacing w:line="276" w:lineRule="auto"/>
        <w:ind w:right="49"/>
        <w:jc w:val="right"/>
        <w:rPr>
          <w:rFonts w:ascii="Arial" w:hAnsi="Arial" w:cs="Arial"/>
          <w:b/>
          <w:bCs/>
          <w:color w:val="000000"/>
          <w:spacing w:val="-2"/>
          <w:sz w:val="22"/>
          <w:szCs w:val="22"/>
        </w:rPr>
      </w:pPr>
      <w:r w:rsidRPr="005B3558">
        <w:rPr>
          <w:rFonts w:ascii="Arial" w:hAnsi="Arial" w:cs="Arial"/>
          <w:b/>
          <w:bCs/>
          <w:color w:val="000000"/>
          <w:spacing w:val="-2"/>
          <w:sz w:val="22"/>
          <w:szCs w:val="22"/>
        </w:rPr>
        <w:t xml:space="preserve">Boletín N° </w:t>
      </w:r>
      <w:r w:rsidR="008C5E38" w:rsidRPr="005B3558">
        <w:rPr>
          <w:rFonts w:ascii="Arial" w:hAnsi="Arial" w:cs="Arial"/>
          <w:b/>
          <w:bCs/>
          <w:color w:val="000000"/>
          <w:spacing w:val="-2"/>
          <w:sz w:val="22"/>
          <w:szCs w:val="22"/>
        </w:rPr>
        <w:t>12.</w:t>
      </w:r>
      <w:r w:rsidR="001C093C" w:rsidRPr="005B3558">
        <w:rPr>
          <w:rFonts w:ascii="Arial" w:hAnsi="Arial" w:cs="Arial"/>
          <w:b/>
          <w:bCs/>
          <w:color w:val="000000"/>
          <w:spacing w:val="-2"/>
          <w:sz w:val="22"/>
          <w:szCs w:val="22"/>
        </w:rPr>
        <w:t>954</w:t>
      </w:r>
      <w:r w:rsidRPr="005B3558">
        <w:rPr>
          <w:rFonts w:ascii="Arial" w:hAnsi="Arial" w:cs="Arial"/>
          <w:b/>
          <w:bCs/>
          <w:color w:val="000000"/>
          <w:spacing w:val="-2"/>
          <w:sz w:val="22"/>
          <w:szCs w:val="22"/>
        </w:rPr>
        <w:t>-10</w:t>
      </w:r>
    </w:p>
    <w:p w14:paraId="3AA4A737" w14:textId="77777777" w:rsidR="00E86292" w:rsidRPr="005B3558" w:rsidRDefault="00E86292" w:rsidP="00421BAF">
      <w:pPr>
        <w:shd w:val="clear" w:color="auto" w:fill="FFFFFF"/>
        <w:tabs>
          <w:tab w:val="left" w:pos="-284"/>
          <w:tab w:val="left" w:pos="0"/>
          <w:tab w:val="left" w:pos="1701"/>
        </w:tabs>
        <w:spacing w:line="276" w:lineRule="auto"/>
        <w:jc w:val="both"/>
        <w:rPr>
          <w:rFonts w:ascii="Arial" w:hAnsi="Arial" w:cs="Arial"/>
          <w:b/>
          <w:bCs/>
          <w:color w:val="000000"/>
          <w:spacing w:val="-2"/>
          <w:sz w:val="22"/>
          <w:szCs w:val="22"/>
        </w:rPr>
      </w:pPr>
    </w:p>
    <w:p w14:paraId="59AFC2F8" w14:textId="77777777" w:rsidR="00687312" w:rsidRPr="005B3558" w:rsidRDefault="00687312" w:rsidP="00421BAF">
      <w:pPr>
        <w:shd w:val="clear" w:color="auto" w:fill="FFFFFF"/>
        <w:tabs>
          <w:tab w:val="left" w:pos="-284"/>
          <w:tab w:val="left" w:pos="0"/>
        </w:tabs>
        <w:spacing w:before="120" w:line="276" w:lineRule="auto"/>
        <w:rPr>
          <w:rFonts w:ascii="Arial" w:hAnsi="Arial" w:cs="Arial"/>
          <w:b/>
          <w:sz w:val="22"/>
          <w:szCs w:val="22"/>
        </w:rPr>
      </w:pPr>
      <w:r w:rsidRPr="005B3558">
        <w:rPr>
          <w:rFonts w:ascii="Arial" w:hAnsi="Arial" w:cs="Arial"/>
          <w:b/>
          <w:sz w:val="22"/>
          <w:szCs w:val="22"/>
        </w:rPr>
        <w:t>HONORABLE CÁMARA:</w:t>
      </w:r>
    </w:p>
    <w:p w14:paraId="46D783B4" w14:textId="77777777" w:rsidR="00687312" w:rsidRPr="005B3558" w:rsidRDefault="00687312" w:rsidP="00421BAF">
      <w:pPr>
        <w:tabs>
          <w:tab w:val="left" w:pos="-284"/>
          <w:tab w:val="left" w:pos="0"/>
          <w:tab w:val="left" w:pos="3402"/>
          <w:tab w:val="left" w:pos="4751"/>
        </w:tabs>
        <w:spacing w:line="276" w:lineRule="auto"/>
        <w:ind w:right="51" w:firstLine="1701"/>
        <w:jc w:val="both"/>
        <w:rPr>
          <w:rFonts w:ascii="Arial" w:hAnsi="Arial" w:cs="Arial"/>
          <w:sz w:val="22"/>
          <w:szCs w:val="22"/>
        </w:rPr>
      </w:pPr>
    </w:p>
    <w:p w14:paraId="54E46189" w14:textId="011D7629" w:rsidR="00687312" w:rsidRPr="005B3558" w:rsidRDefault="00687312" w:rsidP="00421BAF">
      <w:pPr>
        <w:tabs>
          <w:tab w:val="left" w:pos="-284"/>
          <w:tab w:val="left" w:pos="0"/>
          <w:tab w:val="left" w:pos="1701"/>
        </w:tabs>
        <w:spacing w:line="276" w:lineRule="auto"/>
        <w:ind w:right="51" w:firstLine="1701"/>
        <w:jc w:val="both"/>
        <w:rPr>
          <w:rFonts w:ascii="Arial" w:hAnsi="Arial" w:cs="Arial"/>
          <w:sz w:val="22"/>
          <w:szCs w:val="22"/>
        </w:rPr>
      </w:pPr>
      <w:r w:rsidRPr="005B3558">
        <w:rPr>
          <w:rFonts w:ascii="Arial" w:hAnsi="Arial" w:cs="Arial"/>
          <w:sz w:val="22"/>
          <w:szCs w:val="22"/>
        </w:rPr>
        <w:t xml:space="preserve">La Comisión de Hacienda para a informar, en cumplimiento del inciso segundo del artículo 17 de la ley N° 18.918, Orgánica Constitucional del Congreso Nacional, y conforme a lo dispuesto en el inciso segundo del artículo 226 del Reglamento de la Corporación, el proyecto de </w:t>
      </w:r>
      <w:r w:rsidR="004F21FF">
        <w:rPr>
          <w:rFonts w:ascii="Arial" w:hAnsi="Arial" w:cs="Arial"/>
          <w:sz w:val="22"/>
          <w:szCs w:val="22"/>
        </w:rPr>
        <w:t xml:space="preserve">acuerdo </w:t>
      </w:r>
      <w:r w:rsidRPr="005B3558">
        <w:rPr>
          <w:rFonts w:ascii="Arial" w:hAnsi="Arial" w:cs="Arial"/>
          <w:sz w:val="22"/>
          <w:szCs w:val="22"/>
        </w:rPr>
        <w:t xml:space="preserve">mencionado en el epígrafe, originado en Mensaje de S.E. el Presidente de la República don Sebastián Piñera Echenique, ingresado a tramitación el </w:t>
      </w:r>
      <w:r w:rsidR="00421BAF" w:rsidRPr="005B3558">
        <w:rPr>
          <w:rFonts w:ascii="Arial" w:hAnsi="Arial" w:cs="Arial"/>
          <w:sz w:val="22"/>
          <w:szCs w:val="22"/>
        </w:rPr>
        <w:t>30 de septiembre del año</w:t>
      </w:r>
      <w:r w:rsidRPr="005B3558">
        <w:rPr>
          <w:rFonts w:ascii="Arial" w:hAnsi="Arial" w:cs="Arial"/>
          <w:sz w:val="22"/>
          <w:szCs w:val="22"/>
        </w:rPr>
        <w:t xml:space="preserve"> en curso</w:t>
      </w:r>
      <w:r w:rsidR="00421BAF" w:rsidRPr="005B3558">
        <w:rPr>
          <w:rFonts w:ascii="Arial" w:hAnsi="Arial" w:cs="Arial"/>
          <w:sz w:val="22"/>
          <w:szCs w:val="22"/>
        </w:rPr>
        <w:t>, con urgencia calificada de Discusión Inmediata.</w:t>
      </w:r>
    </w:p>
    <w:p w14:paraId="587EBA1B" w14:textId="77777777" w:rsidR="00AB2E37" w:rsidRDefault="00AB2E37" w:rsidP="00421BAF">
      <w:pPr>
        <w:tabs>
          <w:tab w:val="left" w:pos="-284"/>
          <w:tab w:val="left" w:pos="0"/>
          <w:tab w:val="left" w:pos="1701"/>
        </w:tabs>
        <w:spacing w:line="276" w:lineRule="auto"/>
        <w:ind w:right="51" w:firstLine="1701"/>
        <w:jc w:val="both"/>
        <w:rPr>
          <w:rFonts w:ascii="Arial" w:hAnsi="Arial" w:cs="Arial"/>
          <w:sz w:val="22"/>
          <w:szCs w:val="22"/>
        </w:rPr>
      </w:pPr>
    </w:p>
    <w:p w14:paraId="10B688E2" w14:textId="77777777" w:rsidR="00AB2E37" w:rsidRPr="00AB2E37" w:rsidRDefault="009303D4" w:rsidP="00AB2E37">
      <w:pPr>
        <w:spacing w:line="276" w:lineRule="auto"/>
        <w:ind w:firstLine="1701"/>
        <w:jc w:val="both"/>
        <w:rPr>
          <w:rFonts w:ascii="Arial" w:hAnsi="Arial" w:cs="Arial"/>
          <w:sz w:val="22"/>
          <w:szCs w:val="22"/>
        </w:rPr>
      </w:pPr>
      <w:r>
        <w:rPr>
          <w:rFonts w:ascii="Arial" w:hAnsi="Arial" w:cs="Arial"/>
          <w:sz w:val="22"/>
          <w:szCs w:val="22"/>
        </w:rPr>
        <w:t>Asistió</w:t>
      </w:r>
      <w:r w:rsidR="00AB2E37" w:rsidRPr="00AB2E37">
        <w:rPr>
          <w:rFonts w:ascii="Arial" w:hAnsi="Arial" w:cs="Arial"/>
          <w:sz w:val="22"/>
          <w:szCs w:val="22"/>
        </w:rPr>
        <w:t xml:space="preserve"> en representación de Ejecutivo</w:t>
      </w:r>
      <w:r>
        <w:rPr>
          <w:rFonts w:ascii="Arial" w:hAnsi="Arial" w:cs="Arial"/>
          <w:sz w:val="22"/>
          <w:szCs w:val="22"/>
        </w:rPr>
        <w:t xml:space="preserve"> e</w:t>
      </w:r>
      <w:r w:rsidR="00AB2E37" w:rsidRPr="00AB2E37">
        <w:rPr>
          <w:rFonts w:ascii="Arial" w:hAnsi="Arial" w:cs="Arial"/>
          <w:sz w:val="22"/>
          <w:szCs w:val="22"/>
        </w:rPr>
        <w:t xml:space="preserve">l Ministro Secretario General de la Presidencia, </w:t>
      </w:r>
      <w:r>
        <w:rPr>
          <w:rFonts w:ascii="Arial" w:hAnsi="Arial" w:cs="Arial"/>
          <w:sz w:val="22"/>
          <w:szCs w:val="22"/>
        </w:rPr>
        <w:t xml:space="preserve">señor </w:t>
      </w:r>
      <w:r w:rsidR="00AB2E37" w:rsidRPr="00AB2E37">
        <w:rPr>
          <w:rFonts w:ascii="Arial" w:hAnsi="Arial" w:cs="Arial"/>
          <w:sz w:val="22"/>
          <w:szCs w:val="22"/>
        </w:rPr>
        <w:t>Gonzalo Blumel Mac Iver</w:t>
      </w:r>
      <w:r>
        <w:rPr>
          <w:rFonts w:ascii="Arial" w:hAnsi="Arial" w:cs="Arial"/>
          <w:sz w:val="22"/>
          <w:szCs w:val="22"/>
        </w:rPr>
        <w:t xml:space="preserve">, acompañado de las siguientes personas: </w:t>
      </w:r>
      <w:r w:rsidR="00AB2E37" w:rsidRPr="00AB2E37">
        <w:rPr>
          <w:rFonts w:ascii="Arial" w:hAnsi="Arial" w:cs="Arial"/>
          <w:sz w:val="22"/>
          <w:szCs w:val="22"/>
        </w:rPr>
        <w:t>Jefe</w:t>
      </w:r>
      <w:r>
        <w:rPr>
          <w:rFonts w:ascii="Arial" w:hAnsi="Arial" w:cs="Arial"/>
          <w:sz w:val="22"/>
          <w:szCs w:val="22"/>
        </w:rPr>
        <w:t xml:space="preserve"> de la </w:t>
      </w:r>
      <w:r w:rsidR="00AB2E37" w:rsidRPr="00AB2E37">
        <w:rPr>
          <w:rFonts w:ascii="Arial" w:hAnsi="Arial" w:cs="Arial"/>
          <w:sz w:val="22"/>
          <w:szCs w:val="22"/>
        </w:rPr>
        <w:t xml:space="preserve"> Brigada Congreso Nacional </w:t>
      </w:r>
      <w:r>
        <w:rPr>
          <w:rFonts w:ascii="Arial" w:hAnsi="Arial" w:cs="Arial"/>
          <w:sz w:val="22"/>
          <w:szCs w:val="22"/>
        </w:rPr>
        <w:t>de la Policía de Investigaciones</w:t>
      </w:r>
      <w:r w:rsidR="00AB2E37" w:rsidRPr="00AB2E37">
        <w:rPr>
          <w:rFonts w:ascii="Arial" w:hAnsi="Arial" w:cs="Arial"/>
          <w:sz w:val="22"/>
          <w:szCs w:val="22"/>
        </w:rPr>
        <w:t xml:space="preserve">, Comisario </w:t>
      </w:r>
      <w:r>
        <w:rPr>
          <w:rFonts w:ascii="Arial" w:hAnsi="Arial" w:cs="Arial"/>
          <w:sz w:val="22"/>
          <w:szCs w:val="22"/>
        </w:rPr>
        <w:t xml:space="preserve">señor </w:t>
      </w:r>
      <w:r w:rsidR="00AB2E37" w:rsidRPr="00AB2E37">
        <w:rPr>
          <w:rFonts w:ascii="Arial" w:hAnsi="Arial" w:cs="Arial"/>
          <w:sz w:val="22"/>
          <w:szCs w:val="22"/>
        </w:rPr>
        <w:t>Silvio Copello Vallejos</w:t>
      </w:r>
      <w:r>
        <w:rPr>
          <w:rFonts w:ascii="Arial" w:hAnsi="Arial" w:cs="Arial"/>
          <w:sz w:val="22"/>
          <w:szCs w:val="22"/>
        </w:rPr>
        <w:t xml:space="preserve">, </w:t>
      </w:r>
      <w:r w:rsidR="00AB2E37" w:rsidRPr="00AB2E37">
        <w:rPr>
          <w:rFonts w:ascii="Arial" w:hAnsi="Arial" w:cs="Arial"/>
          <w:sz w:val="22"/>
          <w:szCs w:val="22"/>
        </w:rPr>
        <w:t>SubJefe Brigada Congreso Nacional PDI, Subcomisario Gerardo Alvarez Rodríguez</w:t>
      </w:r>
      <w:r>
        <w:rPr>
          <w:rFonts w:ascii="Arial" w:hAnsi="Arial" w:cs="Arial"/>
          <w:sz w:val="22"/>
          <w:szCs w:val="22"/>
        </w:rPr>
        <w:t xml:space="preserve"> e</w:t>
      </w:r>
      <w:r w:rsidR="00AB2E37" w:rsidRPr="00AB2E37">
        <w:rPr>
          <w:rFonts w:ascii="Arial" w:hAnsi="Arial" w:cs="Arial"/>
          <w:sz w:val="22"/>
          <w:szCs w:val="22"/>
        </w:rPr>
        <w:t xml:space="preserve"> Inspector señora Constanza Lagos Araya, </w:t>
      </w:r>
      <w:r>
        <w:rPr>
          <w:rFonts w:ascii="Arial" w:hAnsi="Arial" w:cs="Arial"/>
          <w:sz w:val="22"/>
          <w:szCs w:val="22"/>
        </w:rPr>
        <w:t>como asimismo, del</w:t>
      </w:r>
      <w:r w:rsidR="00AB2E37" w:rsidRPr="00AB2E37">
        <w:rPr>
          <w:rFonts w:ascii="Arial" w:hAnsi="Arial" w:cs="Arial"/>
          <w:sz w:val="22"/>
          <w:szCs w:val="22"/>
        </w:rPr>
        <w:t xml:space="preserve"> </w:t>
      </w:r>
      <w:r>
        <w:rPr>
          <w:rFonts w:ascii="Arial" w:hAnsi="Arial" w:cs="Arial"/>
          <w:sz w:val="22"/>
          <w:szCs w:val="22"/>
        </w:rPr>
        <w:t>a</w:t>
      </w:r>
      <w:r w:rsidR="00AB2E37" w:rsidRPr="00AB2E37">
        <w:rPr>
          <w:rFonts w:ascii="Arial" w:hAnsi="Arial" w:cs="Arial"/>
          <w:sz w:val="22"/>
          <w:szCs w:val="22"/>
        </w:rPr>
        <w:t xml:space="preserve">sesor </w:t>
      </w:r>
      <w:r>
        <w:rPr>
          <w:rFonts w:ascii="Arial" w:hAnsi="Arial" w:cs="Arial"/>
          <w:sz w:val="22"/>
          <w:szCs w:val="22"/>
        </w:rPr>
        <w:t>l</w:t>
      </w:r>
      <w:r w:rsidR="00AB2E37" w:rsidRPr="00AB2E37">
        <w:rPr>
          <w:rFonts w:ascii="Arial" w:hAnsi="Arial" w:cs="Arial"/>
          <w:sz w:val="22"/>
          <w:szCs w:val="22"/>
        </w:rPr>
        <w:t>egislativo de la Dirección de Presupuestos, señor Gabriel Jiménez Celsi.</w:t>
      </w:r>
    </w:p>
    <w:p w14:paraId="45AE0F3B" w14:textId="77777777" w:rsidR="00687312" w:rsidRPr="005B3558" w:rsidRDefault="00687312" w:rsidP="00421BAF">
      <w:pPr>
        <w:tabs>
          <w:tab w:val="left" w:pos="-284"/>
          <w:tab w:val="left" w:pos="0"/>
          <w:tab w:val="left" w:pos="1701"/>
        </w:tabs>
        <w:spacing w:line="276" w:lineRule="auto"/>
        <w:ind w:right="51" w:firstLine="1701"/>
        <w:jc w:val="both"/>
        <w:rPr>
          <w:rFonts w:ascii="Arial" w:hAnsi="Arial" w:cs="Arial"/>
          <w:sz w:val="22"/>
          <w:szCs w:val="22"/>
        </w:rPr>
      </w:pPr>
      <w:r w:rsidRPr="005B3558">
        <w:rPr>
          <w:rFonts w:ascii="Arial" w:hAnsi="Arial" w:cs="Arial"/>
          <w:sz w:val="22"/>
          <w:szCs w:val="22"/>
        </w:rPr>
        <w:tab/>
      </w:r>
    </w:p>
    <w:p w14:paraId="418B2F10" w14:textId="77777777" w:rsidR="00421BAF" w:rsidRPr="005B3558" w:rsidRDefault="00421BAF" w:rsidP="00421BAF">
      <w:pPr>
        <w:tabs>
          <w:tab w:val="left" w:pos="-284"/>
          <w:tab w:val="left" w:pos="0"/>
        </w:tabs>
        <w:spacing w:line="276" w:lineRule="auto"/>
        <w:rPr>
          <w:rFonts w:ascii="Arial" w:hAnsi="Arial" w:cs="Arial"/>
          <w:b/>
          <w:sz w:val="22"/>
          <w:szCs w:val="22"/>
        </w:rPr>
      </w:pPr>
      <w:r w:rsidRPr="005B3558">
        <w:rPr>
          <w:rFonts w:ascii="Arial" w:hAnsi="Arial" w:cs="Arial"/>
          <w:b/>
          <w:sz w:val="22"/>
          <w:szCs w:val="22"/>
        </w:rPr>
        <w:t>I.- CONSTANCIAS REGLAMENTARIAS</w:t>
      </w:r>
    </w:p>
    <w:p w14:paraId="1399507B" w14:textId="77777777" w:rsidR="00421BAF" w:rsidRPr="005B3558" w:rsidRDefault="00421BAF" w:rsidP="00421BAF">
      <w:pPr>
        <w:shd w:val="clear" w:color="auto" w:fill="FFFFFF"/>
        <w:tabs>
          <w:tab w:val="left" w:pos="-284"/>
          <w:tab w:val="left" w:pos="0"/>
          <w:tab w:val="left" w:pos="1701"/>
        </w:tabs>
        <w:spacing w:line="276" w:lineRule="auto"/>
        <w:jc w:val="both"/>
        <w:rPr>
          <w:rFonts w:ascii="Arial" w:hAnsi="Arial" w:cs="Arial"/>
          <w:b/>
          <w:sz w:val="22"/>
          <w:szCs w:val="22"/>
        </w:rPr>
      </w:pPr>
    </w:p>
    <w:p w14:paraId="7BB14616" w14:textId="77777777" w:rsidR="00503BE7" w:rsidRPr="005B3558" w:rsidRDefault="00CF67AE" w:rsidP="00CF67AE">
      <w:pPr>
        <w:shd w:val="clear" w:color="auto" w:fill="FFFFFF"/>
        <w:tabs>
          <w:tab w:val="left" w:pos="-284"/>
          <w:tab w:val="left" w:pos="0"/>
          <w:tab w:val="left" w:pos="1701"/>
        </w:tabs>
        <w:spacing w:line="276" w:lineRule="auto"/>
        <w:ind w:firstLine="1701"/>
        <w:jc w:val="both"/>
        <w:rPr>
          <w:rFonts w:ascii="Arial" w:hAnsi="Arial" w:cs="Arial"/>
          <w:sz w:val="22"/>
          <w:szCs w:val="22"/>
          <w:u w:val="single"/>
        </w:rPr>
      </w:pPr>
      <w:r w:rsidRPr="005B3558">
        <w:rPr>
          <w:rFonts w:ascii="Arial" w:hAnsi="Arial" w:cs="Arial"/>
          <w:sz w:val="22"/>
          <w:szCs w:val="22"/>
        </w:rPr>
        <w:t>1.-</w:t>
      </w:r>
      <w:r w:rsidRPr="005B3558">
        <w:rPr>
          <w:rFonts w:ascii="Arial" w:hAnsi="Arial" w:cs="Arial"/>
          <w:sz w:val="22"/>
          <w:szCs w:val="22"/>
          <w:u w:val="single"/>
        </w:rPr>
        <w:t>Ideas fundamentales o matrices:</w:t>
      </w:r>
    </w:p>
    <w:p w14:paraId="5ADABE2A" w14:textId="77777777" w:rsidR="002827F9" w:rsidRPr="005B3558" w:rsidRDefault="002827F9" w:rsidP="00421BAF">
      <w:pPr>
        <w:spacing w:line="276" w:lineRule="auto"/>
        <w:jc w:val="both"/>
        <w:rPr>
          <w:rFonts w:ascii="Arial" w:hAnsi="Arial" w:cs="Arial"/>
          <w:b/>
          <w:w w:val="95"/>
          <w:sz w:val="22"/>
          <w:szCs w:val="22"/>
        </w:rPr>
      </w:pPr>
    </w:p>
    <w:p w14:paraId="14BE3AFC" w14:textId="77777777" w:rsidR="003646E7" w:rsidRPr="005B3558" w:rsidRDefault="003646E7" w:rsidP="00C90811">
      <w:pPr>
        <w:pStyle w:val="Sangradetextonormal"/>
        <w:spacing w:after="0" w:line="276" w:lineRule="auto"/>
        <w:ind w:left="0" w:firstLine="1701"/>
        <w:jc w:val="both"/>
        <w:rPr>
          <w:rFonts w:ascii="Arial" w:hAnsi="Arial" w:cs="Arial"/>
          <w:sz w:val="22"/>
          <w:szCs w:val="22"/>
          <w:lang w:val="es-CL"/>
        </w:rPr>
      </w:pPr>
      <w:r w:rsidRPr="005B3558">
        <w:rPr>
          <w:rFonts w:ascii="Arial" w:hAnsi="Arial" w:cs="Arial"/>
          <w:sz w:val="22"/>
          <w:szCs w:val="22"/>
        </w:rPr>
        <w:t>Establece</w:t>
      </w:r>
      <w:r w:rsidR="00AD4E30" w:rsidRPr="005B3558">
        <w:rPr>
          <w:rFonts w:ascii="Arial" w:hAnsi="Arial" w:cs="Arial"/>
          <w:sz w:val="22"/>
          <w:szCs w:val="22"/>
        </w:rPr>
        <w:t>r</w:t>
      </w:r>
      <w:r w:rsidRPr="005B3558">
        <w:rPr>
          <w:rFonts w:ascii="Arial" w:hAnsi="Arial" w:cs="Arial"/>
          <w:sz w:val="22"/>
          <w:szCs w:val="22"/>
        </w:rPr>
        <w:t xml:space="preserve"> las garantías</w:t>
      </w:r>
      <w:r w:rsidR="00085A80" w:rsidRPr="005B3558">
        <w:rPr>
          <w:rFonts w:ascii="Arial" w:hAnsi="Arial" w:cs="Arial"/>
          <w:sz w:val="22"/>
          <w:szCs w:val="22"/>
        </w:rPr>
        <w:t xml:space="preserve">, a través de un acuerdo jurídicamente vinculante entre el país anfitrión y la OIPC INTERPOL, </w:t>
      </w:r>
      <w:r w:rsidRPr="005B3558">
        <w:rPr>
          <w:rFonts w:ascii="Arial" w:hAnsi="Arial" w:cs="Arial"/>
          <w:sz w:val="22"/>
          <w:szCs w:val="22"/>
        </w:rPr>
        <w:t xml:space="preserve"> </w:t>
      </w:r>
      <w:r w:rsidR="00085A80" w:rsidRPr="005B3558">
        <w:rPr>
          <w:rFonts w:ascii="Arial" w:hAnsi="Arial" w:cs="Arial"/>
          <w:sz w:val="22"/>
          <w:szCs w:val="22"/>
        </w:rPr>
        <w:t xml:space="preserve">para </w:t>
      </w:r>
      <w:r w:rsidRPr="005B3558">
        <w:rPr>
          <w:rFonts w:ascii="Arial" w:hAnsi="Arial" w:cs="Arial"/>
          <w:sz w:val="22"/>
          <w:szCs w:val="22"/>
        </w:rPr>
        <w:t xml:space="preserve">asegurar el éxito de la 88ª reunión de su Asamblea General y las reuniones de su Comité Ejecutivo, otorgando al Secretario General, a los miembros del Comité Ejecutivo, entre los que se incluye al Presidente de la Organización, a los Jefes de delegación de los países miembros y a las personas acreditadas por la Organización para participar en las señaladas reuniones, </w:t>
      </w:r>
      <w:r w:rsidR="00295F32" w:rsidRPr="005B3558">
        <w:rPr>
          <w:rFonts w:ascii="Arial" w:hAnsi="Arial" w:cs="Arial"/>
          <w:sz w:val="22"/>
          <w:szCs w:val="22"/>
        </w:rPr>
        <w:t xml:space="preserve">-los cuales se estiman en 1400 directivos y expertos </w:t>
      </w:r>
      <w:r w:rsidR="00085A80" w:rsidRPr="005B3558">
        <w:rPr>
          <w:rFonts w:ascii="Arial" w:hAnsi="Arial" w:cs="Arial"/>
          <w:sz w:val="22"/>
          <w:szCs w:val="22"/>
        </w:rPr>
        <w:t>policiales</w:t>
      </w:r>
      <w:r w:rsidR="00295F32" w:rsidRPr="005B3558">
        <w:rPr>
          <w:rFonts w:ascii="Arial" w:hAnsi="Arial" w:cs="Arial"/>
          <w:sz w:val="22"/>
          <w:szCs w:val="22"/>
        </w:rPr>
        <w:t>-,</w:t>
      </w:r>
      <w:r w:rsidR="00C90811" w:rsidRPr="005B3558">
        <w:rPr>
          <w:rFonts w:ascii="Arial" w:hAnsi="Arial" w:cs="Arial"/>
          <w:sz w:val="22"/>
          <w:szCs w:val="22"/>
        </w:rPr>
        <w:t xml:space="preserve"> </w:t>
      </w:r>
      <w:r w:rsidRPr="005B3558">
        <w:rPr>
          <w:rFonts w:ascii="Arial" w:hAnsi="Arial" w:cs="Arial"/>
          <w:sz w:val="22"/>
          <w:szCs w:val="22"/>
        </w:rPr>
        <w:t>los privilegios e inmunidades que sean necesarios para ejercer con independencia sus funciones</w:t>
      </w:r>
      <w:r w:rsidR="00295F32" w:rsidRPr="005B3558">
        <w:rPr>
          <w:rFonts w:ascii="Arial" w:hAnsi="Arial" w:cs="Arial"/>
          <w:sz w:val="22"/>
          <w:szCs w:val="22"/>
        </w:rPr>
        <w:t>, en el modo que se indica:</w:t>
      </w:r>
    </w:p>
    <w:p w14:paraId="1CD26FFF" w14:textId="77777777" w:rsidR="00450ACF" w:rsidRDefault="00450ACF" w:rsidP="00421BAF">
      <w:pPr>
        <w:widowControl w:val="0"/>
        <w:autoSpaceDE w:val="0"/>
        <w:autoSpaceDN w:val="0"/>
        <w:adjustRightInd w:val="0"/>
        <w:spacing w:line="276" w:lineRule="auto"/>
        <w:ind w:firstLine="2268"/>
        <w:jc w:val="both"/>
        <w:rPr>
          <w:rFonts w:ascii="Arial" w:hAnsi="Arial" w:cs="Arial"/>
          <w:sz w:val="22"/>
          <w:szCs w:val="22"/>
          <w:lang w:val="x-none" w:eastAsia="x-none"/>
        </w:rPr>
      </w:pPr>
    </w:p>
    <w:p w14:paraId="7BEC8952" w14:textId="77777777" w:rsidR="00AD4E30" w:rsidRPr="005B3558" w:rsidRDefault="00AD4E30" w:rsidP="00421BAF">
      <w:pPr>
        <w:widowControl w:val="0"/>
        <w:autoSpaceDE w:val="0"/>
        <w:autoSpaceDN w:val="0"/>
        <w:adjustRightInd w:val="0"/>
        <w:spacing w:line="276" w:lineRule="auto"/>
        <w:ind w:firstLine="2268"/>
        <w:jc w:val="both"/>
        <w:rPr>
          <w:rFonts w:ascii="Arial" w:hAnsi="Arial" w:cs="Arial"/>
          <w:sz w:val="22"/>
          <w:szCs w:val="22"/>
          <w:lang w:val="x-none" w:eastAsia="x-none"/>
        </w:rPr>
      </w:pPr>
      <w:r w:rsidRPr="005B3558">
        <w:rPr>
          <w:rFonts w:ascii="Arial" w:hAnsi="Arial" w:cs="Arial"/>
          <w:sz w:val="22"/>
          <w:szCs w:val="22"/>
          <w:lang w:val="x-none" w:eastAsia="x-none"/>
        </w:rPr>
        <w:t>a.</w:t>
      </w:r>
      <w:r w:rsidRPr="005B3558">
        <w:rPr>
          <w:rFonts w:ascii="Arial" w:hAnsi="Arial" w:cs="Arial"/>
          <w:sz w:val="22"/>
          <w:szCs w:val="22"/>
          <w:lang w:val="x-none" w:eastAsia="x-none"/>
        </w:rPr>
        <w:tab/>
        <w:t>Inmunidad de arresto o detención y de confiscación de equipaje personal, salvo en caso de delito flagrante.</w:t>
      </w:r>
    </w:p>
    <w:p w14:paraId="77C7A95F" w14:textId="77777777" w:rsidR="00CF7FD2" w:rsidRDefault="00CF7FD2" w:rsidP="00421BAF">
      <w:pPr>
        <w:widowControl w:val="0"/>
        <w:autoSpaceDE w:val="0"/>
        <w:autoSpaceDN w:val="0"/>
        <w:adjustRightInd w:val="0"/>
        <w:spacing w:line="276" w:lineRule="auto"/>
        <w:ind w:firstLine="2268"/>
        <w:jc w:val="both"/>
        <w:rPr>
          <w:rFonts w:ascii="Arial" w:hAnsi="Arial" w:cs="Arial"/>
          <w:sz w:val="22"/>
          <w:szCs w:val="22"/>
          <w:lang w:val="x-none" w:eastAsia="x-none"/>
        </w:rPr>
      </w:pPr>
    </w:p>
    <w:p w14:paraId="57BEE755" w14:textId="77777777" w:rsidR="00AD4E30" w:rsidRPr="005B3558" w:rsidRDefault="00AD4E30" w:rsidP="00421BAF">
      <w:pPr>
        <w:widowControl w:val="0"/>
        <w:autoSpaceDE w:val="0"/>
        <w:autoSpaceDN w:val="0"/>
        <w:adjustRightInd w:val="0"/>
        <w:spacing w:line="276" w:lineRule="auto"/>
        <w:ind w:firstLine="2268"/>
        <w:jc w:val="both"/>
        <w:rPr>
          <w:rFonts w:ascii="Arial" w:hAnsi="Arial" w:cs="Arial"/>
          <w:sz w:val="22"/>
          <w:szCs w:val="22"/>
          <w:lang w:val="x-none" w:eastAsia="x-none"/>
        </w:rPr>
      </w:pPr>
      <w:r w:rsidRPr="005B3558">
        <w:rPr>
          <w:rFonts w:ascii="Arial" w:hAnsi="Arial" w:cs="Arial"/>
          <w:sz w:val="22"/>
          <w:szCs w:val="22"/>
          <w:lang w:val="x-none" w:eastAsia="x-none"/>
        </w:rPr>
        <w:t>b.</w:t>
      </w:r>
      <w:r w:rsidRPr="005B3558">
        <w:rPr>
          <w:rFonts w:ascii="Arial" w:hAnsi="Arial" w:cs="Arial"/>
          <w:sz w:val="22"/>
          <w:szCs w:val="22"/>
          <w:lang w:val="x-none" w:eastAsia="x-none"/>
        </w:rPr>
        <w:tab/>
        <w:t>Inmunidad de jurisdicción, incluso después de la 88ª reunión de la Asamblea General y las reuniones del Comité Ejecutivo, por cualquier proceso judicial incoado con respecto a todas las palabras, escritos u otros actos realizados en el desempeño de sus funciones oficiales.</w:t>
      </w:r>
    </w:p>
    <w:p w14:paraId="51BD9F50" w14:textId="77777777" w:rsidR="00AD4E30" w:rsidRPr="005B3558" w:rsidRDefault="00AD4E30" w:rsidP="00421BAF">
      <w:pPr>
        <w:widowControl w:val="0"/>
        <w:autoSpaceDE w:val="0"/>
        <w:autoSpaceDN w:val="0"/>
        <w:adjustRightInd w:val="0"/>
        <w:spacing w:line="276" w:lineRule="auto"/>
        <w:ind w:firstLine="2268"/>
        <w:jc w:val="both"/>
        <w:rPr>
          <w:rFonts w:ascii="Arial" w:hAnsi="Arial" w:cs="Arial"/>
          <w:sz w:val="22"/>
          <w:szCs w:val="22"/>
          <w:lang w:val="es-CL" w:eastAsia="x-none"/>
        </w:rPr>
      </w:pPr>
    </w:p>
    <w:p w14:paraId="7295AE6E" w14:textId="77777777" w:rsidR="00AD4E30" w:rsidRPr="005B3558" w:rsidRDefault="00AD4E30" w:rsidP="00421BAF">
      <w:pPr>
        <w:widowControl w:val="0"/>
        <w:autoSpaceDE w:val="0"/>
        <w:autoSpaceDN w:val="0"/>
        <w:adjustRightInd w:val="0"/>
        <w:spacing w:line="276" w:lineRule="auto"/>
        <w:ind w:firstLine="2268"/>
        <w:jc w:val="both"/>
        <w:rPr>
          <w:rFonts w:ascii="Arial" w:hAnsi="Arial" w:cs="Arial"/>
          <w:sz w:val="22"/>
          <w:szCs w:val="22"/>
          <w:lang w:val="x-none" w:eastAsia="x-none"/>
        </w:rPr>
      </w:pPr>
      <w:r w:rsidRPr="005B3558">
        <w:rPr>
          <w:rFonts w:ascii="Arial" w:hAnsi="Arial" w:cs="Arial"/>
          <w:sz w:val="22"/>
          <w:szCs w:val="22"/>
          <w:lang w:val="x-none" w:eastAsia="x-none"/>
        </w:rPr>
        <w:t>c.</w:t>
      </w:r>
      <w:r w:rsidRPr="005B3558">
        <w:rPr>
          <w:rFonts w:ascii="Arial" w:hAnsi="Arial" w:cs="Arial"/>
          <w:sz w:val="22"/>
          <w:szCs w:val="22"/>
          <w:lang w:val="x-none" w:eastAsia="x-none"/>
        </w:rPr>
        <w:tab/>
        <w:t>Inviolabilidad de papeles y documentos oficiales.</w:t>
      </w:r>
    </w:p>
    <w:p w14:paraId="7351A127" w14:textId="77777777" w:rsidR="00AD4E30" w:rsidRPr="005B3558" w:rsidRDefault="00AD4E30" w:rsidP="00421BAF">
      <w:pPr>
        <w:widowControl w:val="0"/>
        <w:autoSpaceDE w:val="0"/>
        <w:autoSpaceDN w:val="0"/>
        <w:adjustRightInd w:val="0"/>
        <w:spacing w:line="276" w:lineRule="auto"/>
        <w:ind w:firstLine="2268"/>
        <w:jc w:val="both"/>
        <w:rPr>
          <w:rFonts w:ascii="Arial" w:hAnsi="Arial" w:cs="Arial"/>
          <w:sz w:val="22"/>
          <w:szCs w:val="22"/>
          <w:lang w:val="es-CL" w:eastAsia="x-none"/>
        </w:rPr>
      </w:pPr>
    </w:p>
    <w:p w14:paraId="1DA0444A" w14:textId="77777777" w:rsidR="00AD4E30" w:rsidRPr="005B3558" w:rsidRDefault="00AD4E30" w:rsidP="00421BAF">
      <w:pPr>
        <w:widowControl w:val="0"/>
        <w:autoSpaceDE w:val="0"/>
        <w:autoSpaceDN w:val="0"/>
        <w:adjustRightInd w:val="0"/>
        <w:spacing w:line="276" w:lineRule="auto"/>
        <w:ind w:firstLine="2268"/>
        <w:jc w:val="both"/>
        <w:rPr>
          <w:rFonts w:ascii="Arial" w:hAnsi="Arial" w:cs="Arial"/>
          <w:sz w:val="22"/>
          <w:szCs w:val="22"/>
          <w:lang w:val="es-ES" w:eastAsia="x-none"/>
        </w:rPr>
      </w:pPr>
      <w:r w:rsidRPr="005B3558">
        <w:rPr>
          <w:rFonts w:ascii="Arial" w:hAnsi="Arial" w:cs="Arial"/>
          <w:sz w:val="22"/>
          <w:szCs w:val="22"/>
          <w:lang w:val="x-none" w:eastAsia="x-none"/>
        </w:rPr>
        <w:t>d.</w:t>
      </w:r>
      <w:r w:rsidRPr="005B3558">
        <w:rPr>
          <w:rFonts w:ascii="Arial" w:hAnsi="Arial" w:cs="Arial"/>
          <w:sz w:val="22"/>
          <w:szCs w:val="22"/>
          <w:lang w:val="x-none" w:eastAsia="x-none"/>
        </w:rPr>
        <w:tab/>
        <w:t>Idénticas facilidades en cuanto a reglamentación de cambios que las concedidas a los agentes diplomáticos</w:t>
      </w:r>
      <w:r w:rsidR="00295F32" w:rsidRPr="005B3558">
        <w:rPr>
          <w:rFonts w:ascii="Arial" w:hAnsi="Arial" w:cs="Arial"/>
          <w:sz w:val="22"/>
          <w:szCs w:val="22"/>
          <w:lang w:val="es-ES" w:eastAsia="x-none"/>
        </w:rPr>
        <w:t>.</w:t>
      </w:r>
    </w:p>
    <w:p w14:paraId="6DDFCEAE" w14:textId="77777777" w:rsidR="00450ACF" w:rsidRDefault="00450ACF" w:rsidP="00CF67AE">
      <w:pPr>
        <w:pStyle w:val="Estilo"/>
        <w:numPr>
          <w:ilvl w:val="0"/>
          <w:numId w:val="0"/>
        </w:numPr>
        <w:tabs>
          <w:tab w:val="left" w:pos="-284"/>
          <w:tab w:val="left" w:pos="0"/>
        </w:tabs>
        <w:spacing w:line="276" w:lineRule="auto"/>
        <w:ind w:firstLine="1701"/>
        <w:rPr>
          <w:rFonts w:ascii="Arial" w:hAnsi="Arial" w:cs="Arial"/>
          <w:sz w:val="22"/>
          <w:szCs w:val="22"/>
        </w:rPr>
      </w:pPr>
    </w:p>
    <w:p w14:paraId="28688CBF" w14:textId="77777777" w:rsidR="00CF67AE" w:rsidRPr="005B3558" w:rsidRDefault="00CF67AE" w:rsidP="00CF67AE">
      <w:pPr>
        <w:pStyle w:val="Estilo"/>
        <w:numPr>
          <w:ilvl w:val="0"/>
          <w:numId w:val="0"/>
        </w:numPr>
        <w:tabs>
          <w:tab w:val="left" w:pos="-284"/>
          <w:tab w:val="left" w:pos="0"/>
        </w:tabs>
        <w:spacing w:line="276" w:lineRule="auto"/>
        <w:ind w:firstLine="1701"/>
        <w:rPr>
          <w:rFonts w:ascii="Arial" w:hAnsi="Arial" w:cs="Arial"/>
          <w:sz w:val="22"/>
          <w:szCs w:val="22"/>
        </w:rPr>
      </w:pPr>
      <w:r w:rsidRPr="005B3558">
        <w:rPr>
          <w:rFonts w:ascii="Arial" w:hAnsi="Arial" w:cs="Arial"/>
          <w:sz w:val="22"/>
          <w:szCs w:val="22"/>
        </w:rPr>
        <w:t>2.-</w:t>
      </w:r>
      <w:r w:rsidRPr="005B3558">
        <w:rPr>
          <w:rFonts w:ascii="Arial" w:hAnsi="Arial" w:cs="Arial"/>
          <w:sz w:val="22"/>
          <w:szCs w:val="22"/>
          <w:u w:val="single"/>
        </w:rPr>
        <w:t>Comisión técnica</w:t>
      </w:r>
      <w:r w:rsidRPr="005B3558">
        <w:rPr>
          <w:rFonts w:ascii="Arial" w:hAnsi="Arial" w:cs="Arial"/>
          <w:sz w:val="22"/>
          <w:szCs w:val="22"/>
        </w:rPr>
        <w:t>:</w:t>
      </w:r>
    </w:p>
    <w:p w14:paraId="4DEC4843" w14:textId="77777777" w:rsidR="00CF67AE" w:rsidRPr="005B3558" w:rsidRDefault="00CF67AE" w:rsidP="00CF67AE">
      <w:pPr>
        <w:tabs>
          <w:tab w:val="left" w:pos="-284"/>
          <w:tab w:val="left" w:pos="0"/>
          <w:tab w:val="left" w:pos="1701"/>
        </w:tabs>
        <w:spacing w:line="276" w:lineRule="auto"/>
        <w:ind w:firstLine="1701"/>
        <w:jc w:val="both"/>
        <w:rPr>
          <w:rFonts w:ascii="Arial" w:hAnsi="Arial" w:cs="Arial"/>
          <w:sz w:val="22"/>
          <w:szCs w:val="22"/>
        </w:rPr>
      </w:pPr>
      <w:r w:rsidRPr="005B3558">
        <w:rPr>
          <w:rFonts w:ascii="Arial" w:hAnsi="Arial" w:cs="Arial"/>
          <w:sz w:val="22"/>
          <w:szCs w:val="22"/>
        </w:rPr>
        <w:t xml:space="preserve">Comisión de Relaciones Exteriores, Asuntos Interparlamentarios e Integración Latinoamericana. </w:t>
      </w:r>
    </w:p>
    <w:p w14:paraId="7C9D1A1D" w14:textId="77777777" w:rsidR="00CF67AE" w:rsidRPr="005B3558" w:rsidRDefault="00CF67AE" w:rsidP="00CF67AE">
      <w:pPr>
        <w:tabs>
          <w:tab w:val="left" w:pos="-284"/>
          <w:tab w:val="left" w:pos="0"/>
          <w:tab w:val="left" w:pos="3402"/>
          <w:tab w:val="left" w:pos="4751"/>
        </w:tabs>
        <w:spacing w:line="276" w:lineRule="auto"/>
        <w:ind w:right="51" w:firstLine="1701"/>
        <w:jc w:val="both"/>
        <w:rPr>
          <w:rFonts w:ascii="Arial" w:hAnsi="Arial" w:cs="Arial"/>
          <w:sz w:val="22"/>
          <w:szCs w:val="22"/>
        </w:rPr>
      </w:pPr>
    </w:p>
    <w:p w14:paraId="31FFBA54" w14:textId="77777777" w:rsidR="00CF67AE" w:rsidRPr="005B3558" w:rsidRDefault="00CF67AE" w:rsidP="00CF67AE">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5B3558">
        <w:rPr>
          <w:rFonts w:ascii="Arial" w:hAnsi="Arial" w:cs="Arial"/>
          <w:sz w:val="22"/>
          <w:szCs w:val="22"/>
        </w:rPr>
        <w:t>3.-</w:t>
      </w:r>
      <w:r w:rsidRPr="005B3558">
        <w:rPr>
          <w:rFonts w:ascii="Arial" w:hAnsi="Arial" w:cs="Arial"/>
          <w:sz w:val="22"/>
          <w:szCs w:val="22"/>
          <w:u w:val="single"/>
        </w:rPr>
        <w:t xml:space="preserve">Artículos que la Comisión técnica dispuso que fueran conocidas por </w:t>
      </w:r>
      <w:proofErr w:type="gramStart"/>
      <w:r w:rsidRPr="005B3558">
        <w:rPr>
          <w:rFonts w:ascii="Arial" w:hAnsi="Arial" w:cs="Arial"/>
          <w:sz w:val="22"/>
          <w:szCs w:val="22"/>
          <w:u w:val="single"/>
        </w:rPr>
        <w:t>esta</w:t>
      </w:r>
      <w:proofErr w:type="gramEnd"/>
      <w:r w:rsidRPr="005B3558">
        <w:rPr>
          <w:rFonts w:ascii="Arial" w:hAnsi="Arial" w:cs="Arial"/>
          <w:sz w:val="22"/>
          <w:szCs w:val="22"/>
          <w:u w:val="single"/>
        </w:rPr>
        <w:t xml:space="preserve"> Comisión de Hacienda.</w:t>
      </w:r>
    </w:p>
    <w:p w14:paraId="3A9C02A8" w14:textId="77777777" w:rsidR="00CF67AE" w:rsidRPr="005B3558" w:rsidRDefault="00CF67AE" w:rsidP="00CF67AE">
      <w:pPr>
        <w:tabs>
          <w:tab w:val="left" w:pos="-284"/>
          <w:tab w:val="left" w:pos="0"/>
          <w:tab w:val="left" w:pos="851"/>
          <w:tab w:val="left" w:pos="4751"/>
        </w:tabs>
        <w:spacing w:line="276" w:lineRule="auto"/>
        <w:ind w:right="51" w:firstLine="1701"/>
        <w:jc w:val="both"/>
        <w:rPr>
          <w:rFonts w:ascii="Arial" w:hAnsi="Arial" w:cs="Arial"/>
          <w:sz w:val="22"/>
          <w:szCs w:val="22"/>
        </w:rPr>
      </w:pPr>
    </w:p>
    <w:p w14:paraId="0E1EAE37" w14:textId="77777777" w:rsidR="00CF67AE" w:rsidRPr="005B3558" w:rsidRDefault="00CF67AE" w:rsidP="00B1035C">
      <w:pPr>
        <w:tabs>
          <w:tab w:val="left" w:pos="-284"/>
          <w:tab w:val="left" w:pos="0"/>
          <w:tab w:val="left" w:pos="851"/>
          <w:tab w:val="left" w:pos="4751"/>
        </w:tabs>
        <w:spacing w:line="276" w:lineRule="auto"/>
        <w:ind w:right="51" w:firstLine="1701"/>
        <w:jc w:val="both"/>
        <w:rPr>
          <w:rFonts w:ascii="Arial" w:hAnsi="Arial" w:cs="Arial"/>
          <w:sz w:val="22"/>
          <w:szCs w:val="22"/>
        </w:rPr>
      </w:pPr>
      <w:r w:rsidRPr="005B3558">
        <w:rPr>
          <w:rFonts w:ascii="Arial" w:hAnsi="Arial" w:cs="Arial"/>
          <w:sz w:val="22"/>
          <w:szCs w:val="22"/>
        </w:rPr>
        <w:t>La Comisión de Relaciones Exteriores, Asuntos Interparlamentarios e Integración Latinoamericana, determinó que “los preceptos del Proyecto de Acuerdo deben ser conocidos por la Comisión de Hacienda por tener incidencia en materia presupuestaria o financiera del Estado”.</w:t>
      </w:r>
    </w:p>
    <w:p w14:paraId="4A0E3CE3" w14:textId="77777777" w:rsidR="00CF67AE" w:rsidRPr="005B3558" w:rsidRDefault="00CF67AE" w:rsidP="00B1035C">
      <w:pPr>
        <w:tabs>
          <w:tab w:val="left" w:pos="-284"/>
          <w:tab w:val="left" w:pos="0"/>
          <w:tab w:val="left" w:pos="851"/>
          <w:tab w:val="left" w:pos="4751"/>
        </w:tabs>
        <w:spacing w:line="276" w:lineRule="auto"/>
        <w:ind w:right="51" w:firstLine="1701"/>
        <w:jc w:val="both"/>
        <w:rPr>
          <w:rFonts w:ascii="Arial" w:hAnsi="Arial" w:cs="Arial"/>
          <w:sz w:val="22"/>
          <w:szCs w:val="22"/>
        </w:rPr>
      </w:pPr>
    </w:p>
    <w:p w14:paraId="1F42A031" w14:textId="77777777" w:rsidR="00CF67AE" w:rsidRPr="005B3558" w:rsidRDefault="00CF67AE" w:rsidP="00B1035C">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5B3558">
        <w:rPr>
          <w:rFonts w:ascii="Arial" w:hAnsi="Arial" w:cs="Arial"/>
          <w:sz w:val="22"/>
          <w:szCs w:val="22"/>
        </w:rPr>
        <w:t>4.-</w:t>
      </w:r>
      <w:r w:rsidRPr="005B3558">
        <w:rPr>
          <w:rFonts w:ascii="Arial" w:hAnsi="Arial" w:cs="Arial"/>
          <w:sz w:val="22"/>
          <w:szCs w:val="22"/>
          <w:u w:val="single"/>
        </w:rPr>
        <w:t>Reservas y declaraciones interpretativas</w:t>
      </w:r>
    </w:p>
    <w:p w14:paraId="5A083577" w14:textId="77777777" w:rsidR="00CF67AE" w:rsidRPr="005B3558" w:rsidRDefault="00CF67AE" w:rsidP="00B1035C">
      <w:pPr>
        <w:tabs>
          <w:tab w:val="left" w:pos="-284"/>
          <w:tab w:val="left" w:pos="0"/>
          <w:tab w:val="left" w:pos="851"/>
          <w:tab w:val="left" w:pos="4751"/>
        </w:tabs>
        <w:spacing w:line="276" w:lineRule="auto"/>
        <w:ind w:right="51" w:firstLine="1701"/>
        <w:jc w:val="both"/>
        <w:rPr>
          <w:rFonts w:ascii="Arial" w:hAnsi="Arial" w:cs="Arial"/>
          <w:sz w:val="22"/>
          <w:szCs w:val="22"/>
        </w:rPr>
      </w:pPr>
      <w:r w:rsidRPr="005B3558">
        <w:rPr>
          <w:rFonts w:ascii="Arial" w:hAnsi="Arial" w:cs="Arial"/>
          <w:sz w:val="22"/>
          <w:szCs w:val="22"/>
        </w:rPr>
        <w:t xml:space="preserve">Esta Comisión no sugirió, en el marco de sus competencias, la formulación de reservas ni declaraciones interpretativas, conforme lo autoriza el inciso tercero N°1, del artículo 54 de la Constitución Política de la República. </w:t>
      </w:r>
    </w:p>
    <w:p w14:paraId="07F802E1" w14:textId="77777777" w:rsidR="00CF67AE" w:rsidRPr="005B3558" w:rsidRDefault="00CF67AE" w:rsidP="00CF67AE">
      <w:pPr>
        <w:tabs>
          <w:tab w:val="left" w:pos="-284"/>
          <w:tab w:val="left" w:pos="0"/>
          <w:tab w:val="left" w:pos="851"/>
          <w:tab w:val="left" w:pos="4751"/>
        </w:tabs>
        <w:ind w:right="51" w:firstLine="1701"/>
        <w:jc w:val="both"/>
        <w:rPr>
          <w:rFonts w:ascii="Arial" w:hAnsi="Arial" w:cs="Arial"/>
          <w:sz w:val="22"/>
          <w:szCs w:val="22"/>
        </w:rPr>
      </w:pPr>
    </w:p>
    <w:p w14:paraId="509333C0" w14:textId="77777777" w:rsidR="00CF67AE" w:rsidRPr="005B3558" w:rsidRDefault="00CF67AE" w:rsidP="00CF67AE">
      <w:pPr>
        <w:tabs>
          <w:tab w:val="left" w:pos="-284"/>
          <w:tab w:val="left" w:pos="0"/>
          <w:tab w:val="left" w:pos="851"/>
          <w:tab w:val="left" w:pos="4751"/>
        </w:tabs>
        <w:ind w:right="51" w:firstLine="1701"/>
        <w:jc w:val="both"/>
        <w:rPr>
          <w:rFonts w:ascii="Arial" w:hAnsi="Arial" w:cs="Arial"/>
          <w:sz w:val="22"/>
          <w:szCs w:val="22"/>
          <w:u w:val="single"/>
        </w:rPr>
      </w:pPr>
      <w:r w:rsidRPr="005B3558">
        <w:rPr>
          <w:rFonts w:ascii="Arial" w:hAnsi="Arial" w:cs="Arial"/>
          <w:sz w:val="22"/>
          <w:szCs w:val="22"/>
        </w:rPr>
        <w:t xml:space="preserve">5- </w:t>
      </w:r>
      <w:r w:rsidRPr="005B3558">
        <w:rPr>
          <w:rFonts w:ascii="Arial" w:hAnsi="Arial" w:cs="Arial"/>
          <w:sz w:val="22"/>
          <w:szCs w:val="22"/>
          <w:u w:val="single"/>
        </w:rPr>
        <w:t xml:space="preserve">Modificaciones introducidas al texto aprobado por la Comisión técnica </w:t>
      </w:r>
    </w:p>
    <w:p w14:paraId="3A352790" w14:textId="77777777" w:rsidR="00CF67AE" w:rsidRPr="005B3558" w:rsidRDefault="00CF67AE" w:rsidP="00CF67AE">
      <w:pPr>
        <w:tabs>
          <w:tab w:val="left" w:pos="-284"/>
          <w:tab w:val="left" w:pos="0"/>
          <w:tab w:val="left" w:pos="851"/>
          <w:tab w:val="left" w:pos="4751"/>
        </w:tabs>
        <w:ind w:right="51" w:firstLine="1701"/>
        <w:jc w:val="both"/>
        <w:rPr>
          <w:rFonts w:ascii="Arial" w:hAnsi="Arial" w:cs="Arial"/>
          <w:sz w:val="22"/>
          <w:szCs w:val="22"/>
        </w:rPr>
      </w:pPr>
    </w:p>
    <w:p w14:paraId="243B9ED9" w14:textId="77777777" w:rsidR="00CF67AE" w:rsidRPr="005B3558" w:rsidRDefault="00CF67AE" w:rsidP="00CF67AE">
      <w:pPr>
        <w:tabs>
          <w:tab w:val="left" w:pos="-284"/>
          <w:tab w:val="left" w:pos="0"/>
          <w:tab w:val="left" w:pos="851"/>
          <w:tab w:val="left" w:pos="4751"/>
        </w:tabs>
        <w:ind w:right="51" w:firstLine="1701"/>
        <w:jc w:val="both"/>
        <w:rPr>
          <w:rFonts w:ascii="Arial" w:hAnsi="Arial" w:cs="Arial"/>
          <w:sz w:val="22"/>
          <w:szCs w:val="22"/>
        </w:rPr>
      </w:pPr>
      <w:r w:rsidRPr="005B3558">
        <w:rPr>
          <w:rFonts w:ascii="Arial" w:hAnsi="Arial" w:cs="Arial"/>
          <w:sz w:val="22"/>
          <w:szCs w:val="22"/>
        </w:rPr>
        <w:t>No corresponden, en virtud del inciso primero N°1, del artículo 54 de la Constitución Política de la República.</w:t>
      </w:r>
    </w:p>
    <w:p w14:paraId="1E49B503" w14:textId="77777777" w:rsidR="00CF67AE" w:rsidRPr="000C1B11" w:rsidRDefault="00CF67AE" w:rsidP="00CF67AE">
      <w:pPr>
        <w:tabs>
          <w:tab w:val="left" w:pos="-284"/>
          <w:tab w:val="left" w:pos="0"/>
          <w:tab w:val="left" w:pos="851"/>
          <w:tab w:val="left" w:pos="4751"/>
        </w:tabs>
        <w:ind w:right="51" w:firstLine="1701"/>
        <w:jc w:val="both"/>
        <w:rPr>
          <w:rFonts w:ascii="Arial" w:hAnsi="Arial" w:cs="Arial"/>
          <w:sz w:val="22"/>
          <w:szCs w:val="22"/>
        </w:rPr>
      </w:pPr>
    </w:p>
    <w:p w14:paraId="0CB20730" w14:textId="77777777" w:rsidR="00CF67AE" w:rsidRPr="005B3558" w:rsidRDefault="00CF67AE" w:rsidP="00CF67AE">
      <w:pPr>
        <w:tabs>
          <w:tab w:val="left" w:pos="-284"/>
          <w:tab w:val="left" w:pos="0"/>
          <w:tab w:val="left" w:pos="851"/>
          <w:tab w:val="left" w:pos="4751"/>
        </w:tabs>
        <w:ind w:right="51" w:firstLine="1701"/>
        <w:jc w:val="both"/>
        <w:rPr>
          <w:rFonts w:ascii="Arial" w:hAnsi="Arial" w:cs="Arial"/>
          <w:sz w:val="22"/>
          <w:szCs w:val="22"/>
        </w:rPr>
      </w:pPr>
      <w:r w:rsidRPr="005B3558">
        <w:rPr>
          <w:rFonts w:ascii="Arial" w:hAnsi="Arial" w:cs="Arial"/>
          <w:sz w:val="22"/>
          <w:szCs w:val="22"/>
        </w:rPr>
        <w:t>6.-</w:t>
      </w:r>
      <w:r w:rsidRPr="005B3558">
        <w:rPr>
          <w:rFonts w:ascii="Arial" w:hAnsi="Arial" w:cs="Arial"/>
          <w:sz w:val="22"/>
          <w:szCs w:val="22"/>
          <w:u w:val="single"/>
        </w:rPr>
        <w:t>Normas de quórum especial</w:t>
      </w:r>
    </w:p>
    <w:p w14:paraId="24CA80C6" w14:textId="77777777" w:rsidR="00CF67AE" w:rsidRPr="005B3558" w:rsidRDefault="00CF67AE" w:rsidP="00CF67AE">
      <w:pPr>
        <w:tabs>
          <w:tab w:val="left" w:pos="-284"/>
          <w:tab w:val="left" w:pos="0"/>
          <w:tab w:val="left" w:pos="851"/>
          <w:tab w:val="left" w:pos="4751"/>
        </w:tabs>
        <w:ind w:right="51" w:firstLine="1701"/>
        <w:jc w:val="both"/>
        <w:rPr>
          <w:rFonts w:ascii="Arial" w:hAnsi="Arial" w:cs="Arial"/>
          <w:sz w:val="22"/>
          <w:szCs w:val="22"/>
        </w:rPr>
      </w:pPr>
    </w:p>
    <w:p w14:paraId="07BAF896" w14:textId="77777777" w:rsidR="00CF67AE" w:rsidRPr="005B3558" w:rsidRDefault="00CF67AE" w:rsidP="00CF67AE">
      <w:pPr>
        <w:tabs>
          <w:tab w:val="left" w:pos="-284"/>
          <w:tab w:val="left" w:pos="0"/>
          <w:tab w:val="left" w:pos="851"/>
          <w:tab w:val="left" w:pos="4751"/>
        </w:tabs>
        <w:ind w:right="51" w:firstLine="1701"/>
        <w:jc w:val="both"/>
        <w:rPr>
          <w:rFonts w:ascii="Arial" w:hAnsi="Arial" w:cs="Arial"/>
          <w:sz w:val="22"/>
          <w:szCs w:val="22"/>
        </w:rPr>
      </w:pPr>
      <w:r w:rsidRPr="005B3558">
        <w:rPr>
          <w:rFonts w:ascii="Arial" w:hAnsi="Arial" w:cs="Arial"/>
          <w:sz w:val="22"/>
          <w:szCs w:val="22"/>
        </w:rPr>
        <w:t>El artículo único no contiene normas que deban aprobarse con quórum especial.</w:t>
      </w:r>
    </w:p>
    <w:p w14:paraId="174F963A" w14:textId="77777777" w:rsidR="000C1B11" w:rsidRDefault="000C1B11" w:rsidP="00CF67AE">
      <w:pPr>
        <w:tabs>
          <w:tab w:val="left" w:pos="-284"/>
          <w:tab w:val="left" w:pos="0"/>
          <w:tab w:val="left" w:pos="851"/>
          <w:tab w:val="left" w:pos="4751"/>
        </w:tabs>
        <w:ind w:right="51" w:firstLine="1701"/>
        <w:jc w:val="both"/>
        <w:rPr>
          <w:rFonts w:ascii="Arial" w:hAnsi="Arial" w:cs="Arial"/>
          <w:sz w:val="22"/>
          <w:szCs w:val="22"/>
        </w:rPr>
      </w:pPr>
    </w:p>
    <w:p w14:paraId="46294B01" w14:textId="77777777" w:rsidR="00CF7FD2" w:rsidRPr="005B3558" w:rsidRDefault="00CF7FD2" w:rsidP="00CF67AE">
      <w:pPr>
        <w:tabs>
          <w:tab w:val="left" w:pos="-284"/>
          <w:tab w:val="left" w:pos="0"/>
          <w:tab w:val="left" w:pos="851"/>
          <w:tab w:val="left" w:pos="4751"/>
        </w:tabs>
        <w:ind w:right="51" w:firstLine="1701"/>
        <w:jc w:val="both"/>
        <w:rPr>
          <w:rFonts w:ascii="Arial" w:hAnsi="Arial" w:cs="Arial"/>
          <w:sz w:val="22"/>
          <w:szCs w:val="22"/>
        </w:rPr>
      </w:pPr>
    </w:p>
    <w:p w14:paraId="5180B8CB" w14:textId="77777777" w:rsidR="00CF67AE" w:rsidRPr="005B3558" w:rsidRDefault="00CF67AE" w:rsidP="00CF67AE">
      <w:pPr>
        <w:tabs>
          <w:tab w:val="left" w:pos="-284"/>
          <w:tab w:val="left" w:pos="0"/>
          <w:tab w:val="left" w:pos="851"/>
          <w:tab w:val="left" w:pos="4751"/>
        </w:tabs>
        <w:ind w:right="51" w:firstLine="1701"/>
        <w:jc w:val="both"/>
        <w:rPr>
          <w:rFonts w:ascii="Arial" w:hAnsi="Arial" w:cs="Arial"/>
          <w:sz w:val="22"/>
          <w:szCs w:val="22"/>
          <w:u w:val="single"/>
        </w:rPr>
      </w:pPr>
      <w:r w:rsidRPr="005B3558">
        <w:rPr>
          <w:rFonts w:ascii="Arial" w:hAnsi="Arial" w:cs="Arial"/>
          <w:sz w:val="22"/>
          <w:szCs w:val="22"/>
        </w:rPr>
        <w:t xml:space="preserve">7.- </w:t>
      </w:r>
      <w:r w:rsidRPr="005B3558">
        <w:rPr>
          <w:rFonts w:ascii="Arial" w:hAnsi="Arial" w:cs="Arial"/>
          <w:sz w:val="22"/>
          <w:szCs w:val="22"/>
          <w:u w:val="single"/>
        </w:rPr>
        <w:t>Votación</w:t>
      </w:r>
    </w:p>
    <w:p w14:paraId="523E1CC3" w14:textId="77777777" w:rsidR="00CF67AE" w:rsidRPr="005B3558" w:rsidRDefault="00CF67AE" w:rsidP="00CF67AE">
      <w:pPr>
        <w:tabs>
          <w:tab w:val="left" w:pos="-284"/>
          <w:tab w:val="left" w:pos="0"/>
          <w:tab w:val="left" w:pos="851"/>
          <w:tab w:val="left" w:pos="4751"/>
        </w:tabs>
        <w:ind w:right="51" w:firstLine="1701"/>
        <w:jc w:val="both"/>
        <w:rPr>
          <w:rFonts w:ascii="Arial" w:hAnsi="Arial" w:cs="Arial"/>
          <w:sz w:val="22"/>
          <w:szCs w:val="22"/>
        </w:rPr>
      </w:pPr>
    </w:p>
    <w:p w14:paraId="33E23696" w14:textId="77777777" w:rsidR="00CF67AE" w:rsidRPr="005B3558" w:rsidRDefault="00CF67AE" w:rsidP="00CF67AE">
      <w:pPr>
        <w:tabs>
          <w:tab w:val="left" w:pos="-284"/>
          <w:tab w:val="left" w:pos="0"/>
          <w:tab w:val="left" w:pos="851"/>
          <w:tab w:val="left" w:pos="4751"/>
        </w:tabs>
        <w:ind w:right="51" w:firstLine="1701"/>
        <w:jc w:val="both"/>
        <w:rPr>
          <w:rFonts w:ascii="Arial" w:hAnsi="Arial" w:cs="Arial"/>
          <w:sz w:val="22"/>
          <w:szCs w:val="22"/>
        </w:rPr>
      </w:pPr>
      <w:r w:rsidRPr="005B3558">
        <w:rPr>
          <w:rFonts w:ascii="Arial" w:hAnsi="Arial" w:cs="Arial"/>
          <w:sz w:val="22"/>
          <w:szCs w:val="22"/>
        </w:rPr>
        <w:t>El artículo único fue aprobado, en los mismos términos</w:t>
      </w:r>
      <w:r w:rsidR="00C90811" w:rsidRPr="005B3558">
        <w:rPr>
          <w:rFonts w:ascii="Arial" w:hAnsi="Arial" w:cs="Arial"/>
          <w:sz w:val="22"/>
          <w:szCs w:val="22"/>
        </w:rPr>
        <w:t xml:space="preserve"> propuestos</w:t>
      </w:r>
      <w:r w:rsidRPr="005B3558">
        <w:rPr>
          <w:rFonts w:ascii="Arial" w:hAnsi="Arial" w:cs="Arial"/>
          <w:sz w:val="22"/>
          <w:szCs w:val="22"/>
        </w:rPr>
        <w:t xml:space="preserve">, por la mayoría de </w:t>
      </w:r>
      <w:r w:rsidR="00C90811" w:rsidRPr="005B3558">
        <w:rPr>
          <w:rFonts w:ascii="Arial" w:hAnsi="Arial" w:cs="Arial"/>
          <w:sz w:val="22"/>
          <w:szCs w:val="22"/>
        </w:rPr>
        <w:t>los once integrantes presentes.</w:t>
      </w:r>
    </w:p>
    <w:p w14:paraId="0854F8DB" w14:textId="77777777" w:rsidR="00CF67AE" w:rsidRPr="005B3558" w:rsidRDefault="00CF67AE" w:rsidP="00CF67AE">
      <w:pPr>
        <w:tabs>
          <w:tab w:val="left" w:pos="-284"/>
          <w:tab w:val="left" w:pos="0"/>
          <w:tab w:val="left" w:pos="851"/>
          <w:tab w:val="left" w:pos="4751"/>
        </w:tabs>
        <w:ind w:right="51" w:firstLine="1701"/>
        <w:jc w:val="both"/>
        <w:rPr>
          <w:rFonts w:ascii="Arial" w:hAnsi="Arial" w:cs="Arial"/>
          <w:sz w:val="22"/>
          <w:szCs w:val="22"/>
        </w:rPr>
      </w:pPr>
    </w:p>
    <w:p w14:paraId="3EDB8D4D" w14:textId="77777777" w:rsidR="00CF67AE" w:rsidRPr="005B3558" w:rsidRDefault="00CF67AE" w:rsidP="00CF67AE">
      <w:pPr>
        <w:tabs>
          <w:tab w:val="left" w:pos="-284"/>
          <w:tab w:val="left" w:pos="0"/>
          <w:tab w:val="left" w:pos="851"/>
          <w:tab w:val="left" w:pos="4751"/>
        </w:tabs>
        <w:ind w:right="51" w:firstLine="1701"/>
        <w:jc w:val="both"/>
        <w:rPr>
          <w:rFonts w:ascii="Arial" w:hAnsi="Arial" w:cs="Arial"/>
          <w:b/>
          <w:sz w:val="22"/>
          <w:szCs w:val="22"/>
        </w:rPr>
      </w:pPr>
      <w:r w:rsidRPr="005B3558">
        <w:rPr>
          <w:rFonts w:ascii="Arial" w:hAnsi="Arial" w:cs="Arial"/>
          <w:sz w:val="22"/>
          <w:szCs w:val="22"/>
        </w:rPr>
        <w:t xml:space="preserve">8- </w:t>
      </w:r>
      <w:r w:rsidRPr="005B3558">
        <w:rPr>
          <w:rFonts w:ascii="Arial" w:hAnsi="Arial" w:cs="Arial"/>
          <w:sz w:val="22"/>
          <w:szCs w:val="22"/>
          <w:u w:val="single"/>
        </w:rPr>
        <w:t>Diputado Informante</w:t>
      </w:r>
      <w:r w:rsidRPr="005B3558">
        <w:rPr>
          <w:rFonts w:ascii="Arial" w:hAnsi="Arial" w:cs="Arial"/>
          <w:sz w:val="22"/>
          <w:szCs w:val="22"/>
        </w:rPr>
        <w:t>: Se designó a l</w:t>
      </w:r>
      <w:r w:rsidR="00871FF6" w:rsidRPr="005B3558">
        <w:rPr>
          <w:rFonts w:ascii="Arial" w:hAnsi="Arial" w:cs="Arial"/>
          <w:sz w:val="22"/>
          <w:szCs w:val="22"/>
        </w:rPr>
        <w:t>a</w:t>
      </w:r>
      <w:r w:rsidRPr="005B3558">
        <w:rPr>
          <w:rFonts w:ascii="Arial" w:hAnsi="Arial" w:cs="Arial"/>
          <w:sz w:val="22"/>
          <w:szCs w:val="22"/>
        </w:rPr>
        <w:t xml:space="preserve"> </w:t>
      </w:r>
      <w:r w:rsidR="00871FF6" w:rsidRPr="005B3558">
        <w:rPr>
          <w:rFonts w:ascii="Arial" w:hAnsi="Arial" w:cs="Arial"/>
          <w:sz w:val="22"/>
          <w:szCs w:val="22"/>
        </w:rPr>
        <w:t xml:space="preserve">diputada </w:t>
      </w:r>
      <w:r w:rsidRPr="005B3558">
        <w:rPr>
          <w:rFonts w:ascii="Arial" w:hAnsi="Arial" w:cs="Arial"/>
          <w:sz w:val="22"/>
          <w:szCs w:val="22"/>
        </w:rPr>
        <w:t>señor</w:t>
      </w:r>
      <w:r w:rsidR="00871FF6" w:rsidRPr="005B3558">
        <w:rPr>
          <w:rFonts w:ascii="Arial" w:hAnsi="Arial" w:cs="Arial"/>
          <w:sz w:val="22"/>
          <w:szCs w:val="22"/>
        </w:rPr>
        <w:t>a</w:t>
      </w:r>
      <w:r w:rsidRPr="005B3558">
        <w:rPr>
          <w:rFonts w:ascii="Arial" w:hAnsi="Arial" w:cs="Arial"/>
          <w:sz w:val="22"/>
          <w:szCs w:val="22"/>
        </w:rPr>
        <w:t xml:space="preserve"> </w:t>
      </w:r>
      <w:r w:rsidR="00871FF6" w:rsidRPr="005B3558">
        <w:rPr>
          <w:rFonts w:ascii="Arial" w:hAnsi="Arial" w:cs="Arial"/>
          <w:sz w:val="22"/>
          <w:szCs w:val="22"/>
        </w:rPr>
        <w:t>Sofía Cid Versalovic.</w:t>
      </w:r>
    </w:p>
    <w:p w14:paraId="07C88F1B" w14:textId="77777777" w:rsidR="00CF67AE" w:rsidRPr="005B3558" w:rsidRDefault="00CF67AE" w:rsidP="00CF67AE">
      <w:pPr>
        <w:widowControl w:val="0"/>
        <w:autoSpaceDE w:val="0"/>
        <w:autoSpaceDN w:val="0"/>
        <w:adjustRightInd w:val="0"/>
        <w:spacing w:line="276" w:lineRule="auto"/>
        <w:ind w:firstLine="1701"/>
        <w:jc w:val="both"/>
        <w:rPr>
          <w:rFonts w:ascii="Arial" w:hAnsi="Arial" w:cs="Arial"/>
          <w:sz w:val="22"/>
          <w:szCs w:val="22"/>
          <w:lang w:val="es-ES" w:eastAsia="x-none"/>
        </w:rPr>
      </w:pPr>
    </w:p>
    <w:p w14:paraId="3426A0E7" w14:textId="77777777" w:rsidR="00295F32" w:rsidRPr="005B3558" w:rsidRDefault="00295F32" w:rsidP="00421BAF">
      <w:pPr>
        <w:pStyle w:val="Sangradetextonormal"/>
        <w:spacing w:after="0" w:line="276" w:lineRule="auto"/>
        <w:ind w:left="0" w:firstLine="2268"/>
        <w:jc w:val="both"/>
        <w:rPr>
          <w:rFonts w:ascii="Arial" w:hAnsi="Arial" w:cs="Arial"/>
          <w:sz w:val="22"/>
          <w:szCs w:val="22"/>
        </w:rPr>
      </w:pPr>
    </w:p>
    <w:p w14:paraId="48F78A32" w14:textId="77777777" w:rsidR="00871FF6" w:rsidRDefault="00871FF6" w:rsidP="00871FF6">
      <w:pPr>
        <w:pStyle w:val="Sangradetextonormal"/>
        <w:spacing w:after="0" w:line="276" w:lineRule="auto"/>
        <w:ind w:left="0"/>
        <w:jc w:val="both"/>
        <w:rPr>
          <w:rFonts w:ascii="Arial" w:hAnsi="Arial" w:cs="Arial"/>
          <w:b/>
          <w:sz w:val="22"/>
          <w:szCs w:val="22"/>
        </w:rPr>
      </w:pPr>
      <w:r w:rsidRPr="005B3558">
        <w:rPr>
          <w:rFonts w:ascii="Arial" w:hAnsi="Arial" w:cs="Arial"/>
          <w:b/>
          <w:sz w:val="22"/>
          <w:szCs w:val="22"/>
        </w:rPr>
        <w:t xml:space="preserve">II.-FUNDAMENTOS DE LA INICIATIVA </w:t>
      </w:r>
    </w:p>
    <w:p w14:paraId="5B7D768E" w14:textId="77777777" w:rsidR="005B3558" w:rsidRPr="005B3558" w:rsidRDefault="005B3558" w:rsidP="00871FF6">
      <w:pPr>
        <w:pStyle w:val="Sangradetextonormal"/>
        <w:spacing w:after="0" w:line="276" w:lineRule="auto"/>
        <w:ind w:left="0"/>
        <w:jc w:val="both"/>
        <w:rPr>
          <w:rFonts w:ascii="Arial" w:hAnsi="Arial" w:cs="Arial"/>
          <w:b/>
          <w:sz w:val="22"/>
          <w:szCs w:val="22"/>
        </w:rPr>
      </w:pPr>
    </w:p>
    <w:p w14:paraId="773A0FFB" w14:textId="77777777" w:rsidR="003646E7" w:rsidRPr="005B3558" w:rsidRDefault="00871FF6" w:rsidP="00C90811">
      <w:pPr>
        <w:pStyle w:val="Sangradetextonormal"/>
        <w:spacing w:after="0" w:line="276" w:lineRule="auto"/>
        <w:ind w:left="0" w:firstLine="1701"/>
        <w:jc w:val="both"/>
        <w:rPr>
          <w:rFonts w:ascii="Arial" w:hAnsi="Arial" w:cs="Arial"/>
          <w:sz w:val="22"/>
          <w:szCs w:val="22"/>
        </w:rPr>
      </w:pPr>
      <w:r w:rsidRPr="005B3558">
        <w:rPr>
          <w:rFonts w:ascii="Arial" w:hAnsi="Arial" w:cs="Arial"/>
          <w:sz w:val="22"/>
          <w:szCs w:val="22"/>
        </w:rPr>
        <w:t>De acuerdo al Mensaje, el Encuentro tiene por objeto e</w:t>
      </w:r>
      <w:r w:rsidR="00295F32" w:rsidRPr="005B3558">
        <w:rPr>
          <w:rFonts w:ascii="Arial" w:hAnsi="Arial" w:cs="Arial"/>
          <w:sz w:val="22"/>
          <w:szCs w:val="22"/>
        </w:rPr>
        <w:t>strechar</w:t>
      </w:r>
      <w:r w:rsidR="003646E7" w:rsidRPr="005B3558">
        <w:rPr>
          <w:rFonts w:ascii="Arial" w:hAnsi="Arial" w:cs="Arial"/>
          <w:sz w:val="22"/>
          <w:szCs w:val="22"/>
        </w:rPr>
        <w:t xml:space="preserve"> lazos en materia de coordinación y cooperación internacional, discutir asuntos centrados tanto en el futuro como en las repercusiones de los avances tecnológicos, los desplazamientos de personas, los cambios demográficos, el medioambiente, la economía y el comercio en la cooperación policial a escala nacional, regional y mundial, la evolución de los delitos de corrupción, falsificación de moneda y documentos de seguridad, delitos contra menores, patrimonio cultural, ciber</w:t>
      </w:r>
      <w:r w:rsidR="003646E7" w:rsidRPr="005B3558">
        <w:rPr>
          <w:rFonts w:ascii="Arial" w:hAnsi="Arial" w:cs="Arial"/>
          <w:sz w:val="22"/>
          <w:szCs w:val="22"/>
          <w:lang w:val="es-CL"/>
        </w:rPr>
        <w:t>-</w:t>
      </w:r>
      <w:r w:rsidR="003646E7" w:rsidRPr="005B3558">
        <w:rPr>
          <w:rFonts w:ascii="Arial" w:hAnsi="Arial" w:cs="Arial"/>
          <w:sz w:val="22"/>
          <w:szCs w:val="22"/>
        </w:rPr>
        <w:t>delincuencia, tráfico de drogas, delitos contra el medio ambiente, delincuencia financiera, tráfico de armas de fuego, trata de personas, productos ilegales, delitos marítimos, delincuencia organizada, tráfico ilícito de migrantes, terrorismo, delincuencia relacionada con los vehículos y crímenes de guerra.</w:t>
      </w:r>
    </w:p>
    <w:p w14:paraId="09840DB1" w14:textId="77777777" w:rsidR="001608E2" w:rsidRPr="005B3558" w:rsidRDefault="001608E2" w:rsidP="00421BAF">
      <w:pPr>
        <w:shd w:val="clear" w:color="auto" w:fill="FFFFFF"/>
        <w:tabs>
          <w:tab w:val="left" w:pos="-284"/>
          <w:tab w:val="left" w:pos="0"/>
          <w:tab w:val="left" w:pos="1701"/>
        </w:tabs>
        <w:spacing w:line="276" w:lineRule="auto"/>
        <w:ind w:firstLine="1701"/>
        <w:jc w:val="both"/>
        <w:rPr>
          <w:rFonts w:ascii="Arial" w:hAnsi="Arial" w:cs="Arial"/>
          <w:sz w:val="22"/>
          <w:szCs w:val="22"/>
        </w:rPr>
      </w:pPr>
    </w:p>
    <w:p w14:paraId="2A0DFC5E" w14:textId="77777777" w:rsidR="00705A09" w:rsidRPr="005B3558" w:rsidRDefault="000E679A" w:rsidP="00421BAF">
      <w:pPr>
        <w:shd w:val="clear" w:color="auto" w:fill="FFFFFF"/>
        <w:tabs>
          <w:tab w:val="left" w:pos="-284"/>
          <w:tab w:val="left" w:pos="0"/>
          <w:tab w:val="left" w:pos="1701"/>
        </w:tabs>
        <w:spacing w:line="276" w:lineRule="auto"/>
        <w:jc w:val="both"/>
        <w:rPr>
          <w:rFonts w:ascii="Arial" w:hAnsi="Arial" w:cs="Arial"/>
          <w:b/>
          <w:sz w:val="22"/>
          <w:szCs w:val="22"/>
        </w:rPr>
      </w:pPr>
      <w:r w:rsidRPr="005B3558">
        <w:rPr>
          <w:rFonts w:ascii="Arial" w:hAnsi="Arial" w:cs="Arial"/>
          <w:b/>
          <w:sz w:val="22"/>
          <w:szCs w:val="22"/>
        </w:rPr>
        <w:t>III.-</w:t>
      </w:r>
      <w:r w:rsidR="00D1367B" w:rsidRPr="005B3558">
        <w:rPr>
          <w:rFonts w:ascii="Arial" w:hAnsi="Arial" w:cs="Arial"/>
          <w:b/>
          <w:sz w:val="22"/>
          <w:szCs w:val="22"/>
        </w:rPr>
        <w:t>COMPETENCIA DE LA COMISIÓN DE HACIENDA</w:t>
      </w:r>
    </w:p>
    <w:p w14:paraId="75977D68" w14:textId="77777777" w:rsidR="00AD4E30" w:rsidRPr="005B3558" w:rsidRDefault="00AD4E30" w:rsidP="00421BAF">
      <w:pPr>
        <w:shd w:val="clear" w:color="auto" w:fill="FFFFFF"/>
        <w:tabs>
          <w:tab w:val="left" w:pos="-284"/>
          <w:tab w:val="left" w:pos="0"/>
          <w:tab w:val="left" w:pos="1701"/>
        </w:tabs>
        <w:spacing w:line="276" w:lineRule="auto"/>
        <w:jc w:val="both"/>
        <w:rPr>
          <w:rFonts w:ascii="Arial" w:hAnsi="Arial" w:cs="Arial"/>
          <w:b/>
          <w:sz w:val="22"/>
          <w:szCs w:val="22"/>
        </w:rPr>
      </w:pPr>
    </w:p>
    <w:p w14:paraId="4FB30820" w14:textId="77777777" w:rsidR="00AD4E30" w:rsidRPr="005B3558" w:rsidRDefault="00AD4E30" w:rsidP="00421BAF">
      <w:pPr>
        <w:shd w:val="clear" w:color="auto" w:fill="FFFFFF"/>
        <w:tabs>
          <w:tab w:val="left" w:pos="-284"/>
          <w:tab w:val="left" w:pos="0"/>
          <w:tab w:val="left" w:pos="1701"/>
        </w:tabs>
        <w:spacing w:line="276" w:lineRule="auto"/>
        <w:ind w:firstLine="1701"/>
        <w:jc w:val="both"/>
        <w:rPr>
          <w:rFonts w:ascii="Arial" w:hAnsi="Arial" w:cs="Arial"/>
          <w:sz w:val="22"/>
          <w:szCs w:val="22"/>
        </w:rPr>
      </w:pPr>
      <w:r w:rsidRPr="005B3558">
        <w:rPr>
          <w:rFonts w:ascii="Arial" w:hAnsi="Arial" w:cs="Arial"/>
          <w:sz w:val="22"/>
          <w:szCs w:val="22"/>
        </w:rPr>
        <w:t>La Comisión Técnica calificó el proyecto de ley como de conocimiento de esta Comisión de Hacienda debido a su incidencia en materia financiera o presupuestaria del Estado</w:t>
      </w:r>
      <w:r w:rsidR="000E679A" w:rsidRPr="005B3558">
        <w:rPr>
          <w:rFonts w:ascii="Arial" w:hAnsi="Arial" w:cs="Arial"/>
          <w:sz w:val="22"/>
          <w:szCs w:val="22"/>
        </w:rPr>
        <w:t>, que se contiene en el informe financiero N°176, de 13 de septiembre del año en curso, emitido por el Director de Presupuestos</w:t>
      </w:r>
      <w:r w:rsidRPr="005B3558">
        <w:rPr>
          <w:rFonts w:ascii="Arial" w:hAnsi="Arial" w:cs="Arial"/>
          <w:sz w:val="22"/>
          <w:szCs w:val="22"/>
        </w:rPr>
        <w:t>.</w:t>
      </w:r>
    </w:p>
    <w:p w14:paraId="224B8B85" w14:textId="77777777" w:rsidR="00AD4E30" w:rsidRPr="005B3558" w:rsidRDefault="00AD4E30" w:rsidP="00421BAF">
      <w:pPr>
        <w:shd w:val="clear" w:color="auto" w:fill="FFFFFF"/>
        <w:tabs>
          <w:tab w:val="left" w:pos="-284"/>
          <w:tab w:val="left" w:pos="0"/>
          <w:tab w:val="left" w:pos="1701"/>
        </w:tabs>
        <w:spacing w:line="276" w:lineRule="auto"/>
        <w:ind w:firstLine="1701"/>
        <w:jc w:val="both"/>
        <w:rPr>
          <w:rFonts w:ascii="Arial" w:hAnsi="Arial" w:cs="Arial"/>
          <w:b/>
          <w:sz w:val="22"/>
          <w:szCs w:val="22"/>
        </w:rPr>
      </w:pPr>
    </w:p>
    <w:p w14:paraId="47342344" w14:textId="77777777" w:rsidR="008C5E38" w:rsidRPr="005B3558" w:rsidRDefault="005B3558" w:rsidP="00421BAF">
      <w:pPr>
        <w:shd w:val="clear" w:color="auto" w:fill="FFFFFF"/>
        <w:tabs>
          <w:tab w:val="left" w:pos="-284"/>
          <w:tab w:val="left" w:pos="0"/>
          <w:tab w:val="left" w:pos="1701"/>
        </w:tabs>
        <w:spacing w:line="276" w:lineRule="auto"/>
        <w:ind w:firstLine="1701"/>
        <w:jc w:val="both"/>
        <w:rPr>
          <w:rFonts w:ascii="Arial" w:hAnsi="Arial" w:cs="Arial"/>
          <w:sz w:val="22"/>
          <w:szCs w:val="22"/>
          <w:u w:val="single"/>
        </w:rPr>
      </w:pPr>
      <w:r w:rsidRPr="005B3558">
        <w:rPr>
          <w:rFonts w:ascii="Arial" w:hAnsi="Arial" w:cs="Arial"/>
          <w:sz w:val="22"/>
          <w:szCs w:val="22"/>
          <w:u w:val="single"/>
        </w:rPr>
        <w:t>Antecedentes considerados</w:t>
      </w:r>
      <w:r w:rsidRPr="005B3558">
        <w:rPr>
          <w:rFonts w:ascii="Arial" w:hAnsi="Arial" w:cs="Arial"/>
          <w:sz w:val="22"/>
          <w:szCs w:val="22"/>
        </w:rPr>
        <w:t>:</w:t>
      </w:r>
      <w:r w:rsidRPr="005B3558">
        <w:rPr>
          <w:rFonts w:ascii="Arial" w:hAnsi="Arial" w:cs="Arial"/>
          <w:sz w:val="22"/>
          <w:szCs w:val="22"/>
          <w:u w:val="single"/>
        </w:rPr>
        <w:t xml:space="preserve"> </w:t>
      </w:r>
    </w:p>
    <w:p w14:paraId="3639B927" w14:textId="77777777" w:rsidR="00E548F2" w:rsidRPr="005B3558" w:rsidRDefault="00E548F2" w:rsidP="00E548F2">
      <w:pPr>
        <w:pStyle w:val="Prrafodelista"/>
        <w:spacing w:line="276" w:lineRule="auto"/>
        <w:ind w:left="0" w:firstLine="1701"/>
        <w:jc w:val="both"/>
        <w:rPr>
          <w:rFonts w:ascii="Arial" w:eastAsia="Times New Roman" w:hAnsi="Arial" w:cs="Arial"/>
          <w:lang w:val="es-ES_tradnl" w:eastAsia="es-ES"/>
        </w:rPr>
      </w:pPr>
      <w:r w:rsidRPr="005B3558">
        <w:rPr>
          <w:rFonts w:ascii="Arial" w:eastAsia="Times New Roman" w:hAnsi="Arial" w:cs="Arial"/>
          <w:lang w:val="es-ES_tradnl" w:eastAsia="es-ES"/>
        </w:rPr>
        <w:t>1)</w:t>
      </w:r>
      <w:r w:rsidRPr="005B3558">
        <w:rPr>
          <w:rFonts w:ascii="Arial" w:eastAsia="Times New Roman" w:hAnsi="Arial" w:cs="Arial"/>
          <w:lang w:val="es-ES_tradnl" w:eastAsia="es-ES"/>
        </w:rPr>
        <w:tab/>
        <w:t>El derecho internacional general, en materia de comunicaciones, permite y protege la libre comunicación de las misiones para todos los fines oficiales (artículo 27 de la Convención de Viena sobre relaciones diplomáticas de 1961). Luego, el ejercicio de esta protección no irroga nuevos gastos a nuestro país.</w:t>
      </w:r>
    </w:p>
    <w:p w14:paraId="5F80D1A7" w14:textId="77777777" w:rsidR="00E548F2" w:rsidRPr="005B3558" w:rsidRDefault="00E548F2" w:rsidP="00E548F2">
      <w:pPr>
        <w:pStyle w:val="Prrafodelista"/>
        <w:spacing w:line="276" w:lineRule="auto"/>
        <w:ind w:left="0" w:firstLine="1701"/>
        <w:jc w:val="both"/>
        <w:rPr>
          <w:rFonts w:ascii="Arial" w:eastAsia="Times New Roman" w:hAnsi="Arial" w:cs="Arial"/>
          <w:lang w:val="es-ES_tradnl" w:eastAsia="es-ES"/>
        </w:rPr>
      </w:pPr>
      <w:r w:rsidRPr="005B3558">
        <w:rPr>
          <w:rFonts w:ascii="Arial" w:eastAsia="Times New Roman" w:hAnsi="Arial" w:cs="Arial"/>
          <w:lang w:val="es-ES_tradnl" w:eastAsia="es-ES"/>
        </w:rPr>
        <w:t>2)</w:t>
      </w:r>
      <w:r w:rsidRPr="005B3558">
        <w:rPr>
          <w:rFonts w:ascii="Arial" w:eastAsia="Times New Roman" w:hAnsi="Arial" w:cs="Arial"/>
          <w:lang w:val="es-ES_tradnl" w:eastAsia="es-ES"/>
        </w:rPr>
        <w:tab/>
        <w:t>Dentro de las actuales funciones del Banco Central de Chile se encuentra la facultad de imponer requisitos y restricciones a operaciones de cambio internacionales, lo que garantiza que la amplia libertad de movimiento de capitales en el ámbito de los fines y funciones que ejercerá la OIPC-INTERPOL no requerirá financiamiento adicional.</w:t>
      </w:r>
    </w:p>
    <w:p w14:paraId="6BF7CE41" w14:textId="77777777" w:rsidR="00E548F2" w:rsidRPr="005B3558" w:rsidRDefault="00E548F2" w:rsidP="00E548F2">
      <w:pPr>
        <w:pStyle w:val="Prrafodelista"/>
        <w:spacing w:line="276" w:lineRule="auto"/>
        <w:ind w:left="0" w:firstLine="1701"/>
        <w:jc w:val="both"/>
        <w:rPr>
          <w:rFonts w:ascii="Arial" w:eastAsia="Times New Roman" w:hAnsi="Arial" w:cs="Arial"/>
          <w:lang w:val="es-ES_tradnl" w:eastAsia="es-ES"/>
        </w:rPr>
      </w:pPr>
      <w:r w:rsidRPr="005B3558">
        <w:rPr>
          <w:rFonts w:ascii="Arial" w:eastAsia="Times New Roman" w:hAnsi="Arial" w:cs="Arial"/>
          <w:lang w:val="es-ES_tradnl" w:eastAsia="es-ES"/>
        </w:rPr>
        <w:t>3)</w:t>
      </w:r>
      <w:r w:rsidRPr="005B3558">
        <w:rPr>
          <w:rFonts w:ascii="Arial" w:eastAsia="Times New Roman" w:hAnsi="Arial" w:cs="Arial"/>
          <w:lang w:val="es-ES_tradnl" w:eastAsia="es-ES"/>
        </w:rPr>
        <w:tab/>
        <w:t>La reexportación de todo el material que la OIPC-INTERPOL haya ingresado al país producto de la convocatoria a la que este acuerdo se refiere, no irrogará mayor gasto fiscal, ya que la fiscalización que realice el Servicio Nacional de Aduanas utilizará los recursos actualmente asignados al ser actividades regulares.</w:t>
      </w:r>
    </w:p>
    <w:p w14:paraId="1CB0849C" w14:textId="77777777" w:rsidR="00E548F2" w:rsidRPr="005B3558" w:rsidRDefault="00E548F2" w:rsidP="00E548F2">
      <w:pPr>
        <w:pStyle w:val="Prrafodelista"/>
        <w:spacing w:line="276" w:lineRule="auto"/>
        <w:ind w:left="0" w:firstLine="1701"/>
        <w:jc w:val="both"/>
        <w:rPr>
          <w:rFonts w:ascii="Arial" w:eastAsia="Times New Roman" w:hAnsi="Arial" w:cs="Arial"/>
          <w:lang w:val="es-ES_tradnl" w:eastAsia="es-ES"/>
        </w:rPr>
      </w:pPr>
      <w:r w:rsidRPr="005B3558">
        <w:rPr>
          <w:rFonts w:ascii="Arial" w:eastAsia="Times New Roman" w:hAnsi="Arial" w:cs="Arial"/>
          <w:lang w:val="es-ES_tradnl" w:eastAsia="es-ES"/>
        </w:rPr>
        <w:t>4)</w:t>
      </w:r>
      <w:r w:rsidRPr="005B3558">
        <w:rPr>
          <w:rFonts w:ascii="Arial" w:eastAsia="Times New Roman" w:hAnsi="Arial" w:cs="Arial"/>
          <w:lang w:val="es-ES_tradnl" w:eastAsia="es-ES"/>
        </w:rPr>
        <w:tab/>
        <w:t>Con el objeto de garantizar la seguridad de las personas y bienes que están involucrados en una  reunión internacional, el Estado anfitrión asume toda responsabilidad por cualquier hecho o acto que pueda ocasionar daños. Sin embargo, en este tipo de Acuerdos siempre se exime de responsabilidad al Estado anfitrión cuando el delegado o participante ha sufrido el daño como consecuencia de su conducta dolosa o culpa grave, ya que ambos casos son inexcusables por concurrir la voluntad del sujeto, situación que no ocurre cuando solo ha habido culpa leve o levísima, ya que se trata de grados de responsabilidad menor que están dentro de los riesgos propios que debe asumir el Estado anfitrión en este tipo de eventos.</w:t>
      </w:r>
    </w:p>
    <w:p w14:paraId="3ADC04DA" w14:textId="77777777" w:rsidR="005B3558" w:rsidRPr="005B3558" w:rsidRDefault="005B3558" w:rsidP="00E548F2">
      <w:pPr>
        <w:pStyle w:val="Prrafodelista"/>
        <w:spacing w:line="276" w:lineRule="auto"/>
        <w:ind w:left="0" w:firstLine="1701"/>
        <w:jc w:val="both"/>
        <w:rPr>
          <w:rFonts w:ascii="Arial" w:eastAsia="Times New Roman" w:hAnsi="Arial" w:cs="Arial"/>
          <w:lang w:val="es-ES_tradnl" w:eastAsia="es-ES"/>
        </w:rPr>
      </w:pPr>
    </w:p>
    <w:p w14:paraId="25B2F12B" w14:textId="77777777" w:rsidR="005B3558" w:rsidRPr="005B3558" w:rsidRDefault="005B3558" w:rsidP="005B3558">
      <w:pPr>
        <w:shd w:val="clear" w:color="auto" w:fill="FFFFFF"/>
        <w:tabs>
          <w:tab w:val="left" w:pos="-284"/>
          <w:tab w:val="left" w:pos="0"/>
          <w:tab w:val="left" w:pos="1701"/>
        </w:tabs>
        <w:spacing w:line="276" w:lineRule="auto"/>
        <w:ind w:firstLine="1701"/>
        <w:jc w:val="both"/>
        <w:rPr>
          <w:rFonts w:ascii="Arial" w:hAnsi="Arial" w:cs="Arial"/>
          <w:sz w:val="22"/>
          <w:szCs w:val="22"/>
          <w:u w:val="single"/>
        </w:rPr>
      </w:pPr>
      <w:r w:rsidRPr="005B3558">
        <w:rPr>
          <w:rFonts w:ascii="Arial" w:hAnsi="Arial" w:cs="Arial"/>
          <w:sz w:val="22"/>
          <w:szCs w:val="22"/>
          <w:u w:val="single"/>
        </w:rPr>
        <w:t>Efectos del Proyecto de Acuerdo sobre el Presupuesto Fiscal</w:t>
      </w:r>
    </w:p>
    <w:p w14:paraId="5CDACD85" w14:textId="77777777" w:rsidR="00E548F2" w:rsidRPr="005B3558" w:rsidRDefault="00E548F2" w:rsidP="00E548F2">
      <w:pPr>
        <w:pStyle w:val="Prrafodelista"/>
        <w:spacing w:line="276" w:lineRule="auto"/>
        <w:ind w:left="0" w:firstLine="1701"/>
        <w:jc w:val="both"/>
        <w:rPr>
          <w:rFonts w:ascii="Arial" w:eastAsia="Times New Roman" w:hAnsi="Arial" w:cs="Arial"/>
          <w:lang w:val="es-ES_tradnl" w:eastAsia="es-ES"/>
        </w:rPr>
      </w:pPr>
      <w:r w:rsidRPr="005B3558">
        <w:rPr>
          <w:rFonts w:ascii="Arial" w:eastAsia="Times New Roman" w:hAnsi="Arial" w:cs="Arial"/>
          <w:lang w:val="es-ES_tradnl" w:eastAsia="es-ES"/>
        </w:rPr>
        <w:t>Por último, los costos asociados a la materialización de esta actividad ascienden a $1.985.028 miles, lo que incluye arriendo y habilitación de instalaciones, alimentación, traslados, comunicaciones y seguridad, vestuario y capacitación</w:t>
      </w:r>
      <w:r w:rsidR="00B1035C">
        <w:rPr>
          <w:rFonts w:ascii="Arial" w:eastAsia="Times New Roman" w:hAnsi="Arial" w:cs="Arial"/>
          <w:lang w:val="es-ES_tradnl" w:eastAsia="es-ES"/>
        </w:rPr>
        <w:t>.</w:t>
      </w:r>
    </w:p>
    <w:p w14:paraId="510B4B6B" w14:textId="77777777" w:rsidR="00E548F2" w:rsidRPr="005B3558" w:rsidRDefault="00E548F2" w:rsidP="00E548F2">
      <w:pPr>
        <w:pStyle w:val="Prrafodelista"/>
        <w:spacing w:line="276" w:lineRule="auto"/>
        <w:jc w:val="both"/>
        <w:rPr>
          <w:rFonts w:ascii="Arial" w:eastAsia="Times New Roman" w:hAnsi="Arial" w:cs="Arial"/>
          <w:lang w:val="es-ES_tradnl" w:eastAsia="es-ES"/>
        </w:rPr>
      </w:pPr>
    </w:p>
    <w:p w14:paraId="39593B7C" w14:textId="77777777" w:rsidR="00E548F2" w:rsidRPr="005B3558" w:rsidRDefault="00B1035C" w:rsidP="005B3558">
      <w:pPr>
        <w:pStyle w:val="Prrafodelista"/>
        <w:spacing w:line="276" w:lineRule="auto"/>
        <w:ind w:left="0" w:firstLine="1701"/>
        <w:jc w:val="both"/>
        <w:rPr>
          <w:rFonts w:ascii="Arial" w:eastAsia="Times New Roman" w:hAnsi="Arial" w:cs="Arial"/>
          <w:lang w:val="es-ES_tradnl" w:eastAsia="es-ES"/>
        </w:rPr>
      </w:pPr>
      <w:r>
        <w:rPr>
          <w:rFonts w:ascii="Arial" w:eastAsia="Times New Roman" w:hAnsi="Arial" w:cs="Arial"/>
          <w:lang w:val="es-ES_tradnl" w:eastAsia="es-ES"/>
        </w:rPr>
        <w:t>En cuanto a la imputación del gasto, e</w:t>
      </w:r>
      <w:r w:rsidR="00E548F2" w:rsidRPr="005B3558">
        <w:rPr>
          <w:rFonts w:ascii="Arial" w:eastAsia="Times New Roman" w:hAnsi="Arial" w:cs="Arial"/>
          <w:lang w:val="es-ES_tradnl" w:eastAsia="es-ES"/>
        </w:rPr>
        <w:t>l mayor gasto fiscal que demande esta actividad durante el año 2019 se financiará con cargo al presupuesto de la Policía de Investigaciones de Chile, Partida 05, Ministerio del Interior y Seguridad Pública, Capítulo 33 Policía de Investigaciones de Chile, Programa 01 Policía de Investigaciones de Chile y, en lo que faltare, con recursos provenientes de la Partida Tesoro Público.</w:t>
      </w:r>
    </w:p>
    <w:p w14:paraId="2F4BE84D" w14:textId="77777777" w:rsidR="00E548F2" w:rsidRPr="005B3558" w:rsidRDefault="00E548F2" w:rsidP="00E548F2">
      <w:pPr>
        <w:pStyle w:val="Prrafodelista"/>
        <w:spacing w:line="276" w:lineRule="auto"/>
        <w:ind w:left="0"/>
        <w:jc w:val="both"/>
        <w:rPr>
          <w:rFonts w:ascii="Arial" w:eastAsia="Times New Roman" w:hAnsi="Arial" w:cs="Arial"/>
          <w:lang w:val="es-ES_tradnl" w:eastAsia="es-ES"/>
        </w:rPr>
      </w:pPr>
    </w:p>
    <w:p w14:paraId="0E1BAD2A" w14:textId="77777777" w:rsidR="005B3558" w:rsidRDefault="005B3558" w:rsidP="00E548F2">
      <w:pPr>
        <w:pStyle w:val="Prrafodelista"/>
        <w:spacing w:line="276" w:lineRule="auto"/>
        <w:ind w:left="0"/>
        <w:jc w:val="both"/>
        <w:rPr>
          <w:rFonts w:ascii="Arial" w:hAnsi="Arial" w:cs="Arial"/>
          <w:b/>
        </w:rPr>
      </w:pPr>
    </w:p>
    <w:p w14:paraId="56CED9E8" w14:textId="77777777" w:rsidR="00C90811" w:rsidRPr="005B3558" w:rsidRDefault="005B3558" w:rsidP="00E548F2">
      <w:pPr>
        <w:pStyle w:val="Prrafodelista"/>
        <w:spacing w:line="276" w:lineRule="auto"/>
        <w:ind w:left="0"/>
        <w:jc w:val="both"/>
        <w:rPr>
          <w:rFonts w:ascii="Arial" w:hAnsi="Arial" w:cs="Arial"/>
          <w:b/>
        </w:rPr>
      </w:pPr>
      <w:r>
        <w:rPr>
          <w:rFonts w:ascii="Arial" w:hAnsi="Arial" w:cs="Arial"/>
          <w:b/>
        </w:rPr>
        <w:t>IV.-</w:t>
      </w:r>
      <w:r w:rsidR="00C90811" w:rsidRPr="005B3558">
        <w:rPr>
          <w:rFonts w:ascii="Arial" w:hAnsi="Arial" w:cs="Arial"/>
          <w:b/>
        </w:rPr>
        <w:t>DISCUSIÓN Y VOTACIÓN</w:t>
      </w:r>
    </w:p>
    <w:p w14:paraId="588A7538" w14:textId="77777777" w:rsidR="005B3558" w:rsidRPr="007F3828" w:rsidRDefault="005B3558" w:rsidP="005B3558">
      <w:pPr>
        <w:spacing w:line="276" w:lineRule="auto"/>
        <w:ind w:firstLine="1701"/>
        <w:jc w:val="both"/>
        <w:rPr>
          <w:rFonts w:ascii="Arial" w:hAnsi="Arial" w:cs="Arial"/>
          <w:sz w:val="22"/>
          <w:szCs w:val="22"/>
          <w:lang w:val="es-CL"/>
        </w:rPr>
      </w:pPr>
      <w:r w:rsidRPr="007F3828">
        <w:rPr>
          <w:rFonts w:ascii="Arial" w:hAnsi="Arial" w:cs="Arial"/>
          <w:sz w:val="22"/>
          <w:szCs w:val="22"/>
          <w:lang w:val="es-CL"/>
        </w:rPr>
        <w:t xml:space="preserve">El Ministro de la Secretaría General de la Presidencia </w:t>
      </w:r>
      <w:r w:rsidR="00951C67">
        <w:rPr>
          <w:rFonts w:ascii="Arial" w:hAnsi="Arial" w:cs="Arial"/>
          <w:sz w:val="22"/>
          <w:szCs w:val="22"/>
          <w:lang w:val="es-CL"/>
        </w:rPr>
        <w:t>relevó</w:t>
      </w:r>
      <w:r w:rsidRPr="007F3828">
        <w:rPr>
          <w:rFonts w:ascii="Arial" w:hAnsi="Arial" w:cs="Arial"/>
          <w:sz w:val="22"/>
          <w:szCs w:val="22"/>
          <w:lang w:val="es-CL"/>
        </w:rPr>
        <w:t xml:space="preserve"> la importancia de la instancia a que se refiere este proyecto de ley, la que permitirá a Chile ser anfitrión de un evento de nivel global, en el ámbito de la seguridad y las policías de numerosos países. </w:t>
      </w:r>
    </w:p>
    <w:p w14:paraId="52BFBA50" w14:textId="77777777" w:rsidR="005B3558" w:rsidRPr="007F3828" w:rsidRDefault="005B3558" w:rsidP="005B3558">
      <w:pPr>
        <w:spacing w:line="276" w:lineRule="auto"/>
        <w:ind w:firstLine="1701"/>
        <w:jc w:val="both"/>
        <w:rPr>
          <w:rFonts w:ascii="Arial" w:hAnsi="Arial" w:cs="Arial"/>
          <w:sz w:val="22"/>
          <w:szCs w:val="22"/>
          <w:lang w:val="es-CL"/>
        </w:rPr>
      </w:pPr>
      <w:r w:rsidRPr="007F3828">
        <w:rPr>
          <w:rFonts w:ascii="Arial" w:hAnsi="Arial" w:cs="Arial"/>
          <w:sz w:val="22"/>
          <w:szCs w:val="22"/>
          <w:lang w:val="es-CL"/>
        </w:rPr>
        <w:t xml:space="preserve">El Jefe de la Brigada de la Policía de Investigaciones del Congreso Nacional, señor Silvio Copello Vallejos, destacó que la PDI desde 1944 representa al Estado de Chile en la INTERPOL. Resulta muy importante para el intercambio de información vinculada a delitos, estar permanentemente coordinados y conectados con las policías de los demás países del orbe.  Año a año INTERPOL se reúne en distintos países, siendo este año la primera oportunidad en que Chile es el anfitrión, y la PDI el organizador de esta actividad. Permitirá al país estar interconectado con las demás policías del mundo, y para su éxito, se requiere contar con suficientes recursos para financiar las necesidades logísticas que resulten pertinentes para la celebración de este evento. </w:t>
      </w:r>
    </w:p>
    <w:p w14:paraId="205B6828" w14:textId="77777777" w:rsidR="005B3558" w:rsidRDefault="005B3558" w:rsidP="005B3558">
      <w:pPr>
        <w:spacing w:line="276" w:lineRule="auto"/>
        <w:ind w:firstLine="1701"/>
        <w:jc w:val="both"/>
        <w:rPr>
          <w:rFonts w:ascii="Arial" w:hAnsi="Arial" w:cs="Arial"/>
          <w:sz w:val="22"/>
          <w:szCs w:val="22"/>
          <w:lang w:val="es-CL"/>
        </w:rPr>
      </w:pPr>
    </w:p>
    <w:p w14:paraId="18F78F67" w14:textId="77777777" w:rsidR="00884234" w:rsidRPr="007F3828" w:rsidRDefault="00884234" w:rsidP="005B3558">
      <w:pPr>
        <w:spacing w:line="276" w:lineRule="auto"/>
        <w:ind w:firstLine="1701"/>
        <w:jc w:val="both"/>
        <w:rPr>
          <w:rFonts w:ascii="Arial" w:hAnsi="Arial" w:cs="Arial"/>
          <w:sz w:val="22"/>
          <w:szCs w:val="22"/>
          <w:lang w:val="es-CL"/>
        </w:rPr>
      </w:pPr>
    </w:p>
    <w:p w14:paraId="6DB778E1" w14:textId="77777777" w:rsidR="005B3558" w:rsidRPr="007F3828" w:rsidRDefault="005B3558" w:rsidP="005B3558">
      <w:pPr>
        <w:spacing w:line="276" w:lineRule="auto"/>
        <w:ind w:firstLine="1701"/>
        <w:jc w:val="both"/>
        <w:rPr>
          <w:rFonts w:ascii="Arial" w:hAnsi="Arial" w:cs="Arial"/>
          <w:sz w:val="22"/>
          <w:szCs w:val="22"/>
          <w:lang w:val="es-CL"/>
        </w:rPr>
      </w:pPr>
      <w:r w:rsidRPr="007F3828">
        <w:rPr>
          <w:rFonts w:ascii="Arial" w:hAnsi="Arial" w:cs="Arial"/>
          <w:sz w:val="22"/>
          <w:szCs w:val="22"/>
          <w:lang w:val="es-CL"/>
        </w:rPr>
        <w:t xml:space="preserve">El diputado Ortiz manifestó que es un honor para Chile que se celebre en el país por primera vez un encuentro de la INTERPOL. La suma consignada en el informe financiero será aportada por el presupuesto de la PDI, y si faltare, se suplementará con fondos del Tesoro Público. Calificó a la PDI como una institución que mantiene una excelente relación con la sociedad civil. </w:t>
      </w:r>
    </w:p>
    <w:p w14:paraId="32A55257" w14:textId="4E5A237C" w:rsidR="005B3558" w:rsidRPr="007F3828" w:rsidRDefault="005B3558" w:rsidP="005B3558">
      <w:pPr>
        <w:spacing w:line="276" w:lineRule="auto"/>
        <w:ind w:firstLine="1701"/>
        <w:jc w:val="both"/>
        <w:rPr>
          <w:rFonts w:ascii="Arial" w:hAnsi="Arial" w:cs="Arial"/>
          <w:sz w:val="22"/>
          <w:szCs w:val="22"/>
          <w:lang w:val="es-CL"/>
        </w:rPr>
      </w:pPr>
      <w:r w:rsidRPr="007F3828">
        <w:rPr>
          <w:rFonts w:ascii="Arial" w:hAnsi="Arial" w:cs="Arial"/>
          <w:sz w:val="22"/>
          <w:szCs w:val="22"/>
          <w:lang w:val="es-CL"/>
        </w:rPr>
        <w:t xml:space="preserve">El diputado Lorenzini expresó su preocupación </w:t>
      </w:r>
      <w:r w:rsidR="000C1B11" w:rsidRPr="007F3828">
        <w:rPr>
          <w:rFonts w:ascii="Arial" w:hAnsi="Arial" w:cs="Arial"/>
          <w:sz w:val="22"/>
          <w:szCs w:val="22"/>
          <w:lang w:val="es-CL"/>
        </w:rPr>
        <w:t>por que</w:t>
      </w:r>
      <w:r w:rsidRPr="007F3828">
        <w:rPr>
          <w:rFonts w:ascii="Arial" w:hAnsi="Arial" w:cs="Arial"/>
          <w:sz w:val="22"/>
          <w:szCs w:val="22"/>
          <w:lang w:val="es-CL"/>
        </w:rPr>
        <w:t xml:space="preserve"> </w:t>
      </w:r>
      <w:r w:rsidR="00951C67">
        <w:rPr>
          <w:rFonts w:ascii="Arial" w:hAnsi="Arial" w:cs="Arial"/>
          <w:sz w:val="22"/>
          <w:szCs w:val="22"/>
          <w:lang w:val="es-CL"/>
        </w:rPr>
        <w:t xml:space="preserve">consideró que </w:t>
      </w:r>
      <w:r w:rsidRPr="007F3828">
        <w:rPr>
          <w:rFonts w:ascii="Arial" w:hAnsi="Arial" w:cs="Arial"/>
          <w:sz w:val="22"/>
          <w:szCs w:val="22"/>
          <w:lang w:val="es-CL"/>
        </w:rPr>
        <w:t>los recursos involucrados no pueden haber estado considerados en el presupuesto de la PDI, toda vez</w:t>
      </w:r>
      <w:r w:rsidR="00951C67">
        <w:rPr>
          <w:rFonts w:ascii="Arial" w:hAnsi="Arial" w:cs="Arial"/>
          <w:sz w:val="22"/>
          <w:szCs w:val="22"/>
          <w:lang w:val="es-CL"/>
        </w:rPr>
        <w:t>,</w:t>
      </w:r>
      <w:r w:rsidRPr="007F3828">
        <w:rPr>
          <w:rFonts w:ascii="Arial" w:hAnsi="Arial" w:cs="Arial"/>
          <w:sz w:val="22"/>
          <w:szCs w:val="22"/>
          <w:lang w:val="es-CL"/>
        </w:rPr>
        <w:t xml:space="preserve"> que este acuerdo internacional se adoptó con posterioridad a la elaboración del presupuesto del sector público correspondiente al año 2019. Consideró que, para evitar el desvío de recursos de las funciones propias de la PDI, debiera financiarse esta actividad exclusivamente con nuevos fondos. </w:t>
      </w:r>
    </w:p>
    <w:p w14:paraId="0B549E2A" w14:textId="77777777" w:rsidR="005B3558" w:rsidRPr="007F3828" w:rsidRDefault="005B3558" w:rsidP="005B3558">
      <w:pPr>
        <w:spacing w:line="276" w:lineRule="auto"/>
        <w:ind w:firstLine="1701"/>
        <w:jc w:val="both"/>
        <w:rPr>
          <w:rFonts w:ascii="Arial" w:hAnsi="Arial" w:cs="Arial"/>
          <w:sz w:val="22"/>
          <w:szCs w:val="22"/>
          <w:lang w:val="es-CL"/>
        </w:rPr>
      </w:pPr>
      <w:r w:rsidRPr="007F3828">
        <w:rPr>
          <w:rFonts w:ascii="Arial" w:hAnsi="Arial" w:cs="Arial"/>
          <w:sz w:val="22"/>
          <w:szCs w:val="22"/>
          <w:lang w:val="es-CL"/>
        </w:rPr>
        <w:t xml:space="preserve">El diputado Von Mühlenbrock </w:t>
      </w:r>
      <w:r w:rsidR="00951C67">
        <w:rPr>
          <w:rFonts w:ascii="Arial" w:hAnsi="Arial" w:cs="Arial"/>
          <w:sz w:val="22"/>
          <w:szCs w:val="22"/>
          <w:lang w:val="es-CL"/>
        </w:rPr>
        <w:t xml:space="preserve">reconociendo la importancia de la Reunión, </w:t>
      </w:r>
      <w:r w:rsidRPr="007F3828">
        <w:rPr>
          <w:rFonts w:ascii="Arial" w:hAnsi="Arial" w:cs="Arial"/>
          <w:sz w:val="22"/>
          <w:szCs w:val="22"/>
          <w:lang w:val="es-CL"/>
        </w:rPr>
        <w:t>no se mostró dispuesto a desviar recursos de la PDI para financiar esta actividad</w:t>
      </w:r>
      <w:r w:rsidR="00951C67">
        <w:rPr>
          <w:rFonts w:ascii="Arial" w:hAnsi="Arial" w:cs="Arial"/>
          <w:sz w:val="22"/>
          <w:szCs w:val="22"/>
          <w:lang w:val="es-CL"/>
        </w:rPr>
        <w:t xml:space="preserve"> de manera que estimó relevante precisar el punto</w:t>
      </w:r>
      <w:r w:rsidRPr="007F3828">
        <w:rPr>
          <w:rFonts w:ascii="Arial" w:hAnsi="Arial" w:cs="Arial"/>
          <w:sz w:val="22"/>
          <w:szCs w:val="22"/>
          <w:lang w:val="es-CL"/>
        </w:rPr>
        <w:t xml:space="preserve">. </w:t>
      </w:r>
    </w:p>
    <w:p w14:paraId="48445A78" w14:textId="77777777" w:rsidR="005B3558" w:rsidRPr="007F3828" w:rsidRDefault="005B3558" w:rsidP="005B3558">
      <w:pPr>
        <w:spacing w:line="276" w:lineRule="auto"/>
        <w:ind w:firstLine="1701"/>
        <w:jc w:val="both"/>
        <w:rPr>
          <w:rFonts w:ascii="Arial" w:hAnsi="Arial" w:cs="Arial"/>
          <w:sz w:val="22"/>
          <w:szCs w:val="22"/>
          <w:lang w:val="es-CL"/>
        </w:rPr>
      </w:pPr>
      <w:r w:rsidRPr="007F3828">
        <w:rPr>
          <w:rFonts w:ascii="Arial" w:hAnsi="Arial" w:cs="Arial"/>
          <w:sz w:val="22"/>
          <w:szCs w:val="22"/>
          <w:lang w:val="es-CL"/>
        </w:rPr>
        <w:t>El diputado Melero señaló que una cosa es la imputación del gasto y otra es quién hace el gasto efectivo. Puede ser que el Tesoro Público termine financiando el 90% o el 50% del costo. Consideró que lo importante no es eso, sino que exista este respaldo consistente en que la Partida del Tesoro Pública podrá suplementar el gasto. Consultó cómo se relacionan los temas que se debatirán en este evento con la actividad que desarrolla la Unidad de Análisis Financiero.</w:t>
      </w:r>
    </w:p>
    <w:p w14:paraId="014F83B1" w14:textId="77777777" w:rsidR="005B3558" w:rsidRPr="007F3828" w:rsidRDefault="005B3558" w:rsidP="005B3558">
      <w:pPr>
        <w:spacing w:line="276" w:lineRule="auto"/>
        <w:ind w:firstLine="1701"/>
        <w:jc w:val="both"/>
        <w:rPr>
          <w:rFonts w:ascii="Arial" w:hAnsi="Arial" w:cs="Arial"/>
          <w:sz w:val="22"/>
          <w:szCs w:val="22"/>
          <w:lang w:val="es-CL"/>
        </w:rPr>
      </w:pPr>
      <w:r w:rsidRPr="007F3828">
        <w:rPr>
          <w:rFonts w:ascii="Arial" w:hAnsi="Arial" w:cs="Arial"/>
          <w:sz w:val="22"/>
          <w:szCs w:val="22"/>
          <w:lang w:val="es-CL"/>
        </w:rPr>
        <w:t xml:space="preserve">El diputado Pérez indicó que Chile manifestó su intención de ser sede de este encuentro con anterioridad a la suscripción del acuerdo, por lo que es perfectamente posible que los recursos se hayan considerado en el presupuesto de la PDI. </w:t>
      </w:r>
    </w:p>
    <w:p w14:paraId="627BC576" w14:textId="77777777" w:rsidR="005B3558" w:rsidRPr="007F3828" w:rsidRDefault="005B3558" w:rsidP="005B3558">
      <w:pPr>
        <w:spacing w:line="276" w:lineRule="auto"/>
        <w:ind w:firstLine="1701"/>
        <w:jc w:val="both"/>
        <w:rPr>
          <w:rFonts w:ascii="Arial" w:hAnsi="Arial" w:cs="Arial"/>
          <w:sz w:val="22"/>
          <w:szCs w:val="22"/>
          <w:lang w:val="es-CL"/>
        </w:rPr>
      </w:pPr>
      <w:r w:rsidRPr="007F3828">
        <w:rPr>
          <w:rFonts w:ascii="Arial" w:hAnsi="Arial" w:cs="Arial"/>
          <w:sz w:val="22"/>
          <w:szCs w:val="22"/>
          <w:lang w:val="es-CL"/>
        </w:rPr>
        <w:t xml:space="preserve">El diputado Lorenzini acusó la falta de una referencia expresa en el proyecto a la fuente de financiamiento. </w:t>
      </w:r>
    </w:p>
    <w:p w14:paraId="4153277F" w14:textId="77777777" w:rsidR="005B3558" w:rsidRPr="007F3828" w:rsidRDefault="005B3558" w:rsidP="005B3558">
      <w:pPr>
        <w:spacing w:line="276" w:lineRule="auto"/>
        <w:ind w:firstLine="1701"/>
        <w:jc w:val="both"/>
        <w:rPr>
          <w:rFonts w:ascii="Arial" w:hAnsi="Arial" w:cs="Arial"/>
          <w:sz w:val="22"/>
          <w:szCs w:val="22"/>
          <w:lang w:val="es-CL"/>
        </w:rPr>
      </w:pPr>
      <w:r w:rsidRPr="007F3828">
        <w:rPr>
          <w:rFonts w:ascii="Arial" w:hAnsi="Arial" w:cs="Arial"/>
          <w:sz w:val="22"/>
          <w:szCs w:val="22"/>
          <w:lang w:val="es-CL"/>
        </w:rPr>
        <w:t xml:space="preserve">El diputado Melero señaló que esto es un proyecto de acuerdo, y no un proyecto de ley. Si se quisiera agregar la referencia señalada por el diputado Lorenzini, debería modificarse el acuerdo internacional reuniendo a todos los países firmantes. </w:t>
      </w:r>
    </w:p>
    <w:p w14:paraId="2E1EFA18" w14:textId="77777777" w:rsidR="005B3558" w:rsidRPr="007F3828" w:rsidRDefault="005B3558" w:rsidP="005B3558">
      <w:pPr>
        <w:spacing w:line="276" w:lineRule="auto"/>
        <w:ind w:firstLine="1701"/>
        <w:jc w:val="both"/>
        <w:rPr>
          <w:rFonts w:ascii="Arial" w:hAnsi="Arial" w:cs="Arial"/>
          <w:sz w:val="22"/>
          <w:szCs w:val="22"/>
          <w:lang w:val="es-CL"/>
        </w:rPr>
      </w:pPr>
      <w:r w:rsidRPr="007F3828">
        <w:rPr>
          <w:rFonts w:ascii="Arial" w:hAnsi="Arial" w:cs="Arial"/>
          <w:sz w:val="22"/>
          <w:szCs w:val="22"/>
          <w:lang w:val="es-CL"/>
        </w:rPr>
        <w:t>El diputado Lorenzini mostró su disposición a votar favorablemente, en la medida en que exista un compromiso del Ejecutivo de manifestar expresamente en la discusión en la Sala de este proyecto de ley que la actividad será financiada conforme lo consigna el informe financiero.</w:t>
      </w:r>
    </w:p>
    <w:p w14:paraId="756D4514" w14:textId="77777777" w:rsidR="005B3558" w:rsidRPr="007F3828" w:rsidRDefault="005B3558" w:rsidP="005B3558">
      <w:pPr>
        <w:spacing w:line="276" w:lineRule="auto"/>
        <w:ind w:firstLine="1701"/>
        <w:jc w:val="both"/>
        <w:rPr>
          <w:rFonts w:ascii="Arial" w:hAnsi="Arial" w:cs="Arial"/>
          <w:sz w:val="22"/>
          <w:szCs w:val="22"/>
          <w:lang w:val="es-CL"/>
        </w:rPr>
      </w:pPr>
    </w:p>
    <w:p w14:paraId="7C0012B6" w14:textId="77777777" w:rsidR="005B3558" w:rsidRPr="007F3828" w:rsidRDefault="002D750A" w:rsidP="00AA341B">
      <w:pPr>
        <w:spacing w:line="276" w:lineRule="auto"/>
        <w:ind w:firstLine="1701"/>
        <w:jc w:val="both"/>
        <w:rPr>
          <w:rFonts w:ascii="Arial" w:hAnsi="Arial" w:cs="Arial"/>
          <w:sz w:val="22"/>
          <w:szCs w:val="22"/>
          <w:lang w:val="es-CL"/>
        </w:rPr>
      </w:pPr>
      <w:r w:rsidRPr="0072475C">
        <w:rPr>
          <w:rFonts w:ascii="Arial" w:hAnsi="Arial" w:cs="Arial"/>
          <w:sz w:val="22"/>
          <w:szCs w:val="22"/>
        </w:rPr>
        <w:t>La Comisión, en definitiva, compartió los términos del proyecto de acuerdo sometido a consideración y puesto el artículo único en votación, fue aprobado</w:t>
      </w:r>
      <w:r>
        <w:rPr>
          <w:rFonts w:ascii="Arial" w:hAnsi="Arial" w:cs="Arial"/>
          <w:sz w:val="22"/>
          <w:szCs w:val="22"/>
          <w:lang w:val="es-CL"/>
        </w:rPr>
        <w:t xml:space="preserve"> </w:t>
      </w:r>
      <w:r w:rsidR="00AA341B">
        <w:rPr>
          <w:rFonts w:ascii="Arial" w:hAnsi="Arial" w:cs="Arial"/>
          <w:sz w:val="22"/>
          <w:szCs w:val="22"/>
          <w:lang w:val="es-CL"/>
        </w:rPr>
        <w:t xml:space="preserve">por la unanimidad de los </w:t>
      </w:r>
      <w:r w:rsidR="005B3558" w:rsidRPr="007F3828">
        <w:rPr>
          <w:rFonts w:ascii="Arial" w:hAnsi="Arial" w:cs="Arial"/>
          <w:sz w:val="22"/>
          <w:szCs w:val="22"/>
          <w:lang w:val="es-CL"/>
        </w:rPr>
        <w:t>diputados</w:t>
      </w:r>
      <w:r w:rsidR="00AA341B">
        <w:rPr>
          <w:rFonts w:ascii="Arial" w:hAnsi="Arial" w:cs="Arial"/>
          <w:sz w:val="22"/>
          <w:szCs w:val="22"/>
          <w:lang w:val="es-CL"/>
        </w:rPr>
        <w:t xml:space="preserve"> presentes, señora</w:t>
      </w:r>
      <w:r w:rsidR="005B3558" w:rsidRPr="007F3828">
        <w:rPr>
          <w:rFonts w:ascii="Arial" w:hAnsi="Arial" w:cs="Arial"/>
          <w:sz w:val="22"/>
          <w:szCs w:val="22"/>
          <w:lang w:val="es-CL"/>
        </w:rPr>
        <w:t xml:space="preserve"> Cid, </w:t>
      </w:r>
      <w:r w:rsidR="00AA341B">
        <w:rPr>
          <w:rFonts w:ascii="Arial" w:hAnsi="Arial" w:cs="Arial"/>
          <w:sz w:val="22"/>
          <w:szCs w:val="22"/>
          <w:lang w:val="es-CL"/>
        </w:rPr>
        <w:t xml:space="preserve">y señores </w:t>
      </w:r>
      <w:r w:rsidR="005B3558" w:rsidRPr="007F3828">
        <w:rPr>
          <w:rFonts w:ascii="Arial" w:hAnsi="Arial" w:cs="Arial"/>
          <w:sz w:val="22"/>
          <w:szCs w:val="22"/>
          <w:lang w:val="es-CL"/>
        </w:rPr>
        <w:t xml:space="preserve">Jackson, Lorenzini, Melero, Núñez (Presidente), Ortiz, Pérez, Ramírez, Santana, Schilling y Von Mühlenbrock. </w:t>
      </w:r>
    </w:p>
    <w:p w14:paraId="29DAD976" w14:textId="77777777" w:rsidR="008C5E38" w:rsidRDefault="00392D54" w:rsidP="00392D54">
      <w:pPr>
        <w:shd w:val="clear" w:color="auto" w:fill="FFFFFF"/>
        <w:tabs>
          <w:tab w:val="left" w:pos="-284"/>
          <w:tab w:val="left" w:pos="0"/>
          <w:tab w:val="left" w:pos="1701"/>
        </w:tabs>
        <w:spacing w:line="276" w:lineRule="auto"/>
        <w:jc w:val="center"/>
        <w:rPr>
          <w:rFonts w:ascii="Arial" w:hAnsi="Arial" w:cs="Arial"/>
          <w:sz w:val="22"/>
          <w:szCs w:val="22"/>
        </w:rPr>
      </w:pPr>
      <w:r>
        <w:rPr>
          <w:rFonts w:ascii="Arial" w:hAnsi="Arial" w:cs="Arial"/>
          <w:sz w:val="22"/>
          <w:szCs w:val="22"/>
        </w:rPr>
        <w:t>*******</w:t>
      </w:r>
    </w:p>
    <w:p w14:paraId="4BD55BC2" w14:textId="77777777" w:rsidR="00AB2E37" w:rsidRDefault="00AB2E37" w:rsidP="00421BAF">
      <w:pPr>
        <w:shd w:val="clear" w:color="auto" w:fill="FFFFFF"/>
        <w:tabs>
          <w:tab w:val="left" w:pos="-284"/>
          <w:tab w:val="left" w:pos="0"/>
          <w:tab w:val="left" w:pos="1701"/>
        </w:tabs>
        <w:spacing w:line="276" w:lineRule="auto"/>
        <w:ind w:firstLine="1701"/>
        <w:jc w:val="both"/>
        <w:rPr>
          <w:rFonts w:ascii="Arial" w:hAnsi="Arial" w:cs="Arial"/>
          <w:sz w:val="22"/>
          <w:szCs w:val="22"/>
        </w:rPr>
      </w:pPr>
    </w:p>
    <w:p w14:paraId="532DFDCA" w14:textId="77777777" w:rsidR="00AB2E37" w:rsidRPr="0072475C" w:rsidRDefault="00AB2E37" w:rsidP="00AB2E37">
      <w:pPr>
        <w:tabs>
          <w:tab w:val="left" w:pos="2268"/>
        </w:tabs>
        <w:spacing w:after="200" w:line="276" w:lineRule="auto"/>
        <w:ind w:firstLine="1701"/>
        <w:jc w:val="both"/>
        <w:rPr>
          <w:rFonts w:ascii="Arial" w:hAnsi="Arial" w:cs="Arial"/>
          <w:spacing w:val="-3"/>
          <w:sz w:val="22"/>
          <w:szCs w:val="22"/>
          <w:lang w:val="es-CL" w:eastAsia="en-US" w:bidi="en-US"/>
        </w:rPr>
      </w:pPr>
      <w:r w:rsidRPr="0072475C">
        <w:rPr>
          <w:rFonts w:ascii="Arial" w:hAnsi="Arial" w:cs="Arial"/>
          <w:spacing w:val="-3"/>
          <w:sz w:val="22"/>
          <w:szCs w:val="22"/>
          <w:lang w:val="es-CL" w:eastAsia="en-US" w:bidi="en-US"/>
        </w:rPr>
        <w:t xml:space="preserve">Por las razones señaladas y consideraciones que expondrá </w:t>
      </w:r>
      <w:r>
        <w:rPr>
          <w:rFonts w:ascii="Arial" w:hAnsi="Arial" w:cs="Arial"/>
          <w:spacing w:val="-3"/>
          <w:sz w:val="22"/>
          <w:szCs w:val="22"/>
          <w:lang w:val="es-CL" w:eastAsia="en-US" w:bidi="en-US"/>
        </w:rPr>
        <w:t>la señora</w:t>
      </w:r>
      <w:r w:rsidRPr="0072475C">
        <w:rPr>
          <w:rFonts w:ascii="Arial" w:hAnsi="Arial" w:cs="Arial"/>
          <w:spacing w:val="-3"/>
          <w:sz w:val="22"/>
          <w:szCs w:val="22"/>
          <w:lang w:val="es-CL" w:eastAsia="en-US" w:bidi="en-US"/>
        </w:rPr>
        <w:t xml:space="preserve"> Diputad</w:t>
      </w:r>
      <w:r>
        <w:rPr>
          <w:rFonts w:ascii="Arial" w:hAnsi="Arial" w:cs="Arial"/>
          <w:spacing w:val="-3"/>
          <w:sz w:val="22"/>
          <w:szCs w:val="22"/>
          <w:lang w:val="es-CL" w:eastAsia="en-US" w:bidi="en-US"/>
        </w:rPr>
        <w:t>a</w:t>
      </w:r>
      <w:r w:rsidRPr="0072475C">
        <w:rPr>
          <w:rFonts w:ascii="Arial" w:hAnsi="Arial" w:cs="Arial"/>
          <w:spacing w:val="-3"/>
          <w:sz w:val="22"/>
          <w:szCs w:val="22"/>
          <w:lang w:val="es-CL" w:eastAsia="en-US" w:bidi="en-US"/>
        </w:rPr>
        <w:t xml:space="preserve"> Informante, la Comisión de Hacienda recomienda aprobar el proyecto de acuerdo sometido a consideración, en la forma explicada.</w:t>
      </w:r>
    </w:p>
    <w:p w14:paraId="266DFFD5" w14:textId="77777777" w:rsidR="00AB2E37" w:rsidRPr="0072475C" w:rsidRDefault="00AB2E37" w:rsidP="00AB2E37">
      <w:pPr>
        <w:tabs>
          <w:tab w:val="left" w:pos="2835"/>
        </w:tabs>
        <w:spacing w:before="240" w:after="240" w:line="276" w:lineRule="auto"/>
        <w:jc w:val="center"/>
        <w:rPr>
          <w:rFonts w:ascii="Arial" w:hAnsi="Arial" w:cs="Arial"/>
          <w:spacing w:val="-3"/>
          <w:sz w:val="22"/>
          <w:szCs w:val="22"/>
        </w:rPr>
      </w:pPr>
      <w:r w:rsidRPr="0072475C">
        <w:rPr>
          <w:rFonts w:ascii="Arial" w:hAnsi="Arial" w:cs="Arial"/>
          <w:sz w:val="22"/>
          <w:szCs w:val="22"/>
          <w:lang w:val="es-MX"/>
        </w:rPr>
        <w:t>*******</w:t>
      </w:r>
    </w:p>
    <w:p w14:paraId="4DDA325E" w14:textId="17A98B19" w:rsidR="00884234" w:rsidRDefault="00884234">
      <w:pPr>
        <w:spacing w:after="200" w:line="276" w:lineRule="auto"/>
        <w:rPr>
          <w:rFonts w:ascii="Arial" w:hAnsi="Arial" w:cs="Arial"/>
          <w:sz w:val="22"/>
          <w:szCs w:val="22"/>
        </w:rPr>
      </w:pPr>
      <w:r>
        <w:rPr>
          <w:rFonts w:ascii="Arial" w:hAnsi="Arial" w:cs="Arial"/>
          <w:sz w:val="22"/>
          <w:szCs w:val="22"/>
        </w:rPr>
        <w:br w:type="page"/>
      </w:r>
    </w:p>
    <w:p w14:paraId="5E49FA79" w14:textId="77777777" w:rsidR="00CF7FD2" w:rsidRDefault="00CF7FD2" w:rsidP="00B1035C">
      <w:pPr>
        <w:spacing w:line="276" w:lineRule="auto"/>
        <w:ind w:firstLine="1701"/>
        <w:jc w:val="both"/>
        <w:rPr>
          <w:rFonts w:ascii="Arial" w:hAnsi="Arial" w:cs="Arial"/>
          <w:sz w:val="22"/>
          <w:szCs w:val="22"/>
        </w:rPr>
      </w:pPr>
    </w:p>
    <w:p w14:paraId="64FC52DD" w14:textId="77777777" w:rsidR="00B1035C" w:rsidRPr="00B1035C" w:rsidRDefault="00AB2E37" w:rsidP="00B1035C">
      <w:pPr>
        <w:spacing w:line="276" w:lineRule="auto"/>
        <w:ind w:firstLine="1701"/>
        <w:jc w:val="both"/>
        <w:rPr>
          <w:rFonts w:ascii="Arial" w:hAnsi="Arial" w:cs="Arial"/>
          <w:sz w:val="22"/>
          <w:szCs w:val="22"/>
        </w:rPr>
      </w:pPr>
      <w:r w:rsidRPr="0072475C">
        <w:rPr>
          <w:rFonts w:ascii="Arial" w:hAnsi="Arial" w:cs="Arial"/>
          <w:sz w:val="22"/>
          <w:szCs w:val="22"/>
        </w:rPr>
        <w:t xml:space="preserve">Tratado y acordado en sesión celebrada el </w:t>
      </w:r>
      <w:r w:rsidR="00B1035C">
        <w:rPr>
          <w:rFonts w:ascii="Arial" w:hAnsi="Arial" w:cs="Arial"/>
          <w:sz w:val="22"/>
          <w:szCs w:val="22"/>
        </w:rPr>
        <w:t>2 de octubre de 2019</w:t>
      </w:r>
      <w:r w:rsidRPr="0072475C">
        <w:rPr>
          <w:rFonts w:ascii="Arial" w:hAnsi="Arial" w:cs="Arial"/>
          <w:sz w:val="22"/>
          <w:szCs w:val="22"/>
        </w:rPr>
        <w:t xml:space="preserve">, con la asistencia de los diputados </w:t>
      </w:r>
      <w:r w:rsidRPr="00B1035C">
        <w:rPr>
          <w:rFonts w:ascii="Arial" w:hAnsi="Arial" w:cs="Arial"/>
          <w:sz w:val="22"/>
          <w:szCs w:val="22"/>
        </w:rPr>
        <w:t>señores</w:t>
      </w:r>
      <w:r w:rsidR="00392D54">
        <w:rPr>
          <w:rFonts w:ascii="Arial" w:hAnsi="Arial" w:cs="Arial"/>
          <w:sz w:val="22"/>
          <w:szCs w:val="22"/>
        </w:rPr>
        <w:t xml:space="preserve"> (a)</w:t>
      </w:r>
      <w:r w:rsidRPr="00B1035C">
        <w:rPr>
          <w:rFonts w:ascii="Arial" w:hAnsi="Arial" w:cs="Arial"/>
          <w:sz w:val="22"/>
          <w:szCs w:val="22"/>
        </w:rPr>
        <w:t xml:space="preserve"> </w:t>
      </w:r>
      <w:r w:rsidR="00B1035C" w:rsidRPr="00B1035C">
        <w:rPr>
          <w:rFonts w:ascii="Arial" w:hAnsi="Arial" w:cs="Arial"/>
          <w:sz w:val="22"/>
          <w:szCs w:val="22"/>
        </w:rPr>
        <w:t>Sofía Cid Versalovic</w:t>
      </w:r>
      <w:r w:rsidR="00392D54">
        <w:rPr>
          <w:rFonts w:ascii="Arial" w:hAnsi="Arial" w:cs="Arial"/>
          <w:sz w:val="22"/>
          <w:szCs w:val="22"/>
        </w:rPr>
        <w:t>,</w:t>
      </w:r>
      <w:r w:rsidR="00B1035C" w:rsidRPr="00B1035C">
        <w:rPr>
          <w:rFonts w:ascii="Arial" w:hAnsi="Arial" w:cs="Arial"/>
          <w:sz w:val="22"/>
          <w:szCs w:val="22"/>
        </w:rPr>
        <w:t xml:space="preserve"> Giorgio Jackson Drago</w:t>
      </w:r>
      <w:r w:rsidR="00392D54">
        <w:rPr>
          <w:rFonts w:ascii="Arial" w:hAnsi="Arial" w:cs="Arial"/>
          <w:sz w:val="22"/>
          <w:szCs w:val="22"/>
        </w:rPr>
        <w:t>,</w:t>
      </w:r>
      <w:r w:rsidR="00B1035C" w:rsidRPr="00B1035C">
        <w:rPr>
          <w:rFonts w:ascii="Arial" w:hAnsi="Arial" w:cs="Arial"/>
          <w:sz w:val="22"/>
          <w:szCs w:val="22"/>
        </w:rPr>
        <w:t xml:space="preserve"> Pablo Lorenzini Basso</w:t>
      </w:r>
      <w:r w:rsidR="00392D54">
        <w:rPr>
          <w:rFonts w:ascii="Arial" w:hAnsi="Arial" w:cs="Arial"/>
          <w:sz w:val="22"/>
          <w:szCs w:val="22"/>
        </w:rPr>
        <w:t>,</w:t>
      </w:r>
      <w:r w:rsidR="00B1035C" w:rsidRPr="00B1035C">
        <w:rPr>
          <w:rFonts w:ascii="Arial" w:hAnsi="Arial" w:cs="Arial"/>
          <w:sz w:val="22"/>
          <w:szCs w:val="22"/>
        </w:rPr>
        <w:t xml:space="preserve"> Patricio Melero Abaroa</w:t>
      </w:r>
      <w:r w:rsidR="00392D54">
        <w:rPr>
          <w:rFonts w:ascii="Arial" w:hAnsi="Arial" w:cs="Arial"/>
          <w:sz w:val="22"/>
          <w:szCs w:val="22"/>
        </w:rPr>
        <w:t>,</w:t>
      </w:r>
      <w:r w:rsidR="00B1035C" w:rsidRPr="00B1035C">
        <w:rPr>
          <w:rFonts w:ascii="Arial" w:hAnsi="Arial" w:cs="Arial"/>
          <w:sz w:val="22"/>
          <w:szCs w:val="22"/>
        </w:rPr>
        <w:t xml:space="preserve"> Manuel Monsalve Benavides</w:t>
      </w:r>
      <w:r w:rsidR="00392D54">
        <w:rPr>
          <w:rFonts w:ascii="Arial" w:hAnsi="Arial" w:cs="Arial"/>
          <w:sz w:val="22"/>
          <w:szCs w:val="22"/>
        </w:rPr>
        <w:t>,</w:t>
      </w:r>
      <w:r w:rsidR="00B1035C" w:rsidRPr="00B1035C">
        <w:rPr>
          <w:rFonts w:ascii="Arial" w:hAnsi="Arial" w:cs="Arial"/>
          <w:sz w:val="22"/>
          <w:szCs w:val="22"/>
        </w:rPr>
        <w:t xml:space="preserve">  Daniel Núñez Arancibia</w:t>
      </w:r>
      <w:r w:rsidR="00392D54">
        <w:rPr>
          <w:rFonts w:ascii="Arial" w:hAnsi="Arial" w:cs="Arial"/>
          <w:sz w:val="22"/>
          <w:szCs w:val="22"/>
        </w:rPr>
        <w:t xml:space="preserve"> (Presidente),</w:t>
      </w:r>
      <w:r w:rsidR="00B1035C" w:rsidRPr="00B1035C">
        <w:rPr>
          <w:rFonts w:ascii="Arial" w:hAnsi="Arial" w:cs="Arial"/>
          <w:sz w:val="22"/>
          <w:szCs w:val="22"/>
        </w:rPr>
        <w:t xml:space="preserve"> José Miguel Ortiz Novoa</w:t>
      </w:r>
      <w:r w:rsidR="00392D54">
        <w:rPr>
          <w:rFonts w:ascii="Arial" w:hAnsi="Arial" w:cs="Arial"/>
          <w:sz w:val="22"/>
          <w:szCs w:val="22"/>
        </w:rPr>
        <w:t>,</w:t>
      </w:r>
      <w:r w:rsidR="00B1035C" w:rsidRPr="00B1035C">
        <w:rPr>
          <w:rFonts w:ascii="Arial" w:hAnsi="Arial" w:cs="Arial"/>
          <w:sz w:val="22"/>
          <w:szCs w:val="22"/>
        </w:rPr>
        <w:t xml:space="preserve"> Leopoldo Perez Lahsen</w:t>
      </w:r>
      <w:r w:rsidR="00392D54">
        <w:rPr>
          <w:rFonts w:ascii="Arial" w:hAnsi="Arial" w:cs="Arial"/>
          <w:sz w:val="22"/>
          <w:szCs w:val="22"/>
        </w:rPr>
        <w:t>,</w:t>
      </w:r>
      <w:r w:rsidR="00B1035C" w:rsidRPr="00B1035C">
        <w:rPr>
          <w:rFonts w:ascii="Arial" w:hAnsi="Arial" w:cs="Arial"/>
          <w:sz w:val="22"/>
          <w:szCs w:val="22"/>
        </w:rPr>
        <w:t xml:space="preserve"> Guillermo Ramírez Diez</w:t>
      </w:r>
      <w:r w:rsidR="00392D54">
        <w:rPr>
          <w:rFonts w:ascii="Arial" w:hAnsi="Arial" w:cs="Arial"/>
          <w:sz w:val="22"/>
          <w:szCs w:val="22"/>
        </w:rPr>
        <w:t>,</w:t>
      </w:r>
      <w:r w:rsidR="00B1035C" w:rsidRPr="00B1035C">
        <w:rPr>
          <w:rFonts w:ascii="Arial" w:hAnsi="Arial" w:cs="Arial"/>
          <w:sz w:val="22"/>
          <w:szCs w:val="22"/>
        </w:rPr>
        <w:t xml:space="preserve"> Alejandro Santana Tirachini</w:t>
      </w:r>
      <w:r w:rsidR="00392D54">
        <w:rPr>
          <w:rFonts w:ascii="Arial" w:hAnsi="Arial" w:cs="Arial"/>
          <w:sz w:val="22"/>
          <w:szCs w:val="22"/>
        </w:rPr>
        <w:t>,</w:t>
      </w:r>
      <w:r w:rsidR="00B1035C" w:rsidRPr="00B1035C">
        <w:rPr>
          <w:rFonts w:ascii="Arial" w:hAnsi="Arial" w:cs="Arial"/>
          <w:sz w:val="22"/>
          <w:szCs w:val="22"/>
        </w:rPr>
        <w:t xml:space="preserve"> Marcelo Schilling Rodríguez</w:t>
      </w:r>
      <w:r w:rsidR="00392D54">
        <w:rPr>
          <w:rFonts w:ascii="Arial" w:hAnsi="Arial" w:cs="Arial"/>
          <w:sz w:val="22"/>
          <w:szCs w:val="22"/>
        </w:rPr>
        <w:t xml:space="preserve"> y </w:t>
      </w:r>
      <w:r w:rsidR="00B1035C" w:rsidRPr="00B1035C">
        <w:rPr>
          <w:rFonts w:ascii="Arial" w:hAnsi="Arial" w:cs="Arial"/>
          <w:sz w:val="22"/>
          <w:szCs w:val="22"/>
        </w:rPr>
        <w:t>Gastón Von Mühlenbrock Zamora.</w:t>
      </w:r>
    </w:p>
    <w:p w14:paraId="3F03C2E0" w14:textId="77777777" w:rsidR="00AB2E37" w:rsidRPr="00B1035C" w:rsidRDefault="00AB2E37" w:rsidP="00B1035C">
      <w:pPr>
        <w:tabs>
          <w:tab w:val="left" w:pos="-284"/>
          <w:tab w:val="left" w:pos="0"/>
          <w:tab w:val="left" w:pos="851"/>
        </w:tabs>
        <w:spacing w:line="276" w:lineRule="auto"/>
        <w:ind w:right="51" w:firstLine="1701"/>
        <w:jc w:val="both"/>
        <w:rPr>
          <w:rFonts w:ascii="Arial" w:hAnsi="Arial" w:cs="Arial"/>
          <w:sz w:val="22"/>
          <w:szCs w:val="22"/>
        </w:rPr>
      </w:pPr>
    </w:p>
    <w:p w14:paraId="22442841" w14:textId="77777777" w:rsidR="00AB2E37" w:rsidRPr="0072475C" w:rsidRDefault="00AB2E37" w:rsidP="00AB2E37">
      <w:pPr>
        <w:tabs>
          <w:tab w:val="left" w:pos="-284"/>
          <w:tab w:val="left" w:pos="0"/>
          <w:tab w:val="left" w:pos="851"/>
        </w:tabs>
        <w:spacing w:line="276" w:lineRule="auto"/>
        <w:ind w:right="51" w:firstLine="1701"/>
        <w:jc w:val="right"/>
        <w:rPr>
          <w:rFonts w:ascii="Arial" w:hAnsi="Arial" w:cs="Arial"/>
          <w:sz w:val="22"/>
          <w:szCs w:val="22"/>
        </w:rPr>
      </w:pPr>
      <w:r w:rsidRPr="0072475C">
        <w:rPr>
          <w:rFonts w:ascii="Arial" w:hAnsi="Arial" w:cs="Arial"/>
          <w:sz w:val="22"/>
          <w:szCs w:val="22"/>
        </w:rPr>
        <w:t xml:space="preserve">Sala de la Comisión, a </w:t>
      </w:r>
      <w:r w:rsidR="00392D54">
        <w:rPr>
          <w:rFonts w:ascii="Arial" w:hAnsi="Arial" w:cs="Arial"/>
          <w:sz w:val="22"/>
          <w:szCs w:val="22"/>
        </w:rPr>
        <w:t>2 de octubre de 2019.</w:t>
      </w:r>
      <w:r w:rsidRPr="0072475C">
        <w:rPr>
          <w:rFonts w:ascii="Arial" w:hAnsi="Arial" w:cs="Arial"/>
          <w:sz w:val="22"/>
          <w:szCs w:val="22"/>
        </w:rPr>
        <w:t xml:space="preserve"> </w:t>
      </w:r>
    </w:p>
    <w:p w14:paraId="2BC91484" w14:textId="77777777" w:rsidR="00AB2E37" w:rsidRDefault="00AB2E37" w:rsidP="00AB2E37">
      <w:pPr>
        <w:tabs>
          <w:tab w:val="left" w:pos="-284"/>
          <w:tab w:val="left" w:pos="0"/>
          <w:tab w:val="left" w:pos="3402"/>
        </w:tabs>
        <w:spacing w:line="276" w:lineRule="auto"/>
        <w:ind w:right="51" w:firstLine="1701"/>
        <w:jc w:val="both"/>
        <w:rPr>
          <w:rFonts w:ascii="Arial" w:hAnsi="Arial" w:cs="Arial"/>
          <w:sz w:val="22"/>
          <w:szCs w:val="22"/>
        </w:rPr>
      </w:pPr>
    </w:p>
    <w:p w14:paraId="65E1344D" w14:textId="77777777" w:rsidR="00450ACF" w:rsidRPr="0072475C" w:rsidRDefault="00450ACF" w:rsidP="00AB2E37">
      <w:pPr>
        <w:tabs>
          <w:tab w:val="left" w:pos="-284"/>
          <w:tab w:val="left" w:pos="0"/>
          <w:tab w:val="left" w:pos="3402"/>
        </w:tabs>
        <w:spacing w:line="276" w:lineRule="auto"/>
        <w:ind w:right="51" w:firstLine="1701"/>
        <w:jc w:val="both"/>
        <w:rPr>
          <w:rFonts w:ascii="Arial" w:hAnsi="Arial" w:cs="Arial"/>
          <w:sz w:val="22"/>
          <w:szCs w:val="22"/>
        </w:rPr>
      </w:pPr>
    </w:p>
    <w:p w14:paraId="5C24C9B1" w14:textId="77777777" w:rsidR="00AB2E37" w:rsidRDefault="00AB2E37" w:rsidP="00AB2E37">
      <w:pPr>
        <w:tabs>
          <w:tab w:val="left" w:pos="-284"/>
          <w:tab w:val="left" w:pos="0"/>
          <w:tab w:val="left" w:pos="3402"/>
        </w:tabs>
        <w:spacing w:line="276" w:lineRule="auto"/>
        <w:ind w:right="51" w:firstLine="1701"/>
        <w:jc w:val="both"/>
        <w:rPr>
          <w:rFonts w:ascii="Arial" w:hAnsi="Arial" w:cs="Arial"/>
          <w:sz w:val="22"/>
          <w:szCs w:val="22"/>
        </w:rPr>
      </w:pPr>
    </w:p>
    <w:p w14:paraId="47ACF386" w14:textId="77777777" w:rsidR="00884234" w:rsidRPr="0072475C" w:rsidRDefault="00884234" w:rsidP="00AB2E37">
      <w:pPr>
        <w:tabs>
          <w:tab w:val="left" w:pos="-284"/>
          <w:tab w:val="left" w:pos="0"/>
          <w:tab w:val="left" w:pos="3402"/>
        </w:tabs>
        <w:spacing w:line="276" w:lineRule="auto"/>
        <w:ind w:right="51" w:firstLine="1701"/>
        <w:jc w:val="both"/>
        <w:rPr>
          <w:rFonts w:ascii="Arial" w:hAnsi="Arial" w:cs="Arial"/>
          <w:sz w:val="22"/>
          <w:szCs w:val="22"/>
        </w:rPr>
      </w:pPr>
    </w:p>
    <w:p w14:paraId="7173C405" w14:textId="77777777" w:rsidR="00AB2E37" w:rsidRPr="0072475C" w:rsidRDefault="00AB2E37" w:rsidP="00AB2E37">
      <w:pPr>
        <w:tabs>
          <w:tab w:val="left" w:pos="-284"/>
          <w:tab w:val="left" w:pos="0"/>
          <w:tab w:val="left" w:pos="3402"/>
        </w:tabs>
        <w:spacing w:line="276" w:lineRule="auto"/>
        <w:ind w:right="51"/>
        <w:jc w:val="center"/>
        <w:rPr>
          <w:rFonts w:ascii="Arial" w:hAnsi="Arial" w:cs="Arial"/>
          <w:b/>
          <w:sz w:val="22"/>
          <w:szCs w:val="22"/>
        </w:rPr>
      </w:pPr>
      <w:r w:rsidRPr="0072475C">
        <w:rPr>
          <w:rFonts w:ascii="Arial" w:hAnsi="Arial" w:cs="Arial"/>
          <w:b/>
          <w:sz w:val="22"/>
          <w:szCs w:val="22"/>
        </w:rPr>
        <w:t>MARÍA EUGENIA SILVA FERRER</w:t>
      </w:r>
    </w:p>
    <w:p w14:paraId="406A5E0B" w14:textId="7DE72716" w:rsidR="00AB2E37" w:rsidRPr="005B3558" w:rsidRDefault="00AB2E37" w:rsidP="00450ACF">
      <w:pPr>
        <w:tabs>
          <w:tab w:val="left" w:pos="-284"/>
          <w:tab w:val="left" w:pos="0"/>
          <w:tab w:val="left" w:pos="4751"/>
        </w:tabs>
        <w:spacing w:line="276" w:lineRule="auto"/>
        <w:ind w:right="51"/>
        <w:jc w:val="center"/>
        <w:rPr>
          <w:rFonts w:ascii="Arial" w:hAnsi="Arial" w:cs="Arial"/>
          <w:sz w:val="22"/>
          <w:szCs w:val="22"/>
        </w:rPr>
      </w:pPr>
      <w:r w:rsidRPr="0072475C">
        <w:rPr>
          <w:rFonts w:ascii="Arial" w:hAnsi="Arial" w:cs="Arial"/>
          <w:sz w:val="22"/>
          <w:szCs w:val="22"/>
        </w:rPr>
        <w:t xml:space="preserve">Abogado Secretaria de la Comisión </w:t>
      </w:r>
    </w:p>
    <w:sectPr w:rsidR="00AB2E37" w:rsidRPr="005B3558" w:rsidSect="0005005E">
      <w:headerReference w:type="default" r:id="rId10"/>
      <w:pgSz w:w="12240" w:h="20160" w:code="5"/>
      <w:pgMar w:top="2268" w:right="1701" w:bottom="192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30940" w14:textId="77777777" w:rsidR="00751632" w:rsidRDefault="00751632" w:rsidP="00751632">
      <w:r>
        <w:separator/>
      </w:r>
    </w:p>
  </w:endnote>
  <w:endnote w:type="continuationSeparator" w:id="0">
    <w:p w14:paraId="673B5A61" w14:textId="77777777" w:rsidR="00751632" w:rsidRDefault="00751632" w:rsidP="0075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492FE" w14:textId="77777777" w:rsidR="00751632" w:rsidRDefault="00751632" w:rsidP="00751632">
      <w:r>
        <w:separator/>
      </w:r>
    </w:p>
  </w:footnote>
  <w:footnote w:type="continuationSeparator" w:id="0">
    <w:p w14:paraId="65A9CBDA" w14:textId="77777777" w:rsidR="00751632" w:rsidRDefault="00751632" w:rsidP="00751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690546"/>
      <w:docPartObj>
        <w:docPartGallery w:val="Page Numbers (Top of Page)"/>
        <w:docPartUnique/>
      </w:docPartObj>
    </w:sdtPr>
    <w:sdtEndPr/>
    <w:sdtContent>
      <w:p w14:paraId="74927A16" w14:textId="086503A4" w:rsidR="00751632" w:rsidRDefault="00751632">
        <w:pPr>
          <w:pStyle w:val="Encabezado"/>
          <w:jc w:val="right"/>
        </w:pPr>
        <w:r>
          <w:fldChar w:fldCharType="begin"/>
        </w:r>
        <w:r>
          <w:instrText>PAGE   \* MERGEFORMAT</w:instrText>
        </w:r>
        <w:r>
          <w:fldChar w:fldCharType="separate"/>
        </w:r>
        <w:r w:rsidR="00233C0F" w:rsidRPr="00233C0F">
          <w:rPr>
            <w:noProof/>
            <w:lang w:val="es-ES"/>
          </w:rPr>
          <w:t>5</w:t>
        </w:r>
        <w:r>
          <w:fldChar w:fldCharType="end"/>
        </w:r>
      </w:p>
    </w:sdtContent>
  </w:sdt>
  <w:p w14:paraId="577D04CE" w14:textId="77777777" w:rsidR="00751632" w:rsidRDefault="007516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046F"/>
    <w:multiLevelType w:val="hybridMultilevel"/>
    <w:tmpl w:val="EC284138"/>
    <w:lvl w:ilvl="0" w:tplc="7B54BA72">
      <w:start w:val="1"/>
      <w:numFmt w:val="upperRoman"/>
      <w:pStyle w:val="Ttulo1"/>
      <w:lvlText w:val="%1."/>
      <w:lvlJc w:val="left"/>
      <w:pPr>
        <w:tabs>
          <w:tab w:val="num" w:pos="3828"/>
        </w:tabs>
        <w:ind w:left="3828" w:hanging="709"/>
      </w:pPr>
      <w:rPr>
        <w:rFonts w:ascii="Courier New" w:hAnsi="Courier New" w:cs="Times New Roman" w:hint="default"/>
        <w:b/>
        <w:i w:val="0"/>
        <w:caps/>
        <w:strike w:val="0"/>
        <w:dstrike w:val="0"/>
        <w:vanish w:val="0"/>
        <w:color w:val="000000"/>
        <w:sz w:val="24"/>
        <w:szCs w:val="24"/>
        <w:vertAlign w:val="baseline"/>
      </w:rPr>
    </w:lvl>
    <w:lvl w:ilvl="1" w:tplc="B1BE4BCC">
      <w:start w:val="1"/>
      <w:numFmt w:val="lowerLetter"/>
      <w:lvlText w:val="%2."/>
      <w:lvlJc w:val="left"/>
      <w:pPr>
        <w:tabs>
          <w:tab w:val="num" w:pos="872"/>
        </w:tabs>
        <w:ind w:left="872" w:hanging="360"/>
      </w:pPr>
      <w:rPr>
        <w:rFonts w:cs="Times New Roman"/>
      </w:rPr>
    </w:lvl>
    <w:lvl w:ilvl="2" w:tplc="417CC640">
      <w:start w:val="1"/>
      <w:numFmt w:val="lowerRoman"/>
      <w:lvlText w:val="%3."/>
      <w:lvlJc w:val="right"/>
      <w:pPr>
        <w:tabs>
          <w:tab w:val="num" w:pos="1592"/>
        </w:tabs>
        <w:ind w:left="1592" w:hanging="180"/>
      </w:pPr>
      <w:rPr>
        <w:rFonts w:cs="Times New Roman"/>
      </w:rPr>
    </w:lvl>
    <w:lvl w:ilvl="3" w:tplc="0BAADA66">
      <w:start w:val="1"/>
      <w:numFmt w:val="decimal"/>
      <w:lvlText w:val="%4."/>
      <w:lvlJc w:val="left"/>
      <w:pPr>
        <w:tabs>
          <w:tab w:val="num" w:pos="2312"/>
        </w:tabs>
        <w:ind w:left="2312" w:hanging="360"/>
      </w:pPr>
      <w:rPr>
        <w:rFonts w:cs="Times New Roman"/>
      </w:rPr>
    </w:lvl>
    <w:lvl w:ilvl="4" w:tplc="F650EE00">
      <w:start w:val="1"/>
      <w:numFmt w:val="lowerLetter"/>
      <w:lvlText w:val="%5."/>
      <w:lvlJc w:val="left"/>
      <w:pPr>
        <w:tabs>
          <w:tab w:val="num" w:pos="3032"/>
        </w:tabs>
        <w:ind w:left="3032" w:hanging="360"/>
      </w:pPr>
      <w:rPr>
        <w:rFonts w:cs="Times New Roman"/>
      </w:rPr>
    </w:lvl>
    <w:lvl w:ilvl="5" w:tplc="0D1648D4" w:tentative="1">
      <w:start w:val="1"/>
      <w:numFmt w:val="lowerRoman"/>
      <w:lvlText w:val="%6."/>
      <w:lvlJc w:val="right"/>
      <w:pPr>
        <w:tabs>
          <w:tab w:val="num" w:pos="3752"/>
        </w:tabs>
        <w:ind w:left="3752" w:hanging="180"/>
      </w:pPr>
      <w:rPr>
        <w:rFonts w:cs="Times New Roman"/>
      </w:rPr>
    </w:lvl>
    <w:lvl w:ilvl="6" w:tplc="7388BEB6" w:tentative="1">
      <w:start w:val="1"/>
      <w:numFmt w:val="decimal"/>
      <w:lvlText w:val="%7."/>
      <w:lvlJc w:val="left"/>
      <w:pPr>
        <w:tabs>
          <w:tab w:val="num" w:pos="4472"/>
        </w:tabs>
        <w:ind w:left="4472" w:hanging="360"/>
      </w:pPr>
      <w:rPr>
        <w:rFonts w:cs="Times New Roman"/>
      </w:rPr>
    </w:lvl>
    <w:lvl w:ilvl="7" w:tplc="DABCF1A0" w:tentative="1">
      <w:start w:val="1"/>
      <w:numFmt w:val="lowerLetter"/>
      <w:lvlText w:val="%8."/>
      <w:lvlJc w:val="left"/>
      <w:pPr>
        <w:tabs>
          <w:tab w:val="num" w:pos="5192"/>
        </w:tabs>
        <w:ind w:left="5192" w:hanging="360"/>
      </w:pPr>
      <w:rPr>
        <w:rFonts w:cs="Times New Roman"/>
      </w:rPr>
    </w:lvl>
    <w:lvl w:ilvl="8" w:tplc="12AA6AE2" w:tentative="1">
      <w:start w:val="1"/>
      <w:numFmt w:val="lowerRoman"/>
      <w:lvlText w:val="%9."/>
      <w:lvlJc w:val="right"/>
      <w:pPr>
        <w:tabs>
          <w:tab w:val="num" w:pos="5912"/>
        </w:tabs>
        <w:ind w:left="5912" w:hanging="180"/>
      </w:pPr>
      <w:rPr>
        <w:rFonts w:cs="Times New Roman"/>
      </w:rPr>
    </w:lvl>
  </w:abstractNum>
  <w:abstractNum w:abstractNumId="1" w15:restartNumberingAfterBreak="0">
    <w:nsid w:val="39453D90"/>
    <w:multiLevelType w:val="hybridMultilevel"/>
    <w:tmpl w:val="0E3201F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739161A"/>
    <w:multiLevelType w:val="multilevel"/>
    <w:tmpl w:val="EF5C1F6A"/>
    <w:lvl w:ilvl="0">
      <w:start w:val="1"/>
      <w:numFmt w:val="decimal"/>
      <w:pStyle w:val="Estilo"/>
      <w:lvlText w:val="%1."/>
      <w:lvlJc w:val="left"/>
      <w:pPr>
        <w:tabs>
          <w:tab w:val="num" w:pos="3195"/>
        </w:tabs>
        <w:ind w:left="2835" w:firstLine="0"/>
      </w:pPr>
      <w:rPr>
        <w:rFonts w:ascii="Courier" w:hAnsi="Courier" w:cs="Times New Roman" w:hint="default"/>
        <w:b/>
        <w:i w:val="0"/>
        <w:caps/>
        <w:strike w:val="0"/>
        <w:dstrike w:val="0"/>
        <w:vanish w:val="0"/>
        <w:webHidden w:val="0"/>
        <w:color w:val="000000"/>
        <w:sz w:val="24"/>
        <w:u w:val="none"/>
        <w:effect w:val="none"/>
        <w:vertAlign w:val="baseline"/>
        <w:specVanish w:val="0"/>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3" w15:restartNumberingAfterBreak="0">
    <w:nsid w:val="636268BE"/>
    <w:multiLevelType w:val="hybridMultilevel"/>
    <w:tmpl w:val="90D23FBE"/>
    <w:lvl w:ilvl="0" w:tplc="A94078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ACE14BB"/>
    <w:multiLevelType w:val="hybridMultilevel"/>
    <w:tmpl w:val="182C8F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0"/>
    <w:rsid w:val="00005DD7"/>
    <w:rsid w:val="0005005E"/>
    <w:rsid w:val="00085A80"/>
    <w:rsid w:val="000936A1"/>
    <w:rsid w:val="000A7D3A"/>
    <w:rsid w:val="000C1B11"/>
    <w:rsid w:val="000E679A"/>
    <w:rsid w:val="001255F7"/>
    <w:rsid w:val="001608E2"/>
    <w:rsid w:val="0017682E"/>
    <w:rsid w:val="001C093C"/>
    <w:rsid w:val="001F5A85"/>
    <w:rsid w:val="00233C0F"/>
    <w:rsid w:val="002827F9"/>
    <w:rsid w:val="00295F32"/>
    <w:rsid w:val="002D750A"/>
    <w:rsid w:val="00345868"/>
    <w:rsid w:val="00350CCD"/>
    <w:rsid w:val="003646E7"/>
    <w:rsid w:val="00392D54"/>
    <w:rsid w:val="003B3D95"/>
    <w:rsid w:val="003E487C"/>
    <w:rsid w:val="00412E36"/>
    <w:rsid w:val="00421BAF"/>
    <w:rsid w:val="00430B94"/>
    <w:rsid w:val="00432104"/>
    <w:rsid w:val="00450ACF"/>
    <w:rsid w:val="004F21FF"/>
    <w:rsid w:val="00503BE7"/>
    <w:rsid w:val="005B3558"/>
    <w:rsid w:val="005C68C0"/>
    <w:rsid w:val="006352EC"/>
    <w:rsid w:val="00664DA7"/>
    <w:rsid w:val="00687312"/>
    <w:rsid w:val="006B066F"/>
    <w:rsid w:val="006D61CF"/>
    <w:rsid w:val="00705A09"/>
    <w:rsid w:val="00751632"/>
    <w:rsid w:val="0075237D"/>
    <w:rsid w:val="00797EA6"/>
    <w:rsid w:val="007D0A8A"/>
    <w:rsid w:val="00871FF6"/>
    <w:rsid w:val="00884234"/>
    <w:rsid w:val="008C5E38"/>
    <w:rsid w:val="00926371"/>
    <w:rsid w:val="009303D4"/>
    <w:rsid w:val="00931FD3"/>
    <w:rsid w:val="00951C67"/>
    <w:rsid w:val="00995B2F"/>
    <w:rsid w:val="009B1DAB"/>
    <w:rsid w:val="00A60C1E"/>
    <w:rsid w:val="00A870A1"/>
    <w:rsid w:val="00AA341B"/>
    <w:rsid w:val="00AB2E37"/>
    <w:rsid w:val="00AC6EDE"/>
    <w:rsid w:val="00AD4E30"/>
    <w:rsid w:val="00B1035C"/>
    <w:rsid w:val="00B4156C"/>
    <w:rsid w:val="00B7528C"/>
    <w:rsid w:val="00BB044E"/>
    <w:rsid w:val="00BB1A92"/>
    <w:rsid w:val="00BE164D"/>
    <w:rsid w:val="00C17084"/>
    <w:rsid w:val="00C63E46"/>
    <w:rsid w:val="00C66D12"/>
    <w:rsid w:val="00C90811"/>
    <w:rsid w:val="00C9775C"/>
    <w:rsid w:val="00CF2DA0"/>
    <w:rsid w:val="00CF67AE"/>
    <w:rsid w:val="00CF7FD2"/>
    <w:rsid w:val="00D1367B"/>
    <w:rsid w:val="00DE1C86"/>
    <w:rsid w:val="00E07E79"/>
    <w:rsid w:val="00E548F2"/>
    <w:rsid w:val="00E86292"/>
    <w:rsid w:val="00F00FE2"/>
    <w:rsid w:val="00F52A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476A"/>
  <w15:docId w15:val="{9D11FA3F-A0E6-49BC-8DC4-62BF4192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A0"/>
    <w:pPr>
      <w:spacing w:after="0" w:line="240" w:lineRule="auto"/>
    </w:pPr>
    <w:rPr>
      <w:rFonts w:ascii="CG Times (WN)" w:eastAsia="Times New Roman" w:hAnsi="CG Times (WN)" w:cs="Times New Roman"/>
      <w:sz w:val="20"/>
      <w:szCs w:val="20"/>
      <w:lang w:val="es-ES_tradnl" w:eastAsia="es-ES"/>
    </w:rPr>
  </w:style>
  <w:style w:type="paragraph" w:styleId="Ttulo1">
    <w:name w:val="heading 1"/>
    <w:basedOn w:val="Normal"/>
    <w:next w:val="Normal"/>
    <w:link w:val="Ttulo1Car"/>
    <w:uiPriority w:val="99"/>
    <w:qFormat/>
    <w:rsid w:val="002827F9"/>
    <w:pPr>
      <w:keepNext/>
      <w:numPr>
        <w:numId w:val="3"/>
      </w:numPr>
      <w:tabs>
        <w:tab w:val="num" w:pos="4112"/>
      </w:tabs>
      <w:overflowPunct w:val="0"/>
      <w:autoSpaceDE w:val="0"/>
      <w:autoSpaceDN w:val="0"/>
      <w:adjustRightInd w:val="0"/>
      <w:spacing w:before="360" w:after="240"/>
      <w:ind w:left="4112"/>
      <w:jc w:val="both"/>
      <w:textAlignment w:val="baseline"/>
      <w:outlineLvl w:val="0"/>
    </w:pPr>
    <w:rPr>
      <w:rFonts w:ascii="Courier New" w:hAnsi="Courier New"/>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Normal"/>
    <w:next w:val="Sangradetextonormal"/>
    <w:uiPriority w:val="99"/>
    <w:rsid w:val="00345868"/>
    <w:pPr>
      <w:numPr>
        <w:ilvl w:val="8"/>
        <w:numId w:val="1"/>
      </w:numPr>
      <w:tabs>
        <w:tab w:val="num" w:pos="3195"/>
        <w:tab w:val="left" w:pos="3544"/>
      </w:tabs>
      <w:spacing w:before="240" w:after="120"/>
      <w:ind w:left="2835" w:firstLine="0"/>
      <w:jc w:val="both"/>
    </w:pPr>
    <w:rPr>
      <w:rFonts w:ascii="Courier" w:hAnsi="Courier"/>
      <w:spacing w:val="-3"/>
      <w:sz w:val="24"/>
    </w:rPr>
  </w:style>
  <w:style w:type="paragraph" w:styleId="Sangradetextonormal">
    <w:name w:val="Body Text Indent"/>
    <w:basedOn w:val="Normal"/>
    <w:link w:val="SangradetextonormalCar"/>
    <w:uiPriority w:val="99"/>
    <w:semiHidden/>
    <w:unhideWhenUsed/>
    <w:rsid w:val="00345868"/>
    <w:pPr>
      <w:spacing w:after="120"/>
      <w:ind w:left="283"/>
    </w:pPr>
  </w:style>
  <w:style w:type="character" w:customStyle="1" w:styleId="SangradetextonormalCar">
    <w:name w:val="Sangría de texto normal Car"/>
    <w:basedOn w:val="Fuentedeprrafopredeter"/>
    <w:link w:val="Sangradetextonormal"/>
    <w:uiPriority w:val="99"/>
    <w:semiHidden/>
    <w:rsid w:val="00345868"/>
    <w:rPr>
      <w:rFonts w:ascii="CG Times (WN)" w:eastAsia="Times New Roman" w:hAnsi="CG Times (WN)" w:cs="Times New Roman"/>
      <w:sz w:val="20"/>
      <w:szCs w:val="20"/>
      <w:lang w:val="es-ES_tradnl" w:eastAsia="es-ES"/>
    </w:rPr>
  </w:style>
  <w:style w:type="paragraph" w:styleId="Prrafodelista">
    <w:name w:val="List Paragraph"/>
    <w:basedOn w:val="Normal"/>
    <w:uiPriority w:val="34"/>
    <w:qFormat/>
    <w:rsid w:val="00705A09"/>
    <w:pPr>
      <w:spacing w:after="160" w:line="259" w:lineRule="auto"/>
      <w:ind w:left="720"/>
      <w:contextualSpacing/>
    </w:pPr>
    <w:rPr>
      <w:rFonts w:ascii="Calibri" w:eastAsia="Calibri" w:hAnsi="Calibri"/>
      <w:sz w:val="22"/>
      <w:szCs w:val="22"/>
      <w:lang w:val="es-CL" w:eastAsia="en-US"/>
    </w:rPr>
  </w:style>
  <w:style w:type="character" w:customStyle="1" w:styleId="Ttulo1Car">
    <w:name w:val="Título 1 Car"/>
    <w:basedOn w:val="Fuentedeprrafopredeter"/>
    <w:link w:val="Ttulo1"/>
    <w:uiPriority w:val="99"/>
    <w:rsid w:val="002827F9"/>
    <w:rPr>
      <w:rFonts w:ascii="Courier New" w:eastAsia="Times New Roman" w:hAnsi="Courier New" w:cs="Times New Roman"/>
      <w:b/>
      <w:bCs/>
      <w:kern w:val="32"/>
      <w:sz w:val="24"/>
      <w:szCs w:val="32"/>
      <w:lang w:val="es-ES_tradnl" w:eastAsia="es-ES"/>
    </w:rPr>
  </w:style>
  <w:style w:type="paragraph" w:styleId="Textodeglobo">
    <w:name w:val="Balloon Text"/>
    <w:basedOn w:val="Normal"/>
    <w:link w:val="TextodegloboCar"/>
    <w:uiPriority w:val="99"/>
    <w:semiHidden/>
    <w:unhideWhenUsed/>
    <w:rsid w:val="000C1B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1B11"/>
    <w:rPr>
      <w:rFonts w:ascii="Segoe UI" w:eastAsia="Times New Roman" w:hAnsi="Segoe UI" w:cs="Segoe UI"/>
      <w:sz w:val="18"/>
      <w:szCs w:val="18"/>
      <w:lang w:val="es-ES_tradnl" w:eastAsia="es-ES"/>
    </w:rPr>
  </w:style>
  <w:style w:type="paragraph" w:styleId="Encabezado">
    <w:name w:val="header"/>
    <w:basedOn w:val="Normal"/>
    <w:link w:val="EncabezadoCar"/>
    <w:uiPriority w:val="99"/>
    <w:unhideWhenUsed/>
    <w:rsid w:val="00751632"/>
    <w:pPr>
      <w:tabs>
        <w:tab w:val="center" w:pos="4252"/>
        <w:tab w:val="right" w:pos="8504"/>
      </w:tabs>
    </w:pPr>
  </w:style>
  <w:style w:type="character" w:customStyle="1" w:styleId="EncabezadoCar">
    <w:name w:val="Encabezado Car"/>
    <w:basedOn w:val="Fuentedeprrafopredeter"/>
    <w:link w:val="Encabezado"/>
    <w:uiPriority w:val="99"/>
    <w:rsid w:val="00751632"/>
    <w:rPr>
      <w:rFonts w:ascii="CG Times (WN)" w:eastAsia="Times New Roman" w:hAnsi="CG Times (WN)" w:cs="Times New Roman"/>
      <w:sz w:val="20"/>
      <w:szCs w:val="20"/>
      <w:lang w:val="es-ES_tradnl" w:eastAsia="es-ES"/>
    </w:rPr>
  </w:style>
  <w:style w:type="paragraph" w:styleId="Piedepgina">
    <w:name w:val="footer"/>
    <w:basedOn w:val="Normal"/>
    <w:link w:val="PiedepginaCar"/>
    <w:uiPriority w:val="99"/>
    <w:unhideWhenUsed/>
    <w:rsid w:val="00751632"/>
    <w:pPr>
      <w:tabs>
        <w:tab w:val="center" w:pos="4252"/>
        <w:tab w:val="right" w:pos="8504"/>
      </w:tabs>
    </w:pPr>
  </w:style>
  <w:style w:type="character" w:customStyle="1" w:styleId="PiedepginaCar">
    <w:name w:val="Pie de página Car"/>
    <w:basedOn w:val="Fuentedeprrafopredeter"/>
    <w:link w:val="Piedepgina"/>
    <w:uiPriority w:val="99"/>
    <w:rsid w:val="00751632"/>
    <w:rPr>
      <w:rFonts w:ascii="CG Times (WN)" w:eastAsia="Times New Roman" w:hAnsi="CG Times (W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3512B-E3F4-4173-8528-E451E96EE165}">
  <ds:schemaRefs>
    <ds:schemaRef ds:uri="http://schemas.microsoft.com/sharepoint/v3/contenttype/forms"/>
  </ds:schemaRefs>
</ds:datastoreItem>
</file>

<file path=customXml/itemProps2.xml><?xml version="1.0" encoding="utf-8"?>
<ds:datastoreItem xmlns:ds="http://schemas.openxmlformats.org/officeDocument/2006/customXml" ds:itemID="{4AB0F657-41BD-4700-9A37-B23C30AF7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05D121-9E55-4669-B250-CE7AC901743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10464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Ignacio Flores Cuneo</dc:creator>
  <cp:lastModifiedBy>Erika Suarez Benitez</cp:lastModifiedBy>
  <cp:revision>2</cp:revision>
  <cp:lastPrinted>2019-10-02T21:11:00Z</cp:lastPrinted>
  <dcterms:created xsi:type="dcterms:W3CDTF">2019-10-02T21:19:00Z</dcterms:created>
  <dcterms:modified xsi:type="dcterms:W3CDTF">2019-10-02T21:19:00Z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