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062E" w:rsidRPr="0083062E" w:rsidRDefault="0083062E" w:rsidP="0083062E">
      <w:pPr>
        <w:tabs>
          <w:tab w:val="left" w:pos="2835"/>
        </w:tabs>
        <w:ind w:left="3402"/>
        <w:jc w:val="both"/>
        <w:rPr>
          <w:rFonts w:eastAsia="Calibri" w:cs="Arial"/>
          <w:szCs w:val="24"/>
        </w:rPr>
      </w:pPr>
      <w:r w:rsidRPr="0083062E">
        <w:rPr>
          <w:rFonts w:eastAsia="Times New Roman" w:cs="Arial"/>
          <w:b/>
          <w:szCs w:val="24"/>
          <w:lang w:val="es-ES_tradnl" w:eastAsia="es-ES"/>
        </w:rPr>
        <w:t xml:space="preserve">INFORME DE LA COMISIÓN MIXTA </w:t>
      </w:r>
      <w:r w:rsidRPr="0083062E">
        <w:rPr>
          <w:rFonts w:eastAsia="Times New Roman" w:cs="Arial"/>
          <w:szCs w:val="24"/>
          <w:lang w:val="es-ES_tradnl" w:eastAsia="es-ES"/>
        </w:rPr>
        <w:t xml:space="preserve">encargada de proponer la forma y modo de </w:t>
      </w:r>
      <w:r w:rsidR="00424CAC">
        <w:rPr>
          <w:rFonts w:eastAsia="Times New Roman" w:cs="Arial"/>
          <w:szCs w:val="24"/>
          <w:lang w:val="es-ES_tradnl" w:eastAsia="es-ES"/>
        </w:rPr>
        <w:t xml:space="preserve">resolver </w:t>
      </w:r>
      <w:r w:rsidRPr="0083062E">
        <w:rPr>
          <w:rFonts w:eastAsia="Times New Roman" w:cs="Arial"/>
          <w:szCs w:val="24"/>
          <w:lang w:val="es-ES_tradnl" w:eastAsia="es-ES"/>
        </w:rPr>
        <w:t xml:space="preserve">las </w:t>
      </w:r>
      <w:r w:rsidR="00424CAC">
        <w:rPr>
          <w:rFonts w:eastAsia="Times New Roman" w:cs="Arial"/>
          <w:szCs w:val="24"/>
          <w:lang w:val="es-ES_tradnl" w:eastAsia="es-ES"/>
        </w:rPr>
        <w:t xml:space="preserve">divergencias </w:t>
      </w:r>
      <w:r w:rsidRPr="0083062E">
        <w:rPr>
          <w:rFonts w:eastAsia="Times New Roman" w:cs="Arial"/>
          <w:szCs w:val="24"/>
          <w:lang w:val="es-ES_tradnl" w:eastAsia="es-ES"/>
        </w:rPr>
        <w:t xml:space="preserve">producidas entre el Senado y la Cámara de Diputados, respecto </w:t>
      </w:r>
      <w:r>
        <w:rPr>
          <w:rFonts w:eastAsia="Times New Roman" w:cs="Arial"/>
          <w:szCs w:val="24"/>
          <w:lang w:val="es-ES_tradnl" w:eastAsia="es-ES"/>
        </w:rPr>
        <w:t xml:space="preserve">de </w:t>
      </w:r>
      <w:r w:rsidRPr="0083062E">
        <w:rPr>
          <w:rFonts w:eastAsia="Times New Roman" w:cs="Arial"/>
          <w:szCs w:val="24"/>
          <w:lang w:eastAsia="es-ES"/>
        </w:rPr>
        <w:t>l</w:t>
      </w:r>
      <w:r>
        <w:rPr>
          <w:rFonts w:eastAsia="Times New Roman" w:cs="Arial"/>
          <w:szCs w:val="24"/>
          <w:lang w:eastAsia="es-ES"/>
        </w:rPr>
        <w:t>a</w:t>
      </w:r>
      <w:r w:rsidRPr="0083062E">
        <w:rPr>
          <w:rFonts w:eastAsia="Times New Roman" w:cs="Arial"/>
          <w:szCs w:val="24"/>
          <w:lang w:eastAsia="es-ES"/>
        </w:rPr>
        <w:t xml:space="preserve"> </w:t>
      </w:r>
      <w:r>
        <w:rPr>
          <w:rFonts w:eastAsia="Times New Roman" w:cs="Arial"/>
          <w:szCs w:val="24"/>
          <w:lang w:eastAsia="es-ES"/>
        </w:rPr>
        <w:t>iniciativa legal</w:t>
      </w:r>
      <w:r w:rsidRPr="0083062E">
        <w:rPr>
          <w:rFonts w:eastAsia="Times New Roman" w:cs="Arial"/>
          <w:szCs w:val="24"/>
          <w:lang w:eastAsia="es-ES"/>
        </w:rPr>
        <w:t xml:space="preserve"> </w:t>
      </w:r>
      <w:r w:rsidRPr="0083062E">
        <w:rPr>
          <w:rFonts w:eastAsia="Times New Roman" w:cs="Arial"/>
          <w:szCs w:val="20"/>
          <w:lang w:val="es-ES_tradnl" w:eastAsia="es-ES"/>
        </w:rPr>
        <w:t xml:space="preserve">que </w:t>
      </w:r>
      <w:r>
        <w:rPr>
          <w:rFonts w:eastAsia="Times New Roman" w:cs="Arial"/>
          <w:szCs w:val="20"/>
          <w:lang w:val="es-ES_tradnl" w:eastAsia="es-ES"/>
        </w:rPr>
        <w:t>m</w:t>
      </w:r>
      <w:r w:rsidRPr="0083062E">
        <w:rPr>
          <w:rFonts w:eastAsia="Times New Roman" w:cs="Arial"/>
          <w:szCs w:val="20"/>
          <w:lang w:val="es-ES_tradnl" w:eastAsia="es-ES"/>
        </w:rPr>
        <w:t>odifica la ley N°</w:t>
      </w:r>
      <w:r>
        <w:rPr>
          <w:rFonts w:eastAsia="Times New Roman" w:cs="Arial"/>
          <w:szCs w:val="20"/>
          <w:lang w:val="es-ES_tradnl" w:eastAsia="es-ES"/>
        </w:rPr>
        <w:t> </w:t>
      </w:r>
      <w:r w:rsidRPr="0083062E">
        <w:rPr>
          <w:rFonts w:eastAsia="Times New Roman" w:cs="Arial"/>
          <w:szCs w:val="20"/>
          <w:lang w:val="es-ES_tradnl" w:eastAsia="es-ES"/>
        </w:rPr>
        <w:t>20.551, que regula el cierre de las faenas e instalaciones mineras</w:t>
      </w:r>
      <w:r w:rsidRPr="0083062E">
        <w:rPr>
          <w:rFonts w:eastAsia="Calibri" w:cs="Arial"/>
          <w:szCs w:val="24"/>
        </w:rPr>
        <w:t>.</w:t>
      </w:r>
    </w:p>
    <w:p w:rsidR="0083062E" w:rsidRPr="0083062E" w:rsidRDefault="0083062E" w:rsidP="0083062E">
      <w:pPr>
        <w:tabs>
          <w:tab w:val="left" w:pos="2835"/>
        </w:tabs>
        <w:ind w:left="3402"/>
        <w:jc w:val="both"/>
        <w:rPr>
          <w:rFonts w:eastAsia="Times New Roman" w:cs="Arial"/>
          <w:szCs w:val="20"/>
          <w:u w:val="single"/>
          <w:lang w:eastAsia="es-ES"/>
        </w:rPr>
      </w:pPr>
    </w:p>
    <w:p w:rsidR="0083062E" w:rsidRPr="0083062E" w:rsidRDefault="0083062E" w:rsidP="0083062E">
      <w:pPr>
        <w:tabs>
          <w:tab w:val="left" w:pos="2835"/>
        </w:tabs>
        <w:ind w:left="3402"/>
        <w:jc w:val="both"/>
        <w:rPr>
          <w:rFonts w:eastAsia="Times New Roman" w:cs="Arial"/>
          <w:b/>
          <w:szCs w:val="20"/>
          <w:lang w:val="es-ES_tradnl" w:eastAsia="es-ES"/>
        </w:rPr>
      </w:pPr>
      <w:r w:rsidRPr="0083062E">
        <w:rPr>
          <w:rFonts w:eastAsia="Times New Roman" w:cs="Arial"/>
          <w:b/>
          <w:szCs w:val="20"/>
          <w:lang w:val="es-ES_tradnl" w:eastAsia="es-ES"/>
        </w:rPr>
        <w:t>BOLETÍN Nº 1</w:t>
      </w:r>
      <w:r>
        <w:rPr>
          <w:rFonts w:eastAsia="Times New Roman" w:cs="Arial"/>
          <w:b/>
          <w:szCs w:val="20"/>
          <w:lang w:val="es-ES_tradnl" w:eastAsia="es-ES"/>
        </w:rPr>
        <w:t>2</w:t>
      </w:r>
      <w:r w:rsidRPr="0083062E">
        <w:rPr>
          <w:rFonts w:eastAsia="Times New Roman" w:cs="Arial"/>
          <w:b/>
          <w:szCs w:val="20"/>
          <w:lang w:val="es-ES_tradnl" w:eastAsia="es-ES"/>
        </w:rPr>
        <w:t>.</w:t>
      </w:r>
      <w:r>
        <w:rPr>
          <w:rFonts w:eastAsia="Times New Roman" w:cs="Arial"/>
          <w:b/>
          <w:szCs w:val="20"/>
          <w:lang w:val="es-ES_tradnl" w:eastAsia="es-ES"/>
        </w:rPr>
        <w:t>324</w:t>
      </w:r>
      <w:r w:rsidRPr="0083062E">
        <w:rPr>
          <w:rFonts w:eastAsia="Times New Roman" w:cs="Arial"/>
          <w:b/>
          <w:szCs w:val="20"/>
          <w:lang w:val="es-ES_tradnl" w:eastAsia="es-ES"/>
        </w:rPr>
        <w:t>-</w:t>
      </w:r>
      <w:r>
        <w:rPr>
          <w:rFonts w:eastAsia="Times New Roman" w:cs="Arial"/>
          <w:b/>
          <w:szCs w:val="20"/>
          <w:lang w:val="es-ES_tradnl" w:eastAsia="es-ES"/>
        </w:rPr>
        <w:t>08</w:t>
      </w:r>
    </w:p>
    <w:p w:rsidR="0083062E" w:rsidRPr="0083062E" w:rsidRDefault="0083062E" w:rsidP="0083062E">
      <w:pPr>
        <w:tabs>
          <w:tab w:val="left" w:pos="2835"/>
        </w:tabs>
        <w:ind w:left="3402"/>
        <w:jc w:val="both"/>
        <w:rPr>
          <w:rFonts w:eastAsia="Times New Roman" w:cs="Arial"/>
          <w:szCs w:val="20"/>
          <w:lang w:val="es-ES_tradnl" w:eastAsia="es-ES"/>
        </w:rPr>
      </w:pPr>
      <w:r w:rsidRPr="0083062E">
        <w:rPr>
          <w:rFonts w:eastAsia="Times New Roman" w:cs="Arial"/>
          <w:b/>
          <w:szCs w:val="20"/>
          <w:lang w:val="es-ES_tradnl" w:eastAsia="es-ES"/>
        </w:rPr>
        <w:t>____________________________________</w:t>
      </w:r>
    </w:p>
    <w:p w:rsidR="0083062E" w:rsidRPr="0083062E" w:rsidRDefault="0083062E" w:rsidP="0083062E">
      <w:pPr>
        <w:tabs>
          <w:tab w:val="left" w:pos="2268"/>
        </w:tabs>
        <w:jc w:val="both"/>
        <w:rPr>
          <w:rFonts w:eastAsia="Times New Roman" w:cs="Arial"/>
          <w:szCs w:val="24"/>
          <w:lang w:val="es-ES_tradnl" w:eastAsia="es-ES"/>
        </w:rPr>
      </w:pPr>
    </w:p>
    <w:p w:rsidR="0083062E" w:rsidRPr="0083062E" w:rsidRDefault="0083062E" w:rsidP="0083062E">
      <w:pPr>
        <w:tabs>
          <w:tab w:val="left" w:pos="2268"/>
        </w:tabs>
        <w:jc w:val="both"/>
        <w:rPr>
          <w:rFonts w:eastAsia="Times New Roman" w:cs="Arial"/>
          <w:szCs w:val="24"/>
          <w:lang w:val="es-ES_tradnl" w:eastAsia="es-ES"/>
        </w:rPr>
      </w:pPr>
    </w:p>
    <w:p w:rsidR="0083062E" w:rsidRPr="0083062E" w:rsidRDefault="0083062E" w:rsidP="0083062E">
      <w:pPr>
        <w:tabs>
          <w:tab w:val="left" w:pos="2268"/>
        </w:tabs>
        <w:jc w:val="both"/>
        <w:rPr>
          <w:rFonts w:eastAsia="Times New Roman" w:cs="Arial"/>
          <w:b/>
          <w:szCs w:val="24"/>
          <w:lang w:val="es-ES_tradnl" w:eastAsia="es-ES"/>
        </w:rPr>
      </w:pPr>
    </w:p>
    <w:p w:rsidR="0083062E" w:rsidRPr="0083062E" w:rsidRDefault="0083062E" w:rsidP="0083062E">
      <w:pPr>
        <w:tabs>
          <w:tab w:val="left" w:pos="2268"/>
        </w:tabs>
        <w:jc w:val="both"/>
        <w:rPr>
          <w:rFonts w:eastAsia="Times New Roman" w:cs="Arial"/>
          <w:b/>
          <w:szCs w:val="24"/>
          <w:lang w:val="es-ES_tradnl" w:eastAsia="es-ES"/>
        </w:rPr>
      </w:pPr>
      <w:r w:rsidRPr="0083062E">
        <w:rPr>
          <w:rFonts w:eastAsia="Times New Roman" w:cs="Arial"/>
          <w:b/>
          <w:szCs w:val="24"/>
          <w:lang w:val="es-ES_tradnl" w:eastAsia="es-ES"/>
        </w:rPr>
        <w:t>HONORABLE SENADO,</w:t>
      </w:r>
    </w:p>
    <w:p w:rsidR="0083062E" w:rsidRPr="0083062E" w:rsidRDefault="0083062E" w:rsidP="0083062E">
      <w:pPr>
        <w:tabs>
          <w:tab w:val="left" w:pos="2268"/>
        </w:tabs>
        <w:jc w:val="both"/>
        <w:rPr>
          <w:rFonts w:eastAsia="Times New Roman" w:cs="Arial"/>
          <w:szCs w:val="24"/>
          <w:lang w:val="es-ES_tradnl" w:eastAsia="es-ES"/>
        </w:rPr>
      </w:pPr>
    </w:p>
    <w:p w:rsidR="0083062E" w:rsidRPr="0083062E" w:rsidRDefault="0083062E" w:rsidP="0083062E">
      <w:pPr>
        <w:tabs>
          <w:tab w:val="left" w:pos="2268"/>
        </w:tabs>
        <w:jc w:val="both"/>
        <w:rPr>
          <w:rFonts w:eastAsia="Times New Roman" w:cs="Arial"/>
          <w:szCs w:val="24"/>
          <w:lang w:val="es-ES_tradnl" w:eastAsia="es-ES"/>
        </w:rPr>
      </w:pPr>
      <w:r w:rsidRPr="0083062E">
        <w:rPr>
          <w:rFonts w:eastAsia="Times New Roman" w:cs="Arial"/>
          <w:b/>
          <w:szCs w:val="24"/>
          <w:lang w:val="es-ES_tradnl" w:eastAsia="es-ES"/>
        </w:rPr>
        <w:t>HONORABLE CÁMARA DE DIPUTADOS:</w:t>
      </w:r>
    </w:p>
    <w:p w:rsidR="0083062E" w:rsidRPr="0083062E" w:rsidRDefault="0083062E" w:rsidP="0083062E">
      <w:pPr>
        <w:tabs>
          <w:tab w:val="left" w:pos="2268"/>
        </w:tabs>
        <w:jc w:val="both"/>
        <w:rPr>
          <w:rFonts w:eastAsia="Times New Roman" w:cs="Arial"/>
          <w:szCs w:val="24"/>
          <w:lang w:val="es-ES_tradnl" w:eastAsia="es-ES"/>
        </w:rPr>
      </w:pPr>
    </w:p>
    <w:p w:rsidR="0083062E" w:rsidRPr="0083062E" w:rsidRDefault="0083062E" w:rsidP="0083062E">
      <w:pPr>
        <w:tabs>
          <w:tab w:val="left" w:pos="2835"/>
        </w:tabs>
        <w:ind w:firstLine="2835"/>
        <w:jc w:val="both"/>
        <w:rPr>
          <w:rFonts w:eastAsia="Times New Roman" w:cs="Arial"/>
          <w:szCs w:val="24"/>
          <w:lang w:val="es-ES_tradnl" w:eastAsia="es-ES"/>
        </w:rPr>
      </w:pPr>
      <w:r w:rsidRPr="0083062E">
        <w:rPr>
          <w:rFonts w:eastAsia="Times New Roman" w:cs="Arial"/>
          <w:szCs w:val="24"/>
          <w:lang w:val="es-ES_tradnl" w:eastAsia="es-ES"/>
        </w:rPr>
        <w:t>La Comisión Mixta constituida en conformidad a lo dispuesto por el artículo 71 de la Constitución Política de la República, tiene el honor de proponer la forma y modo de resolver las divergencias surgidas entre el Senado y la Cámara de Diputados durante la tramitación del proyecto de ley de la referencia.</w:t>
      </w:r>
    </w:p>
    <w:p w:rsidR="0083062E" w:rsidRPr="0083062E" w:rsidRDefault="0083062E" w:rsidP="0083062E">
      <w:pPr>
        <w:tabs>
          <w:tab w:val="left" w:pos="2835"/>
        </w:tabs>
        <w:ind w:firstLine="2835"/>
        <w:jc w:val="both"/>
        <w:rPr>
          <w:rFonts w:eastAsia="Times New Roman" w:cs="Arial"/>
          <w:szCs w:val="24"/>
          <w:lang w:val="es-ES_tradnl" w:eastAsia="es-ES"/>
        </w:rPr>
      </w:pPr>
    </w:p>
    <w:p w:rsidR="0083062E" w:rsidRPr="0083062E" w:rsidRDefault="0083062E" w:rsidP="0083062E">
      <w:pPr>
        <w:tabs>
          <w:tab w:val="left" w:pos="2835"/>
        </w:tabs>
        <w:ind w:firstLine="2835"/>
        <w:jc w:val="both"/>
        <w:rPr>
          <w:rFonts w:eastAsia="Times New Roman" w:cs="Arial"/>
          <w:szCs w:val="24"/>
          <w:lang w:val="es-ES_tradnl" w:eastAsia="es-ES"/>
        </w:rPr>
      </w:pPr>
      <w:r w:rsidRPr="0083062E">
        <w:rPr>
          <w:rFonts w:eastAsia="Times New Roman" w:cs="Arial"/>
          <w:szCs w:val="24"/>
          <w:lang w:val="es-ES_tradnl" w:eastAsia="es-ES"/>
        </w:rPr>
        <w:t xml:space="preserve">Cabe señalar que, con fecha </w:t>
      </w:r>
      <w:r>
        <w:rPr>
          <w:rFonts w:eastAsia="Times New Roman" w:cs="Arial"/>
          <w:szCs w:val="24"/>
          <w:lang w:val="es-ES_tradnl" w:eastAsia="es-ES"/>
        </w:rPr>
        <w:t>11</w:t>
      </w:r>
      <w:r w:rsidRPr="0083062E">
        <w:rPr>
          <w:rFonts w:eastAsia="Times New Roman" w:cs="Arial"/>
          <w:szCs w:val="24"/>
          <w:lang w:val="es-ES_tradnl" w:eastAsia="es-ES"/>
        </w:rPr>
        <w:t xml:space="preserve"> de </w:t>
      </w:r>
      <w:r>
        <w:rPr>
          <w:rFonts w:eastAsia="Times New Roman" w:cs="Arial"/>
          <w:szCs w:val="24"/>
          <w:lang w:val="es-ES_tradnl" w:eastAsia="es-ES"/>
        </w:rPr>
        <w:t xml:space="preserve">junio </w:t>
      </w:r>
      <w:r w:rsidRPr="0083062E">
        <w:rPr>
          <w:rFonts w:eastAsia="Times New Roman" w:cs="Arial"/>
          <w:szCs w:val="24"/>
          <w:lang w:val="es-ES_tradnl" w:eastAsia="es-ES"/>
        </w:rPr>
        <w:t>de 201</w:t>
      </w:r>
      <w:r>
        <w:rPr>
          <w:rFonts w:eastAsia="Times New Roman" w:cs="Arial"/>
          <w:szCs w:val="24"/>
          <w:lang w:val="es-ES_tradnl" w:eastAsia="es-ES"/>
        </w:rPr>
        <w:t>9</w:t>
      </w:r>
      <w:r w:rsidRPr="0083062E">
        <w:rPr>
          <w:rFonts w:eastAsia="Times New Roman" w:cs="Arial"/>
          <w:szCs w:val="24"/>
          <w:lang w:val="es-ES_tradnl" w:eastAsia="es-ES"/>
        </w:rPr>
        <w:t xml:space="preserve">, S.E. el </w:t>
      </w:r>
      <w:proofErr w:type="gramStart"/>
      <w:r w:rsidRPr="0083062E">
        <w:rPr>
          <w:rFonts w:eastAsia="Times New Roman" w:cs="Arial"/>
          <w:szCs w:val="24"/>
          <w:lang w:val="es-ES_tradnl" w:eastAsia="es-ES"/>
        </w:rPr>
        <w:t>Presidente</w:t>
      </w:r>
      <w:proofErr w:type="gramEnd"/>
      <w:r w:rsidRPr="0083062E">
        <w:rPr>
          <w:rFonts w:eastAsia="Times New Roman" w:cs="Arial"/>
          <w:szCs w:val="24"/>
          <w:lang w:val="es-ES_tradnl" w:eastAsia="es-ES"/>
        </w:rPr>
        <w:t xml:space="preserve"> de la República calificó esta iniciativa legal con urgencia</w:t>
      </w:r>
      <w:r w:rsidR="00534AB0">
        <w:rPr>
          <w:rFonts w:eastAsia="Times New Roman" w:cs="Arial"/>
          <w:szCs w:val="24"/>
          <w:lang w:val="es-ES_tradnl" w:eastAsia="es-ES"/>
        </w:rPr>
        <w:t xml:space="preserve"> de</w:t>
      </w:r>
      <w:r w:rsidRPr="0083062E">
        <w:rPr>
          <w:rFonts w:eastAsia="Times New Roman" w:cs="Arial"/>
          <w:szCs w:val="24"/>
          <w:lang w:val="es-ES_tradnl" w:eastAsia="es-ES"/>
        </w:rPr>
        <w:t xml:space="preserve"> </w:t>
      </w:r>
      <w:r w:rsidRPr="00534AB0">
        <w:rPr>
          <w:rFonts w:eastAsia="Times New Roman" w:cs="Arial"/>
          <w:szCs w:val="24"/>
          <w:lang w:val="es-ES_tradnl" w:eastAsia="es-ES"/>
        </w:rPr>
        <w:t>“discusión inmediata”.</w:t>
      </w:r>
    </w:p>
    <w:p w:rsidR="0083062E" w:rsidRPr="0083062E" w:rsidRDefault="0083062E" w:rsidP="0083062E">
      <w:pPr>
        <w:tabs>
          <w:tab w:val="left" w:pos="2835"/>
        </w:tabs>
        <w:jc w:val="both"/>
        <w:rPr>
          <w:rFonts w:eastAsia="Times New Roman" w:cs="Arial"/>
          <w:szCs w:val="24"/>
          <w:lang w:val="es-ES_tradnl" w:eastAsia="es-ES"/>
        </w:rPr>
      </w:pPr>
    </w:p>
    <w:p w:rsidR="0083062E" w:rsidRPr="0083062E" w:rsidRDefault="0083062E" w:rsidP="0083062E">
      <w:pPr>
        <w:tabs>
          <w:tab w:val="left" w:pos="2835"/>
        </w:tabs>
        <w:jc w:val="center"/>
        <w:rPr>
          <w:rFonts w:eastAsia="Times New Roman" w:cs="Arial"/>
          <w:b/>
          <w:szCs w:val="24"/>
          <w:lang w:val="es-ES_tradnl" w:eastAsia="es-ES"/>
        </w:rPr>
      </w:pPr>
      <w:r w:rsidRPr="0083062E">
        <w:rPr>
          <w:rFonts w:eastAsia="Times New Roman" w:cs="Arial"/>
          <w:b/>
          <w:szCs w:val="24"/>
          <w:lang w:val="es-ES_tradnl" w:eastAsia="es-ES"/>
        </w:rPr>
        <w:t>- - -</w:t>
      </w:r>
    </w:p>
    <w:p w:rsidR="0083062E" w:rsidRPr="0083062E" w:rsidRDefault="0083062E" w:rsidP="0083062E">
      <w:pPr>
        <w:tabs>
          <w:tab w:val="left" w:pos="2835"/>
        </w:tabs>
        <w:jc w:val="both"/>
        <w:rPr>
          <w:rFonts w:eastAsia="Times New Roman" w:cs="Arial"/>
          <w:szCs w:val="24"/>
          <w:lang w:val="es-ES_tradnl" w:eastAsia="es-ES"/>
        </w:rPr>
      </w:pPr>
    </w:p>
    <w:p w:rsidR="0083062E" w:rsidRPr="0083062E" w:rsidRDefault="0083062E" w:rsidP="0083062E">
      <w:pPr>
        <w:tabs>
          <w:tab w:val="left" w:pos="2835"/>
        </w:tabs>
        <w:ind w:firstLine="2835"/>
        <w:jc w:val="both"/>
        <w:rPr>
          <w:rFonts w:eastAsia="Times New Roman" w:cs="Arial"/>
          <w:szCs w:val="24"/>
          <w:lang w:val="es-ES_tradnl" w:eastAsia="es-ES"/>
        </w:rPr>
      </w:pPr>
      <w:r w:rsidRPr="0083062E">
        <w:rPr>
          <w:rFonts w:eastAsia="Times New Roman" w:cs="Arial"/>
          <w:szCs w:val="24"/>
          <w:lang w:val="es-ES_tradnl" w:eastAsia="es-ES"/>
        </w:rPr>
        <w:t xml:space="preserve">En sesión celebrada el </w:t>
      </w:r>
      <w:r>
        <w:rPr>
          <w:rFonts w:eastAsia="Times New Roman" w:cs="Arial"/>
          <w:szCs w:val="24"/>
          <w:lang w:val="es-ES_tradnl" w:eastAsia="es-ES"/>
        </w:rPr>
        <w:t>12</w:t>
      </w:r>
      <w:r w:rsidRPr="0083062E">
        <w:rPr>
          <w:rFonts w:eastAsia="Times New Roman" w:cs="Arial"/>
          <w:szCs w:val="24"/>
          <w:lang w:val="es-ES_tradnl" w:eastAsia="es-ES"/>
        </w:rPr>
        <w:t xml:space="preserve"> de </w:t>
      </w:r>
      <w:r>
        <w:rPr>
          <w:rFonts w:eastAsia="Times New Roman" w:cs="Arial"/>
          <w:szCs w:val="24"/>
          <w:lang w:val="es-ES_tradnl" w:eastAsia="es-ES"/>
        </w:rPr>
        <w:t xml:space="preserve">junio </w:t>
      </w:r>
      <w:r w:rsidRPr="0083062E">
        <w:rPr>
          <w:rFonts w:eastAsia="Times New Roman" w:cs="Arial"/>
          <w:szCs w:val="24"/>
          <w:lang w:val="es-ES_tradnl" w:eastAsia="es-ES"/>
        </w:rPr>
        <w:t>de 201</w:t>
      </w:r>
      <w:r>
        <w:rPr>
          <w:rFonts w:eastAsia="Times New Roman" w:cs="Arial"/>
          <w:szCs w:val="24"/>
          <w:lang w:val="es-ES_tradnl" w:eastAsia="es-ES"/>
        </w:rPr>
        <w:t>9</w:t>
      </w:r>
      <w:r w:rsidRPr="0083062E">
        <w:rPr>
          <w:rFonts w:eastAsia="Times New Roman" w:cs="Arial"/>
          <w:szCs w:val="24"/>
          <w:lang w:val="es-ES_tradnl" w:eastAsia="es-ES"/>
        </w:rPr>
        <w:t xml:space="preserve">, el Senado, </w:t>
      </w:r>
      <w:r w:rsidR="00534AB0">
        <w:rPr>
          <w:rFonts w:eastAsia="Times New Roman" w:cs="Arial"/>
          <w:szCs w:val="24"/>
          <w:lang w:val="es-ES_tradnl" w:eastAsia="es-ES"/>
        </w:rPr>
        <w:t>C</w:t>
      </w:r>
      <w:r w:rsidRPr="0083062E">
        <w:rPr>
          <w:rFonts w:eastAsia="Times New Roman" w:cs="Arial"/>
          <w:szCs w:val="24"/>
          <w:lang w:val="es-ES_tradnl" w:eastAsia="es-ES"/>
        </w:rPr>
        <w:t xml:space="preserve">ámara de origen, designó como integrantes de la Comisión Mixta a los integrantes de la Comisión de </w:t>
      </w:r>
      <w:r>
        <w:rPr>
          <w:rFonts w:eastAsia="Times New Roman" w:cs="Arial"/>
          <w:szCs w:val="24"/>
          <w:lang w:val="es-ES_tradnl" w:eastAsia="es-ES"/>
        </w:rPr>
        <w:t>Minería y Energía</w:t>
      </w:r>
      <w:r w:rsidRPr="0083062E">
        <w:rPr>
          <w:rFonts w:eastAsia="Times New Roman" w:cs="Arial"/>
          <w:szCs w:val="24"/>
          <w:lang w:val="es-ES_tradnl" w:eastAsia="es-ES"/>
        </w:rPr>
        <w:t xml:space="preserve">, Honorables Senadores señora </w:t>
      </w:r>
      <w:r w:rsidR="00366937">
        <w:rPr>
          <w:rFonts w:eastAsia="Times New Roman" w:cs="Arial"/>
          <w:szCs w:val="24"/>
          <w:lang w:val="es-ES_tradnl" w:eastAsia="es-ES"/>
        </w:rPr>
        <w:t>Yasna Provoste Campillay</w:t>
      </w:r>
      <w:r w:rsidRPr="0083062E">
        <w:rPr>
          <w:rFonts w:eastAsia="Times New Roman" w:cs="Arial"/>
          <w:szCs w:val="24"/>
          <w:lang w:val="es-ES_tradnl" w:eastAsia="es-ES"/>
        </w:rPr>
        <w:t xml:space="preserve"> y señores </w:t>
      </w:r>
      <w:r w:rsidR="00366937">
        <w:rPr>
          <w:rFonts w:eastAsia="Times New Roman" w:cs="Arial"/>
          <w:szCs w:val="24"/>
          <w:lang w:val="es-ES_tradnl" w:eastAsia="es-ES"/>
        </w:rPr>
        <w:t>Álvaro Elizalde Soto,</w:t>
      </w:r>
      <w:r w:rsidR="00366937" w:rsidRPr="00366937">
        <w:rPr>
          <w:rFonts w:eastAsia="Times New Roman" w:cs="Arial"/>
          <w:szCs w:val="24"/>
          <w:lang w:val="es-ES_tradnl" w:eastAsia="es-ES"/>
        </w:rPr>
        <w:t xml:space="preserve"> </w:t>
      </w:r>
      <w:r w:rsidR="00366937">
        <w:rPr>
          <w:rFonts w:eastAsia="Times New Roman" w:cs="Arial"/>
          <w:szCs w:val="24"/>
          <w:lang w:val="es-ES_tradnl" w:eastAsia="es-ES"/>
        </w:rPr>
        <w:t xml:space="preserve">Alejandro </w:t>
      </w:r>
      <w:r w:rsidR="00366937" w:rsidRPr="00366937">
        <w:rPr>
          <w:rFonts w:eastAsia="Times New Roman" w:cs="Arial"/>
          <w:szCs w:val="24"/>
          <w:lang w:val="es-ES_tradnl" w:eastAsia="es-ES"/>
        </w:rPr>
        <w:t xml:space="preserve">García Huidobro Sanfuentes, </w:t>
      </w:r>
      <w:r w:rsidR="00366937">
        <w:rPr>
          <w:rFonts w:eastAsia="Times New Roman" w:cs="Arial"/>
          <w:szCs w:val="24"/>
          <w:lang w:val="es-ES_tradnl" w:eastAsia="es-ES"/>
        </w:rPr>
        <w:t xml:space="preserve">Alejandro </w:t>
      </w:r>
      <w:r w:rsidR="00366937" w:rsidRPr="00366937">
        <w:rPr>
          <w:rFonts w:eastAsia="Times New Roman" w:cs="Arial"/>
          <w:szCs w:val="24"/>
          <w:lang w:val="es-ES_tradnl" w:eastAsia="es-ES"/>
        </w:rPr>
        <w:t>Guillier Álvarez</w:t>
      </w:r>
      <w:r w:rsidR="00366937">
        <w:rPr>
          <w:rFonts w:eastAsia="Times New Roman" w:cs="Arial"/>
          <w:szCs w:val="24"/>
          <w:lang w:val="es-ES_tradnl" w:eastAsia="es-ES"/>
        </w:rPr>
        <w:t xml:space="preserve"> y</w:t>
      </w:r>
      <w:r w:rsidR="00366937" w:rsidRPr="00366937">
        <w:rPr>
          <w:rFonts w:eastAsia="Times New Roman" w:cs="Arial"/>
          <w:szCs w:val="24"/>
          <w:lang w:val="es-ES_tradnl" w:eastAsia="es-ES"/>
        </w:rPr>
        <w:t xml:space="preserve"> </w:t>
      </w:r>
      <w:r w:rsidR="00366937">
        <w:rPr>
          <w:rFonts w:eastAsia="Times New Roman" w:cs="Arial"/>
          <w:szCs w:val="24"/>
          <w:lang w:val="es-ES_tradnl" w:eastAsia="es-ES"/>
        </w:rPr>
        <w:t xml:space="preserve">Rafael </w:t>
      </w:r>
      <w:proofErr w:type="spellStart"/>
      <w:r w:rsidR="00366937" w:rsidRPr="00366937">
        <w:rPr>
          <w:rFonts w:eastAsia="Times New Roman" w:cs="Arial"/>
          <w:szCs w:val="24"/>
          <w:lang w:val="es-ES_tradnl" w:eastAsia="es-ES"/>
        </w:rPr>
        <w:t>Prohens</w:t>
      </w:r>
      <w:proofErr w:type="spellEnd"/>
      <w:r w:rsidR="00366937" w:rsidRPr="00366937">
        <w:rPr>
          <w:rFonts w:eastAsia="Times New Roman" w:cs="Arial"/>
          <w:szCs w:val="24"/>
          <w:lang w:val="es-ES_tradnl" w:eastAsia="es-ES"/>
        </w:rPr>
        <w:t xml:space="preserve"> Espinosa</w:t>
      </w:r>
      <w:r w:rsidRPr="0083062E">
        <w:rPr>
          <w:rFonts w:eastAsia="Times New Roman" w:cs="Arial"/>
          <w:szCs w:val="24"/>
          <w:lang w:val="es-ES_tradnl" w:eastAsia="es-ES"/>
        </w:rPr>
        <w:t>.</w:t>
      </w:r>
    </w:p>
    <w:p w:rsidR="0083062E" w:rsidRPr="00366937" w:rsidRDefault="0083062E" w:rsidP="0083062E">
      <w:pPr>
        <w:tabs>
          <w:tab w:val="left" w:pos="2592"/>
        </w:tabs>
        <w:autoSpaceDE w:val="0"/>
        <w:autoSpaceDN w:val="0"/>
        <w:adjustRightInd w:val="0"/>
        <w:ind w:firstLine="2835"/>
        <w:jc w:val="both"/>
        <w:rPr>
          <w:rFonts w:eastAsia="Times New Roman" w:cs="Arial"/>
          <w:color w:val="000000"/>
          <w:szCs w:val="24"/>
          <w:lang w:val="es-ES_tradnl" w:eastAsia="es-ES"/>
        </w:rPr>
      </w:pPr>
    </w:p>
    <w:p w:rsidR="00DC683C" w:rsidRDefault="0083062E" w:rsidP="0083062E">
      <w:pPr>
        <w:tabs>
          <w:tab w:val="left" w:pos="2592"/>
        </w:tabs>
        <w:autoSpaceDE w:val="0"/>
        <w:autoSpaceDN w:val="0"/>
        <w:adjustRightInd w:val="0"/>
        <w:ind w:firstLine="2835"/>
        <w:jc w:val="both"/>
        <w:rPr>
          <w:rFonts w:eastAsia="Times New Roman" w:cs="Arial"/>
          <w:color w:val="000000"/>
          <w:szCs w:val="24"/>
          <w:lang w:val="es-ES" w:eastAsia="es-ES"/>
        </w:rPr>
      </w:pPr>
      <w:r w:rsidRPr="0083062E">
        <w:rPr>
          <w:rFonts w:eastAsia="Times New Roman" w:cs="Arial"/>
          <w:color w:val="000000"/>
          <w:szCs w:val="24"/>
          <w:lang w:val="es-ES" w:eastAsia="es-ES"/>
        </w:rPr>
        <w:t>Por su parte, en sesión celebrada el 1</w:t>
      </w:r>
      <w:r w:rsidR="00DC683C">
        <w:rPr>
          <w:rFonts w:eastAsia="Times New Roman" w:cs="Arial"/>
          <w:color w:val="000000"/>
          <w:szCs w:val="24"/>
          <w:lang w:val="es-ES" w:eastAsia="es-ES"/>
        </w:rPr>
        <w:t>3</w:t>
      </w:r>
      <w:r w:rsidRPr="0083062E">
        <w:rPr>
          <w:rFonts w:eastAsia="Times New Roman" w:cs="Arial"/>
          <w:color w:val="000000"/>
          <w:szCs w:val="24"/>
          <w:lang w:val="es-ES" w:eastAsia="es-ES"/>
        </w:rPr>
        <w:t xml:space="preserve"> de </w:t>
      </w:r>
      <w:r w:rsidR="00DC683C">
        <w:rPr>
          <w:rFonts w:eastAsia="Times New Roman" w:cs="Arial"/>
          <w:color w:val="000000"/>
          <w:szCs w:val="24"/>
          <w:lang w:val="es-ES" w:eastAsia="es-ES"/>
        </w:rPr>
        <w:t xml:space="preserve">junio </w:t>
      </w:r>
      <w:r w:rsidRPr="0083062E">
        <w:rPr>
          <w:rFonts w:eastAsia="Times New Roman" w:cs="Arial"/>
          <w:color w:val="000000"/>
          <w:szCs w:val="24"/>
          <w:lang w:val="es-ES" w:eastAsia="es-ES"/>
        </w:rPr>
        <w:t>de 201</w:t>
      </w:r>
      <w:r w:rsidR="00DC683C">
        <w:rPr>
          <w:rFonts w:eastAsia="Times New Roman" w:cs="Arial"/>
          <w:color w:val="000000"/>
          <w:szCs w:val="24"/>
          <w:lang w:val="es-ES" w:eastAsia="es-ES"/>
        </w:rPr>
        <w:t>9</w:t>
      </w:r>
      <w:r w:rsidRPr="0083062E">
        <w:rPr>
          <w:rFonts w:eastAsia="Times New Roman" w:cs="Arial"/>
          <w:color w:val="000000"/>
          <w:szCs w:val="24"/>
          <w:lang w:val="es-ES" w:eastAsia="es-ES"/>
        </w:rPr>
        <w:t xml:space="preserve">, la Cámara de Diputados designó como miembros de la Comisión Mixta a los Honorables Diputados señora </w:t>
      </w:r>
      <w:r w:rsidR="00DC683C">
        <w:rPr>
          <w:rFonts w:eastAsia="Times New Roman" w:cs="Arial"/>
          <w:color w:val="000000"/>
          <w:szCs w:val="24"/>
          <w:lang w:val="es-ES" w:eastAsia="es-ES"/>
        </w:rPr>
        <w:t xml:space="preserve">Sofía Cid </w:t>
      </w:r>
      <w:proofErr w:type="spellStart"/>
      <w:r w:rsidR="00DC683C">
        <w:rPr>
          <w:rFonts w:eastAsia="Times New Roman" w:cs="Arial"/>
          <w:color w:val="000000"/>
          <w:szCs w:val="24"/>
          <w:lang w:val="es-ES" w:eastAsia="es-ES"/>
        </w:rPr>
        <w:t>Versalović</w:t>
      </w:r>
      <w:proofErr w:type="spellEnd"/>
      <w:r w:rsidR="00DC683C">
        <w:rPr>
          <w:rFonts w:eastAsia="Times New Roman" w:cs="Arial"/>
          <w:color w:val="000000"/>
          <w:szCs w:val="24"/>
          <w:lang w:val="es-ES" w:eastAsia="es-ES"/>
        </w:rPr>
        <w:t xml:space="preserve"> y señores Juan Luis Castro González, </w:t>
      </w:r>
      <w:proofErr w:type="spellStart"/>
      <w:r w:rsidR="00DC683C">
        <w:rPr>
          <w:rFonts w:eastAsia="Times New Roman" w:cs="Arial"/>
          <w:color w:val="000000"/>
          <w:szCs w:val="24"/>
          <w:lang w:val="es-ES" w:eastAsia="es-ES"/>
        </w:rPr>
        <w:t>Issa</w:t>
      </w:r>
      <w:proofErr w:type="spellEnd"/>
      <w:r w:rsidR="00DC683C">
        <w:rPr>
          <w:rFonts w:eastAsia="Times New Roman" w:cs="Arial"/>
          <w:color w:val="000000"/>
          <w:szCs w:val="24"/>
          <w:lang w:val="es-ES" w:eastAsia="es-ES"/>
        </w:rPr>
        <w:t xml:space="preserve"> </w:t>
      </w:r>
      <w:proofErr w:type="spellStart"/>
      <w:r w:rsidR="00DC683C">
        <w:rPr>
          <w:rFonts w:eastAsia="Times New Roman" w:cs="Arial"/>
          <w:color w:val="000000"/>
          <w:szCs w:val="24"/>
          <w:lang w:val="es-ES" w:eastAsia="es-ES"/>
        </w:rPr>
        <w:t>Kort</w:t>
      </w:r>
      <w:proofErr w:type="spellEnd"/>
      <w:r w:rsidR="00DC683C">
        <w:rPr>
          <w:rFonts w:eastAsia="Times New Roman" w:cs="Arial"/>
          <w:color w:val="000000"/>
          <w:szCs w:val="24"/>
          <w:lang w:val="es-ES" w:eastAsia="es-ES"/>
        </w:rPr>
        <w:t xml:space="preserve"> Garriga, Daniel Núñez Arancibia y Gabriel </w:t>
      </w:r>
      <w:proofErr w:type="spellStart"/>
      <w:r w:rsidR="00DC683C">
        <w:rPr>
          <w:rFonts w:eastAsia="Times New Roman" w:cs="Arial"/>
          <w:color w:val="000000"/>
          <w:szCs w:val="24"/>
          <w:lang w:val="es-ES" w:eastAsia="es-ES"/>
        </w:rPr>
        <w:t>Silber</w:t>
      </w:r>
      <w:proofErr w:type="spellEnd"/>
      <w:r w:rsidR="00DC683C">
        <w:rPr>
          <w:rFonts w:eastAsia="Times New Roman" w:cs="Arial"/>
          <w:color w:val="000000"/>
          <w:szCs w:val="24"/>
          <w:lang w:val="es-ES" w:eastAsia="es-ES"/>
        </w:rPr>
        <w:t xml:space="preserve"> Romo.</w:t>
      </w:r>
    </w:p>
    <w:p w:rsidR="00DC683C" w:rsidRDefault="00DC683C" w:rsidP="0083062E">
      <w:pPr>
        <w:tabs>
          <w:tab w:val="left" w:pos="2592"/>
        </w:tabs>
        <w:autoSpaceDE w:val="0"/>
        <w:autoSpaceDN w:val="0"/>
        <w:adjustRightInd w:val="0"/>
        <w:ind w:firstLine="2835"/>
        <w:jc w:val="both"/>
        <w:rPr>
          <w:rFonts w:eastAsia="Times New Roman" w:cs="Arial"/>
          <w:color w:val="000000"/>
          <w:szCs w:val="24"/>
          <w:lang w:val="es-ES" w:eastAsia="es-ES"/>
        </w:rPr>
      </w:pPr>
    </w:p>
    <w:p w:rsidR="0083062E" w:rsidRPr="0083062E" w:rsidRDefault="0083062E" w:rsidP="0083062E">
      <w:pPr>
        <w:tabs>
          <w:tab w:val="left" w:pos="2592"/>
        </w:tabs>
        <w:autoSpaceDE w:val="0"/>
        <w:autoSpaceDN w:val="0"/>
        <w:adjustRightInd w:val="0"/>
        <w:ind w:firstLine="2835"/>
        <w:jc w:val="both"/>
        <w:rPr>
          <w:rFonts w:eastAsia="Times New Roman" w:cs="Arial"/>
          <w:szCs w:val="24"/>
          <w:highlight w:val="yellow"/>
          <w:lang w:val="es-ES_tradnl" w:eastAsia="es-ES"/>
        </w:rPr>
      </w:pPr>
      <w:r w:rsidRPr="0083062E">
        <w:rPr>
          <w:rFonts w:eastAsia="Times New Roman" w:cs="Arial"/>
          <w:szCs w:val="24"/>
          <w:lang w:val="es-ES_tradnl" w:eastAsia="es-ES"/>
        </w:rPr>
        <w:t xml:space="preserve">Previa citación del señor </w:t>
      </w:r>
      <w:proofErr w:type="gramStart"/>
      <w:r w:rsidRPr="0083062E">
        <w:rPr>
          <w:rFonts w:eastAsia="Times New Roman" w:cs="Arial"/>
          <w:szCs w:val="24"/>
          <w:lang w:val="es-ES_tradnl" w:eastAsia="es-ES"/>
        </w:rPr>
        <w:t>Presidente</w:t>
      </w:r>
      <w:proofErr w:type="gramEnd"/>
      <w:r w:rsidRPr="0083062E">
        <w:rPr>
          <w:rFonts w:eastAsia="Times New Roman" w:cs="Arial"/>
          <w:szCs w:val="24"/>
          <w:lang w:val="es-ES_tradnl" w:eastAsia="es-ES"/>
        </w:rPr>
        <w:t xml:space="preserve"> del Senado, la Comisión Mixta se constituyó el día </w:t>
      </w:r>
      <w:r w:rsidR="00DC683C" w:rsidRPr="00534AB0">
        <w:rPr>
          <w:rFonts w:eastAsia="Times New Roman" w:cs="Arial"/>
          <w:szCs w:val="24"/>
          <w:lang w:val="es-ES_tradnl" w:eastAsia="es-ES"/>
        </w:rPr>
        <w:t>19</w:t>
      </w:r>
      <w:r w:rsidRPr="00534AB0">
        <w:rPr>
          <w:rFonts w:eastAsia="Times New Roman" w:cs="Arial"/>
          <w:szCs w:val="24"/>
          <w:lang w:val="es-ES_tradnl" w:eastAsia="es-ES"/>
        </w:rPr>
        <w:t xml:space="preserve"> de </w:t>
      </w:r>
      <w:r w:rsidR="00DC683C" w:rsidRPr="00534AB0">
        <w:rPr>
          <w:rFonts w:eastAsia="Times New Roman" w:cs="Arial"/>
          <w:szCs w:val="24"/>
          <w:lang w:val="es-ES_tradnl" w:eastAsia="es-ES"/>
        </w:rPr>
        <w:t xml:space="preserve">junio </w:t>
      </w:r>
      <w:r w:rsidRPr="00534AB0">
        <w:rPr>
          <w:rFonts w:eastAsia="Times New Roman" w:cs="Arial"/>
          <w:szCs w:val="24"/>
          <w:lang w:val="es-ES_tradnl" w:eastAsia="es-ES"/>
        </w:rPr>
        <w:t>de 201</w:t>
      </w:r>
      <w:r w:rsidR="00DC683C" w:rsidRPr="00534AB0">
        <w:rPr>
          <w:rFonts w:eastAsia="Times New Roman" w:cs="Arial"/>
          <w:szCs w:val="24"/>
          <w:lang w:val="es-ES_tradnl" w:eastAsia="es-ES"/>
        </w:rPr>
        <w:t>9</w:t>
      </w:r>
      <w:r w:rsidRPr="0083062E">
        <w:rPr>
          <w:rFonts w:eastAsia="Times New Roman" w:cs="Arial"/>
          <w:szCs w:val="24"/>
          <w:lang w:val="es-ES_tradnl" w:eastAsia="es-ES"/>
        </w:rPr>
        <w:t xml:space="preserve">, oportunidad en que eligió por unanimidad como </w:t>
      </w:r>
      <w:r w:rsidRPr="00534AB0">
        <w:rPr>
          <w:rFonts w:eastAsia="Times New Roman" w:cs="Arial"/>
          <w:szCs w:val="24"/>
          <w:lang w:val="es-ES_tradnl" w:eastAsia="es-ES"/>
        </w:rPr>
        <w:t xml:space="preserve">Presidente al Honorable Senador señor </w:t>
      </w:r>
      <w:r w:rsidR="00DC683C" w:rsidRPr="00534AB0">
        <w:rPr>
          <w:rFonts w:eastAsia="Times New Roman" w:cs="Arial"/>
          <w:szCs w:val="24"/>
          <w:lang w:val="es-ES_tradnl" w:eastAsia="es-ES"/>
        </w:rPr>
        <w:t>Elizalde</w:t>
      </w:r>
      <w:r w:rsidR="00424CAC">
        <w:rPr>
          <w:rFonts w:eastAsia="Times New Roman" w:cs="Arial"/>
          <w:szCs w:val="24"/>
          <w:lang w:val="es-ES_tradnl" w:eastAsia="es-ES"/>
        </w:rPr>
        <w:t>.</w:t>
      </w:r>
    </w:p>
    <w:p w:rsidR="0083062E" w:rsidRPr="0083062E" w:rsidRDefault="0083062E" w:rsidP="0083062E">
      <w:pPr>
        <w:tabs>
          <w:tab w:val="left" w:pos="2592"/>
        </w:tabs>
        <w:autoSpaceDE w:val="0"/>
        <w:autoSpaceDN w:val="0"/>
        <w:adjustRightInd w:val="0"/>
        <w:jc w:val="both"/>
        <w:rPr>
          <w:rFonts w:eastAsia="Times New Roman" w:cs="Arial"/>
          <w:szCs w:val="24"/>
          <w:highlight w:val="yellow"/>
          <w:lang w:val="es-ES_tradnl" w:eastAsia="es-ES"/>
        </w:rPr>
      </w:pPr>
    </w:p>
    <w:p w:rsidR="006E30F4" w:rsidRPr="006E30F4" w:rsidRDefault="006E30F4" w:rsidP="006E30F4">
      <w:pPr>
        <w:ind w:firstLine="2835"/>
        <w:jc w:val="both"/>
        <w:rPr>
          <w:rFonts w:eastAsia="Times New Roman" w:cs="Arial"/>
          <w:szCs w:val="24"/>
          <w:lang w:val="es-ES" w:eastAsia="es-ES"/>
        </w:rPr>
      </w:pPr>
      <w:r w:rsidRPr="006E30F4">
        <w:rPr>
          <w:rFonts w:eastAsia="Times New Roman" w:cs="Arial"/>
          <w:szCs w:val="24"/>
          <w:lang w:val="es-ES" w:eastAsia="es-ES"/>
        </w:rPr>
        <w:lastRenderedPageBreak/>
        <w:t>A la sesión en que se analizó el proyecto de ley en informe, asistieron, especialmente invitados, del Ministerio de Minería</w:t>
      </w:r>
      <w:r>
        <w:rPr>
          <w:rFonts w:eastAsia="Times New Roman" w:cs="Arial"/>
          <w:szCs w:val="24"/>
          <w:lang w:val="es-ES" w:eastAsia="es-ES"/>
        </w:rPr>
        <w:t>,</w:t>
      </w:r>
      <w:r w:rsidRPr="006E30F4">
        <w:rPr>
          <w:rFonts w:eastAsia="Times New Roman" w:cs="Arial"/>
          <w:szCs w:val="24"/>
          <w:lang w:val="es-ES" w:eastAsia="es-ES"/>
        </w:rPr>
        <w:t xml:space="preserve"> el </w:t>
      </w:r>
      <w:proofErr w:type="gramStart"/>
      <w:r w:rsidRPr="006E30F4">
        <w:rPr>
          <w:rFonts w:eastAsia="Times New Roman" w:cs="Arial"/>
          <w:szCs w:val="24"/>
          <w:lang w:val="es-ES" w:eastAsia="es-ES"/>
        </w:rPr>
        <w:t>Ministro</w:t>
      </w:r>
      <w:proofErr w:type="gramEnd"/>
      <w:r w:rsidRPr="006E30F4">
        <w:rPr>
          <w:rFonts w:eastAsia="Times New Roman" w:cs="Arial"/>
          <w:szCs w:val="24"/>
          <w:lang w:val="es-ES" w:eastAsia="es-ES"/>
        </w:rPr>
        <w:t>,</w:t>
      </w:r>
      <w:r w:rsidRPr="006E30F4">
        <w:rPr>
          <w:rFonts w:eastAsia="Times New Roman" w:cs="Arial"/>
          <w:szCs w:val="24"/>
          <w:lang w:eastAsia="es-ES"/>
        </w:rPr>
        <w:t xml:space="preserve"> señor Baldo </w:t>
      </w:r>
      <w:proofErr w:type="spellStart"/>
      <w:r w:rsidRPr="006E30F4">
        <w:rPr>
          <w:rFonts w:eastAsia="Times New Roman" w:cs="Arial"/>
          <w:szCs w:val="24"/>
          <w:lang w:eastAsia="es-ES"/>
        </w:rPr>
        <w:t>Prokurica</w:t>
      </w:r>
      <w:proofErr w:type="spellEnd"/>
      <w:r w:rsidRPr="006E30F4">
        <w:rPr>
          <w:rFonts w:eastAsia="Times New Roman" w:cs="Arial"/>
          <w:szCs w:val="24"/>
          <w:lang w:eastAsia="es-ES"/>
        </w:rPr>
        <w:t>; el Jefe del Departamento de Asuntos Regulatorios, señor Felipe Curia</w:t>
      </w:r>
      <w:r>
        <w:rPr>
          <w:rFonts w:eastAsia="Times New Roman" w:cs="Arial"/>
          <w:szCs w:val="24"/>
          <w:lang w:eastAsia="es-ES"/>
        </w:rPr>
        <w:t>, y</w:t>
      </w:r>
      <w:r w:rsidRPr="006E30F4">
        <w:rPr>
          <w:rFonts w:eastAsia="Times New Roman" w:cs="Arial"/>
          <w:szCs w:val="24"/>
          <w:lang w:eastAsia="es-ES"/>
        </w:rPr>
        <w:t xml:space="preserve"> la asesora legislativa, señora Carmen </w:t>
      </w:r>
      <w:proofErr w:type="spellStart"/>
      <w:r w:rsidRPr="006E30F4">
        <w:rPr>
          <w:rFonts w:eastAsia="Times New Roman" w:cs="Arial"/>
          <w:szCs w:val="24"/>
          <w:lang w:eastAsia="es-ES"/>
        </w:rPr>
        <w:t>Castañaza</w:t>
      </w:r>
      <w:proofErr w:type="spellEnd"/>
      <w:r w:rsidRPr="006E30F4">
        <w:rPr>
          <w:rFonts w:eastAsia="Times New Roman" w:cs="Arial"/>
          <w:szCs w:val="24"/>
          <w:lang w:eastAsia="es-ES"/>
        </w:rPr>
        <w:t>.</w:t>
      </w:r>
    </w:p>
    <w:p w:rsidR="006E30F4" w:rsidRPr="006E30F4" w:rsidRDefault="006E30F4" w:rsidP="006E30F4">
      <w:pPr>
        <w:jc w:val="both"/>
        <w:rPr>
          <w:rFonts w:eastAsia="Times New Roman" w:cs="Arial"/>
          <w:szCs w:val="24"/>
          <w:lang w:val="es-ES" w:eastAsia="es-ES"/>
        </w:rPr>
      </w:pPr>
    </w:p>
    <w:p w:rsidR="006E30F4" w:rsidRPr="006E30F4" w:rsidRDefault="006E30F4" w:rsidP="006E30F4">
      <w:pPr>
        <w:tabs>
          <w:tab w:val="left" w:pos="2835"/>
        </w:tabs>
        <w:ind w:firstLine="2835"/>
        <w:jc w:val="both"/>
        <w:rPr>
          <w:rFonts w:eastAsia="Times New Roman" w:cs="Arial"/>
          <w:szCs w:val="24"/>
          <w:lang w:val="es-ES" w:eastAsia="es-ES"/>
        </w:rPr>
      </w:pPr>
      <w:r w:rsidRPr="006E30F4">
        <w:rPr>
          <w:rFonts w:eastAsia="Times New Roman" w:cs="Times New Roman"/>
          <w:spacing w:val="-3"/>
          <w:szCs w:val="24"/>
          <w:lang w:val="es-ES_tradnl" w:eastAsia="es-ES"/>
        </w:rPr>
        <w:t>También concurrió, del Servicio Nacional de Geología y Minería</w:t>
      </w:r>
      <w:r>
        <w:rPr>
          <w:rFonts w:eastAsia="Times New Roman" w:cs="Times New Roman"/>
          <w:spacing w:val="-3"/>
          <w:szCs w:val="24"/>
          <w:lang w:val="es-ES_tradnl" w:eastAsia="es-ES"/>
        </w:rPr>
        <w:t xml:space="preserve"> (SERNAGEOMIN)</w:t>
      </w:r>
      <w:r w:rsidRPr="006E30F4">
        <w:rPr>
          <w:rFonts w:eastAsia="Times New Roman" w:cs="Times New Roman"/>
          <w:spacing w:val="-3"/>
          <w:szCs w:val="24"/>
          <w:lang w:val="es-ES_tradnl" w:eastAsia="es-ES"/>
        </w:rPr>
        <w:t xml:space="preserve">, el Director Nacional, señor Alfonso Domeyko y </w:t>
      </w:r>
      <w:r w:rsidRPr="006E30F4">
        <w:rPr>
          <w:rFonts w:eastAsia="Times New Roman" w:cs="Arial"/>
          <w:szCs w:val="24"/>
          <w:lang w:val="es-ES" w:eastAsia="es-ES"/>
        </w:rPr>
        <w:t xml:space="preserve">el </w:t>
      </w:r>
      <w:proofErr w:type="gramStart"/>
      <w:r w:rsidRPr="006E30F4">
        <w:rPr>
          <w:rFonts w:eastAsia="Times New Roman" w:cs="Arial"/>
          <w:szCs w:val="24"/>
          <w:lang w:val="es-ES" w:eastAsia="es-ES"/>
        </w:rPr>
        <w:t>Jefe</w:t>
      </w:r>
      <w:proofErr w:type="gramEnd"/>
      <w:r w:rsidRPr="006E30F4">
        <w:rPr>
          <w:rFonts w:eastAsia="Times New Roman" w:cs="Arial"/>
          <w:szCs w:val="24"/>
          <w:lang w:val="es-ES" w:eastAsia="es-ES"/>
        </w:rPr>
        <w:t xml:space="preserve"> del Departamento Jurídico, señor José Manuel Correa.</w:t>
      </w:r>
    </w:p>
    <w:p w:rsidR="006E30F4" w:rsidRPr="006E30F4" w:rsidRDefault="006E30F4" w:rsidP="006E30F4">
      <w:pPr>
        <w:tabs>
          <w:tab w:val="left" w:pos="2835"/>
        </w:tabs>
        <w:ind w:firstLine="2835"/>
        <w:jc w:val="both"/>
        <w:rPr>
          <w:rFonts w:eastAsia="Times New Roman" w:cs="Arial"/>
          <w:szCs w:val="24"/>
          <w:lang w:val="es-ES" w:eastAsia="es-ES"/>
        </w:rPr>
      </w:pPr>
    </w:p>
    <w:p w:rsidR="006E30F4" w:rsidRPr="006E30F4" w:rsidRDefault="006E30F4" w:rsidP="006E30F4">
      <w:pPr>
        <w:tabs>
          <w:tab w:val="left" w:pos="2835"/>
        </w:tabs>
        <w:ind w:firstLine="2835"/>
        <w:jc w:val="both"/>
        <w:rPr>
          <w:rFonts w:eastAsia="Calibri" w:cs="Arial"/>
          <w:szCs w:val="24"/>
        </w:rPr>
      </w:pPr>
      <w:r w:rsidRPr="006E30F4">
        <w:rPr>
          <w:rFonts w:eastAsia="Times New Roman" w:cs="Arial"/>
          <w:szCs w:val="24"/>
          <w:lang w:eastAsia="es-ES"/>
        </w:rPr>
        <w:t xml:space="preserve">Además, asistió, </w:t>
      </w:r>
      <w:bookmarkStart w:id="0" w:name="_Hlk11831912"/>
      <w:r w:rsidRPr="006E30F4">
        <w:rPr>
          <w:rFonts w:eastAsia="Times New Roman" w:cs="Arial"/>
          <w:szCs w:val="24"/>
          <w:lang w:eastAsia="es-ES"/>
        </w:rPr>
        <w:t>d</w:t>
      </w:r>
      <w:r w:rsidRPr="006E30F4">
        <w:rPr>
          <w:rFonts w:eastAsia="Calibri" w:cs="Arial"/>
          <w:szCs w:val="24"/>
        </w:rPr>
        <w:t>e la Comisión para el Mercado Financiero, el Intendente de Seguros, señor Daniel García.</w:t>
      </w:r>
    </w:p>
    <w:bookmarkEnd w:id="0"/>
    <w:p w:rsidR="006E30F4" w:rsidRPr="006E30F4" w:rsidRDefault="006E30F4" w:rsidP="006E30F4">
      <w:pPr>
        <w:tabs>
          <w:tab w:val="left" w:pos="0"/>
          <w:tab w:val="left" w:pos="2835"/>
        </w:tabs>
        <w:ind w:right="-425" w:firstLine="2835"/>
        <w:jc w:val="both"/>
        <w:rPr>
          <w:rFonts w:eastAsia="Times New Roman" w:cs="Arial"/>
          <w:szCs w:val="24"/>
          <w:lang w:eastAsia="es-ES"/>
        </w:rPr>
      </w:pPr>
    </w:p>
    <w:p w:rsidR="004B2674" w:rsidRDefault="004B2674" w:rsidP="006E30F4">
      <w:pPr>
        <w:tabs>
          <w:tab w:val="left" w:pos="2835"/>
        </w:tabs>
        <w:ind w:firstLine="2835"/>
        <w:jc w:val="both"/>
        <w:rPr>
          <w:rFonts w:eastAsia="Times New Roman" w:cs="Arial"/>
          <w:szCs w:val="24"/>
          <w:lang w:val="es-ES" w:eastAsia="es-ES"/>
        </w:rPr>
      </w:pPr>
      <w:r>
        <w:rPr>
          <w:rFonts w:eastAsia="Times New Roman" w:cs="Arial"/>
          <w:szCs w:val="24"/>
          <w:lang w:val="es-ES" w:eastAsia="es-ES"/>
        </w:rPr>
        <w:t>Asimismo, asistieron:</w:t>
      </w:r>
    </w:p>
    <w:p w:rsidR="004B2674" w:rsidRDefault="004B2674" w:rsidP="006E30F4">
      <w:pPr>
        <w:tabs>
          <w:tab w:val="left" w:pos="2835"/>
        </w:tabs>
        <w:ind w:firstLine="2835"/>
        <w:jc w:val="both"/>
        <w:rPr>
          <w:rFonts w:eastAsia="Times New Roman" w:cs="Arial"/>
          <w:szCs w:val="24"/>
          <w:lang w:val="es-ES" w:eastAsia="es-ES"/>
        </w:rPr>
      </w:pPr>
    </w:p>
    <w:p w:rsidR="006E30F4" w:rsidRPr="006E30F4" w:rsidRDefault="006E30F4" w:rsidP="006E30F4">
      <w:pPr>
        <w:tabs>
          <w:tab w:val="left" w:pos="2835"/>
        </w:tabs>
        <w:ind w:firstLine="2835"/>
        <w:jc w:val="both"/>
        <w:rPr>
          <w:rFonts w:eastAsia="Times New Roman" w:cs="Arial"/>
          <w:szCs w:val="24"/>
          <w:lang w:val="es-ES" w:eastAsia="es-ES"/>
        </w:rPr>
      </w:pPr>
      <w:r w:rsidRPr="006E30F4">
        <w:rPr>
          <w:rFonts w:eastAsia="Times New Roman" w:cs="Arial"/>
          <w:szCs w:val="24"/>
          <w:lang w:val="es-ES" w:eastAsia="es-ES"/>
        </w:rPr>
        <w:t>La asesora de la Fundación Jaime Guzmán, señorita Carolina García.</w:t>
      </w:r>
    </w:p>
    <w:p w:rsidR="006E30F4" w:rsidRPr="006E30F4" w:rsidRDefault="006E30F4" w:rsidP="006E30F4">
      <w:pPr>
        <w:tabs>
          <w:tab w:val="left" w:pos="2835"/>
        </w:tabs>
        <w:ind w:firstLine="2835"/>
        <w:jc w:val="both"/>
        <w:rPr>
          <w:rFonts w:eastAsia="Times New Roman" w:cs="Arial"/>
          <w:szCs w:val="24"/>
          <w:lang w:val="es-ES" w:eastAsia="es-ES"/>
        </w:rPr>
      </w:pPr>
    </w:p>
    <w:p w:rsidR="006E30F4" w:rsidRPr="006E30F4" w:rsidRDefault="006E30F4" w:rsidP="006E30F4">
      <w:pPr>
        <w:tabs>
          <w:tab w:val="left" w:pos="2835"/>
        </w:tabs>
        <w:ind w:firstLine="2835"/>
        <w:jc w:val="both"/>
        <w:rPr>
          <w:rFonts w:eastAsia="Times New Roman" w:cs="Arial"/>
          <w:szCs w:val="24"/>
          <w:lang w:val="es-ES" w:eastAsia="es-ES"/>
        </w:rPr>
      </w:pPr>
      <w:r w:rsidRPr="006E30F4">
        <w:rPr>
          <w:rFonts w:eastAsia="Times New Roman" w:cs="Arial"/>
          <w:szCs w:val="24"/>
          <w:lang w:val="es-ES" w:eastAsia="es-ES"/>
        </w:rPr>
        <w:t>El asesor de la Secretaría General de la Presidencia, señor Cristián Barrera.</w:t>
      </w:r>
    </w:p>
    <w:p w:rsidR="006E30F4" w:rsidRPr="006E30F4" w:rsidRDefault="006E30F4" w:rsidP="006E30F4">
      <w:pPr>
        <w:tabs>
          <w:tab w:val="left" w:pos="2835"/>
        </w:tabs>
        <w:ind w:firstLine="2835"/>
        <w:jc w:val="both"/>
        <w:rPr>
          <w:rFonts w:eastAsia="Times New Roman" w:cs="Arial"/>
          <w:szCs w:val="24"/>
          <w:lang w:val="es-ES" w:eastAsia="es-ES"/>
        </w:rPr>
      </w:pPr>
    </w:p>
    <w:p w:rsidR="004B2674" w:rsidRDefault="004B2674" w:rsidP="006E30F4">
      <w:pPr>
        <w:tabs>
          <w:tab w:val="left" w:pos="2835"/>
        </w:tabs>
        <w:ind w:firstLine="2835"/>
        <w:jc w:val="both"/>
        <w:rPr>
          <w:rFonts w:eastAsia="Times New Roman" w:cs="Arial"/>
          <w:szCs w:val="24"/>
          <w:lang w:val="es-ES" w:eastAsia="es-ES"/>
        </w:rPr>
      </w:pPr>
      <w:r>
        <w:rPr>
          <w:rFonts w:eastAsia="Times New Roman" w:cs="Arial"/>
          <w:szCs w:val="24"/>
          <w:lang w:val="es-ES" w:eastAsia="es-ES"/>
        </w:rPr>
        <w:t xml:space="preserve">De </w:t>
      </w:r>
      <w:r w:rsidR="006E30F4" w:rsidRPr="006E30F4">
        <w:rPr>
          <w:rFonts w:eastAsia="Times New Roman" w:cs="Arial"/>
          <w:szCs w:val="24"/>
          <w:lang w:val="es-ES" w:eastAsia="es-ES"/>
        </w:rPr>
        <w:t xml:space="preserve">la Oficina de la Senadora señora Provoste, </w:t>
      </w:r>
      <w:r>
        <w:rPr>
          <w:rFonts w:eastAsia="Times New Roman" w:cs="Arial"/>
          <w:szCs w:val="24"/>
          <w:lang w:val="es-ES" w:eastAsia="es-ES"/>
        </w:rPr>
        <w:t xml:space="preserve">el asesor señor </w:t>
      </w:r>
      <w:r w:rsidR="006E30F4" w:rsidRPr="006E30F4">
        <w:rPr>
          <w:rFonts w:eastAsia="Times New Roman" w:cs="Arial"/>
          <w:szCs w:val="24"/>
          <w:lang w:val="es-ES" w:eastAsia="es-ES"/>
        </w:rPr>
        <w:t>Rodrigo Vega</w:t>
      </w:r>
      <w:r>
        <w:rPr>
          <w:rFonts w:eastAsia="Times New Roman" w:cs="Arial"/>
          <w:szCs w:val="24"/>
          <w:lang w:val="es-ES" w:eastAsia="es-ES"/>
        </w:rPr>
        <w:t>.</w:t>
      </w:r>
    </w:p>
    <w:p w:rsidR="004B2674" w:rsidRDefault="004B2674" w:rsidP="006E30F4">
      <w:pPr>
        <w:tabs>
          <w:tab w:val="left" w:pos="2835"/>
        </w:tabs>
        <w:ind w:firstLine="2835"/>
        <w:jc w:val="both"/>
        <w:rPr>
          <w:rFonts w:eastAsia="Times New Roman" w:cs="Arial"/>
          <w:szCs w:val="24"/>
          <w:lang w:val="es-ES" w:eastAsia="es-ES"/>
        </w:rPr>
      </w:pPr>
    </w:p>
    <w:p w:rsidR="004B2674" w:rsidRDefault="004B2674" w:rsidP="006E30F4">
      <w:pPr>
        <w:tabs>
          <w:tab w:val="left" w:pos="2835"/>
        </w:tabs>
        <w:ind w:firstLine="2835"/>
        <w:jc w:val="both"/>
        <w:rPr>
          <w:rFonts w:eastAsia="Times New Roman" w:cs="Arial"/>
          <w:szCs w:val="24"/>
          <w:lang w:val="es-ES" w:eastAsia="es-ES"/>
        </w:rPr>
      </w:pPr>
      <w:r>
        <w:rPr>
          <w:rFonts w:eastAsia="Times New Roman" w:cs="Arial"/>
          <w:szCs w:val="24"/>
          <w:lang w:val="es-ES" w:eastAsia="es-ES"/>
        </w:rPr>
        <w:t>D</w:t>
      </w:r>
      <w:r w:rsidR="006E30F4" w:rsidRPr="006E30F4">
        <w:rPr>
          <w:rFonts w:eastAsia="Times New Roman" w:cs="Arial"/>
          <w:szCs w:val="24"/>
          <w:lang w:val="es-ES" w:eastAsia="es-ES"/>
        </w:rPr>
        <w:t>e la Oficina del Senador señor García</w:t>
      </w:r>
      <w:r>
        <w:rPr>
          <w:rFonts w:eastAsia="Times New Roman" w:cs="Arial"/>
          <w:szCs w:val="24"/>
          <w:lang w:val="es-ES" w:eastAsia="es-ES"/>
        </w:rPr>
        <w:t xml:space="preserve"> </w:t>
      </w:r>
      <w:r w:rsidR="006E30F4" w:rsidRPr="006E30F4">
        <w:rPr>
          <w:rFonts w:eastAsia="Times New Roman" w:cs="Arial"/>
          <w:szCs w:val="24"/>
          <w:lang w:val="es-ES" w:eastAsia="es-ES"/>
        </w:rPr>
        <w:t xml:space="preserve">Huidobro, el </w:t>
      </w:r>
      <w:r>
        <w:rPr>
          <w:rFonts w:eastAsia="Times New Roman" w:cs="Arial"/>
          <w:szCs w:val="24"/>
          <w:lang w:val="es-ES" w:eastAsia="es-ES"/>
        </w:rPr>
        <w:t xml:space="preserve">asesor </w:t>
      </w:r>
      <w:r w:rsidR="006E30F4" w:rsidRPr="006E30F4">
        <w:rPr>
          <w:rFonts w:eastAsia="Times New Roman" w:cs="Arial"/>
          <w:szCs w:val="24"/>
          <w:lang w:val="es-ES" w:eastAsia="es-ES"/>
        </w:rPr>
        <w:t>señor Felipe Álvarez</w:t>
      </w:r>
      <w:r>
        <w:rPr>
          <w:rFonts w:eastAsia="Times New Roman" w:cs="Arial"/>
          <w:szCs w:val="24"/>
          <w:lang w:val="es-ES" w:eastAsia="es-ES"/>
        </w:rPr>
        <w:t>.</w:t>
      </w:r>
    </w:p>
    <w:p w:rsidR="004B2674" w:rsidRDefault="004B2674" w:rsidP="006E30F4">
      <w:pPr>
        <w:tabs>
          <w:tab w:val="left" w:pos="2835"/>
        </w:tabs>
        <w:ind w:firstLine="2835"/>
        <w:jc w:val="both"/>
        <w:rPr>
          <w:rFonts w:eastAsia="Times New Roman" w:cs="Arial"/>
          <w:szCs w:val="24"/>
          <w:lang w:val="es-ES" w:eastAsia="es-ES"/>
        </w:rPr>
      </w:pPr>
    </w:p>
    <w:p w:rsidR="004B2674" w:rsidRDefault="004B2674" w:rsidP="006E30F4">
      <w:pPr>
        <w:tabs>
          <w:tab w:val="left" w:pos="2835"/>
        </w:tabs>
        <w:ind w:firstLine="2835"/>
        <w:jc w:val="both"/>
        <w:rPr>
          <w:rFonts w:eastAsia="Times New Roman" w:cs="Arial"/>
          <w:szCs w:val="24"/>
          <w:lang w:val="es-ES" w:eastAsia="es-ES"/>
        </w:rPr>
      </w:pPr>
      <w:r>
        <w:rPr>
          <w:rFonts w:eastAsia="Times New Roman" w:cs="Arial"/>
          <w:szCs w:val="24"/>
          <w:lang w:val="es-ES" w:eastAsia="es-ES"/>
        </w:rPr>
        <w:t>D</w:t>
      </w:r>
      <w:r w:rsidR="006E30F4" w:rsidRPr="006E30F4">
        <w:rPr>
          <w:rFonts w:eastAsia="Times New Roman" w:cs="Arial"/>
          <w:szCs w:val="24"/>
          <w:lang w:val="es-ES" w:eastAsia="es-ES"/>
        </w:rPr>
        <w:t xml:space="preserve">e la Oficina del Senador señor Guillier, la </w:t>
      </w:r>
      <w:r>
        <w:rPr>
          <w:rFonts w:eastAsia="Times New Roman" w:cs="Arial"/>
          <w:szCs w:val="24"/>
          <w:lang w:val="es-ES" w:eastAsia="es-ES"/>
        </w:rPr>
        <w:t xml:space="preserve">asesora </w:t>
      </w:r>
      <w:r w:rsidR="006E30F4" w:rsidRPr="006E30F4">
        <w:rPr>
          <w:rFonts w:eastAsia="Times New Roman" w:cs="Arial"/>
          <w:szCs w:val="24"/>
          <w:lang w:val="es-ES" w:eastAsia="es-ES"/>
        </w:rPr>
        <w:t xml:space="preserve">señora Natalia </w:t>
      </w:r>
      <w:proofErr w:type="spellStart"/>
      <w:r w:rsidR="006E30F4" w:rsidRPr="006E30F4">
        <w:rPr>
          <w:rFonts w:eastAsia="Times New Roman" w:cs="Arial"/>
          <w:szCs w:val="24"/>
          <w:lang w:val="es-ES" w:eastAsia="es-ES"/>
        </w:rPr>
        <w:t>Alviña</w:t>
      </w:r>
      <w:proofErr w:type="spellEnd"/>
      <w:r>
        <w:rPr>
          <w:rFonts w:eastAsia="Times New Roman" w:cs="Arial"/>
          <w:szCs w:val="24"/>
          <w:lang w:val="es-ES" w:eastAsia="es-ES"/>
        </w:rPr>
        <w:t>.</w:t>
      </w:r>
    </w:p>
    <w:p w:rsidR="004B2674" w:rsidRDefault="004B2674" w:rsidP="006E30F4">
      <w:pPr>
        <w:tabs>
          <w:tab w:val="left" w:pos="2835"/>
        </w:tabs>
        <w:ind w:firstLine="2835"/>
        <w:jc w:val="both"/>
        <w:rPr>
          <w:rFonts w:eastAsia="Times New Roman" w:cs="Arial"/>
          <w:szCs w:val="24"/>
          <w:lang w:val="es-ES" w:eastAsia="es-ES"/>
        </w:rPr>
      </w:pPr>
    </w:p>
    <w:p w:rsidR="004B2674" w:rsidRDefault="004B2674" w:rsidP="006E30F4">
      <w:pPr>
        <w:tabs>
          <w:tab w:val="left" w:pos="2835"/>
        </w:tabs>
        <w:ind w:firstLine="2835"/>
        <w:jc w:val="both"/>
        <w:rPr>
          <w:rFonts w:eastAsia="Times New Roman" w:cs="Arial"/>
          <w:szCs w:val="24"/>
          <w:lang w:val="es-ES" w:eastAsia="es-ES"/>
        </w:rPr>
      </w:pPr>
      <w:r>
        <w:rPr>
          <w:rFonts w:eastAsia="Times New Roman" w:cs="Arial"/>
          <w:szCs w:val="24"/>
          <w:lang w:val="es-ES" w:eastAsia="es-ES"/>
        </w:rPr>
        <w:t>D</w:t>
      </w:r>
      <w:r w:rsidR="006E30F4" w:rsidRPr="006E30F4">
        <w:rPr>
          <w:rFonts w:eastAsia="Times New Roman" w:cs="Arial"/>
          <w:szCs w:val="24"/>
          <w:lang w:val="es-ES" w:eastAsia="es-ES"/>
        </w:rPr>
        <w:t xml:space="preserve">e la Oficina del Senador señor </w:t>
      </w:r>
      <w:proofErr w:type="spellStart"/>
      <w:r w:rsidR="006E30F4" w:rsidRPr="006E30F4">
        <w:rPr>
          <w:rFonts w:eastAsia="Times New Roman" w:cs="Arial"/>
          <w:szCs w:val="24"/>
          <w:lang w:val="es-ES" w:eastAsia="es-ES"/>
        </w:rPr>
        <w:t>Prohens</w:t>
      </w:r>
      <w:proofErr w:type="spellEnd"/>
      <w:r w:rsidR="006E30F4" w:rsidRPr="006E30F4">
        <w:rPr>
          <w:rFonts w:eastAsia="Times New Roman" w:cs="Arial"/>
          <w:szCs w:val="24"/>
          <w:lang w:val="es-ES" w:eastAsia="es-ES"/>
        </w:rPr>
        <w:t xml:space="preserve">, las </w:t>
      </w:r>
      <w:r>
        <w:rPr>
          <w:rFonts w:eastAsia="Times New Roman" w:cs="Arial"/>
          <w:szCs w:val="24"/>
          <w:lang w:val="es-ES" w:eastAsia="es-ES"/>
        </w:rPr>
        <w:t xml:space="preserve">asesoras </w:t>
      </w:r>
      <w:r w:rsidR="006E30F4" w:rsidRPr="006E30F4">
        <w:rPr>
          <w:rFonts w:eastAsia="Times New Roman" w:cs="Arial"/>
          <w:szCs w:val="24"/>
          <w:lang w:val="es-ES" w:eastAsia="es-ES"/>
        </w:rPr>
        <w:t>señoras Camila Madariaga y Camila Briones</w:t>
      </w:r>
      <w:r>
        <w:rPr>
          <w:rFonts w:eastAsia="Times New Roman" w:cs="Arial"/>
          <w:szCs w:val="24"/>
          <w:lang w:val="es-ES" w:eastAsia="es-ES"/>
        </w:rPr>
        <w:t>.</w:t>
      </w:r>
    </w:p>
    <w:p w:rsidR="004B2674" w:rsidRDefault="004B2674" w:rsidP="006E30F4">
      <w:pPr>
        <w:tabs>
          <w:tab w:val="left" w:pos="2835"/>
        </w:tabs>
        <w:ind w:firstLine="2835"/>
        <w:jc w:val="both"/>
        <w:rPr>
          <w:rFonts w:eastAsia="Times New Roman" w:cs="Arial"/>
          <w:szCs w:val="24"/>
          <w:lang w:val="es-ES" w:eastAsia="es-ES"/>
        </w:rPr>
      </w:pPr>
    </w:p>
    <w:p w:rsidR="004B2674" w:rsidRDefault="004B2674" w:rsidP="006E30F4">
      <w:pPr>
        <w:tabs>
          <w:tab w:val="left" w:pos="2835"/>
        </w:tabs>
        <w:ind w:firstLine="2835"/>
        <w:jc w:val="both"/>
        <w:rPr>
          <w:rFonts w:eastAsia="Times New Roman" w:cs="Arial"/>
          <w:szCs w:val="24"/>
          <w:lang w:val="es-ES" w:eastAsia="es-ES"/>
        </w:rPr>
      </w:pPr>
      <w:r>
        <w:rPr>
          <w:rFonts w:eastAsia="Times New Roman" w:cs="Arial"/>
          <w:szCs w:val="24"/>
          <w:lang w:val="es-ES" w:eastAsia="es-ES"/>
        </w:rPr>
        <w:t>D</w:t>
      </w:r>
      <w:r w:rsidR="006E30F4" w:rsidRPr="006E30F4">
        <w:rPr>
          <w:rFonts w:eastAsia="Times New Roman" w:cs="Arial"/>
          <w:szCs w:val="24"/>
          <w:lang w:val="es-ES" w:eastAsia="es-ES"/>
        </w:rPr>
        <w:t xml:space="preserve">e la Oficina del Diputado señor Castro, el </w:t>
      </w:r>
      <w:r>
        <w:rPr>
          <w:rFonts w:eastAsia="Times New Roman" w:cs="Arial"/>
          <w:szCs w:val="24"/>
          <w:lang w:val="es-ES" w:eastAsia="es-ES"/>
        </w:rPr>
        <w:t xml:space="preserve">asesor </w:t>
      </w:r>
      <w:r w:rsidR="006E30F4" w:rsidRPr="006E30F4">
        <w:rPr>
          <w:rFonts w:eastAsia="Times New Roman" w:cs="Arial"/>
          <w:szCs w:val="24"/>
          <w:lang w:val="es-ES" w:eastAsia="es-ES"/>
        </w:rPr>
        <w:t>señor Juan Eduardo Soza</w:t>
      </w:r>
      <w:r>
        <w:rPr>
          <w:rFonts w:eastAsia="Times New Roman" w:cs="Arial"/>
          <w:szCs w:val="24"/>
          <w:lang w:val="es-ES" w:eastAsia="es-ES"/>
        </w:rPr>
        <w:t>.</w:t>
      </w:r>
    </w:p>
    <w:p w:rsidR="004B2674" w:rsidRDefault="004B2674" w:rsidP="006E30F4">
      <w:pPr>
        <w:tabs>
          <w:tab w:val="left" w:pos="2835"/>
        </w:tabs>
        <w:ind w:firstLine="2835"/>
        <w:jc w:val="both"/>
        <w:rPr>
          <w:rFonts w:eastAsia="Times New Roman" w:cs="Arial"/>
          <w:szCs w:val="24"/>
          <w:lang w:val="es-ES" w:eastAsia="es-ES"/>
        </w:rPr>
      </w:pPr>
    </w:p>
    <w:p w:rsidR="006E30F4" w:rsidRPr="006E30F4" w:rsidRDefault="004B2674" w:rsidP="006E30F4">
      <w:pPr>
        <w:tabs>
          <w:tab w:val="left" w:pos="2835"/>
        </w:tabs>
        <w:ind w:firstLine="2835"/>
        <w:jc w:val="both"/>
        <w:rPr>
          <w:rFonts w:eastAsia="Times New Roman" w:cs="Arial"/>
          <w:szCs w:val="24"/>
          <w:lang w:val="es-ES" w:eastAsia="es-ES"/>
        </w:rPr>
      </w:pPr>
      <w:r>
        <w:rPr>
          <w:rFonts w:eastAsia="Times New Roman" w:cs="Arial"/>
          <w:szCs w:val="24"/>
          <w:lang w:val="es-ES" w:eastAsia="es-ES"/>
        </w:rPr>
        <w:t>D</w:t>
      </w:r>
      <w:r w:rsidR="006E30F4" w:rsidRPr="006E30F4">
        <w:rPr>
          <w:rFonts w:eastAsia="Times New Roman" w:cs="Arial"/>
          <w:szCs w:val="24"/>
          <w:lang w:val="es-ES" w:eastAsia="es-ES"/>
        </w:rPr>
        <w:t xml:space="preserve">e la Oficina de la Diputada señora Cid, el </w:t>
      </w:r>
      <w:r>
        <w:rPr>
          <w:rFonts w:eastAsia="Times New Roman" w:cs="Arial"/>
          <w:szCs w:val="24"/>
          <w:lang w:val="es-ES" w:eastAsia="es-ES"/>
        </w:rPr>
        <w:t xml:space="preserve">asesor </w:t>
      </w:r>
      <w:r w:rsidR="006E30F4" w:rsidRPr="006E30F4">
        <w:rPr>
          <w:rFonts w:eastAsia="Times New Roman" w:cs="Arial"/>
          <w:szCs w:val="24"/>
          <w:lang w:val="es-ES" w:eastAsia="es-ES"/>
        </w:rPr>
        <w:t>señor Álvaro Iriarte.</w:t>
      </w:r>
    </w:p>
    <w:p w:rsidR="006E30F4" w:rsidRPr="006E30F4" w:rsidRDefault="006E30F4" w:rsidP="006E30F4">
      <w:pPr>
        <w:tabs>
          <w:tab w:val="left" w:pos="0"/>
          <w:tab w:val="left" w:pos="2835"/>
        </w:tabs>
        <w:ind w:right="-425"/>
        <w:jc w:val="both"/>
        <w:rPr>
          <w:rFonts w:eastAsia="Times New Roman" w:cs="Arial"/>
          <w:szCs w:val="24"/>
          <w:lang w:val="es-ES" w:eastAsia="es-ES"/>
        </w:rPr>
      </w:pPr>
    </w:p>
    <w:p w:rsidR="0083062E" w:rsidRPr="0083062E" w:rsidRDefault="0083062E" w:rsidP="0083062E">
      <w:pPr>
        <w:tabs>
          <w:tab w:val="left" w:pos="2268"/>
        </w:tabs>
        <w:jc w:val="center"/>
        <w:rPr>
          <w:rFonts w:eastAsia="Times New Roman" w:cs="Arial"/>
          <w:szCs w:val="24"/>
          <w:lang w:val="es-ES_tradnl" w:eastAsia="es-ES"/>
        </w:rPr>
      </w:pPr>
      <w:r w:rsidRPr="0083062E">
        <w:rPr>
          <w:rFonts w:eastAsia="Times New Roman" w:cs="Arial"/>
          <w:b/>
          <w:szCs w:val="24"/>
          <w:lang w:val="es-ES_tradnl" w:eastAsia="es-ES"/>
        </w:rPr>
        <w:t>- - -</w:t>
      </w:r>
    </w:p>
    <w:p w:rsidR="0083062E" w:rsidRPr="0083062E" w:rsidRDefault="0083062E" w:rsidP="0083062E">
      <w:pPr>
        <w:tabs>
          <w:tab w:val="left" w:pos="2835"/>
        </w:tabs>
        <w:jc w:val="both"/>
        <w:rPr>
          <w:rFonts w:eastAsia="Times New Roman" w:cs="Arial"/>
          <w:szCs w:val="24"/>
          <w:lang w:val="es-ES_tradnl" w:eastAsia="es-ES"/>
        </w:rPr>
      </w:pPr>
    </w:p>
    <w:p w:rsidR="0083062E" w:rsidRPr="0083062E" w:rsidRDefault="0083062E" w:rsidP="00DC683C">
      <w:pPr>
        <w:tabs>
          <w:tab w:val="left" w:pos="2835"/>
        </w:tabs>
        <w:ind w:firstLine="2835"/>
        <w:jc w:val="both"/>
        <w:rPr>
          <w:rFonts w:eastAsia="Times New Roman" w:cs="Arial"/>
          <w:szCs w:val="24"/>
          <w:lang w:val="es-ES_tradnl" w:eastAsia="es-ES"/>
        </w:rPr>
      </w:pPr>
      <w:r w:rsidRPr="0083062E">
        <w:rPr>
          <w:rFonts w:eastAsia="Times New Roman" w:cs="Arial"/>
          <w:szCs w:val="24"/>
          <w:lang w:val="es-ES_tradnl" w:eastAsia="es-ES"/>
        </w:rPr>
        <w:t>A continuación</w:t>
      </w:r>
      <w:r w:rsidR="00DC683C">
        <w:rPr>
          <w:rFonts w:eastAsia="Times New Roman" w:cs="Arial"/>
          <w:szCs w:val="24"/>
          <w:lang w:val="es-ES_tradnl" w:eastAsia="es-ES"/>
        </w:rPr>
        <w:t>,</w:t>
      </w:r>
      <w:r w:rsidRPr="0083062E">
        <w:rPr>
          <w:rFonts w:eastAsia="Times New Roman" w:cs="Arial"/>
          <w:szCs w:val="24"/>
          <w:lang w:val="es-ES_tradnl" w:eastAsia="es-ES"/>
        </w:rPr>
        <w:t xml:space="preserve"> se efectúa una relación de las diferencias suscitadas entre ambas Corporaciones durante la tramitación de la iniciativa, así como del acuerdo adoptado a su respecto.</w:t>
      </w:r>
    </w:p>
    <w:p w:rsidR="0083062E" w:rsidRPr="0083062E" w:rsidRDefault="0083062E" w:rsidP="00DC683C">
      <w:pPr>
        <w:tabs>
          <w:tab w:val="left" w:pos="2268"/>
        </w:tabs>
        <w:ind w:firstLine="2835"/>
        <w:jc w:val="both"/>
        <w:rPr>
          <w:rFonts w:eastAsia="Times New Roman" w:cs="Arial"/>
          <w:szCs w:val="24"/>
          <w:lang w:val="es-ES_tradnl" w:eastAsia="es-ES"/>
        </w:rPr>
      </w:pPr>
    </w:p>
    <w:p w:rsidR="0083062E" w:rsidRPr="0083062E" w:rsidRDefault="0083062E" w:rsidP="00DC683C">
      <w:pPr>
        <w:tabs>
          <w:tab w:val="left" w:pos="2268"/>
        </w:tabs>
        <w:ind w:firstLine="2835"/>
        <w:jc w:val="both"/>
        <w:rPr>
          <w:rFonts w:eastAsia="Times New Roman" w:cs="Arial"/>
          <w:szCs w:val="24"/>
          <w:lang w:val="es-ES_tradnl" w:eastAsia="es-ES"/>
        </w:rPr>
      </w:pPr>
      <w:r w:rsidRPr="0083062E">
        <w:rPr>
          <w:rFonts w:eastAsia="Times New Roman" w:cs="Arial"/>
          <w:szCs w:val="24"/>
          <w:lang w:val="es-ES_tradnl" w:eastAsia="es-ES"/>
        </w:rPr>
        <w:t xml:space="preserve">En tercer trámite constitucional, el Senado rechazó la enmienda </w:t>
      </w:r>
      <w:r w:rsidR="00DC683C">
        <w:rPr>
          <w:rFonts w:eastAsia="Times New Roman" w:cs="Arial"/>
          <w:szCs w:val="24"/>
          <w:lang w:val="es-ES_tradnl" w:eastAsia="es-ES"/>
        </w:rPr>
        <w:t xml:space="preserve">que sustituía </w:t>
      </w:r>
      <w:r w:rsidR="00DC683C" w:rsidRPr="00DC683C">
        <w:rPr>
          <w:rFonts w:eastAsia="Times New Roman" w:cs="Arial"/>
          <w:szCs w:val="24"/>
          <w:lang w:val="es-ES_tradnl" w:eastAsia="es-ES"/>
        </w:rPr>
        <w:t xml:space="preserve">la letra a) del número 1) -número 2) de la H. Cámara </w:t>
      </w:r>
      <w:r w:rsidR="00DC683C" w:rsidRPr="00DC683C">
        <w:rPr>
          <w:rFonts w:eastAsia="Times New Roman" w:cs="Arial"/>
          <w:szCs w:val="24"/>
          <w:lang w:val="es-ES_tradnl" w:eastAsia="es-ES"/>
        </w:rPr>
        <w:lastRenderedPageBreak/>
        <w:t>de Diputados- del artículo único</w:t>
      </w:r>
      <w:r w:rsidR="00DC683C">
        <w:rPr>
          <w:rFonts w:eastAsia="Times New Roman" w:cs="Arial"/>
          <w:szCs w:val="24"/>
          <w:lang w:val="es-ES_tradnl" w:eastAsia="es-ES"/>
        </w:rPr>
        <w:t xml:space="preserve">, </w:t>
      </w:r>
      <w:r w:rsidRPr="0083062E">
        <w:rPr>
          <w:rFonts w:eastAsia="Times New Roman" w:cs="Arial"/>
          <w:szCs w:val="24"/>
          <w:lang w:val="es-ES_tradnl" w:eastAsia="es-ES"/>
        </w:rPr>
        <w:t>propuesta por la Cámara de Diputados en segundo trámite constitucional. Así lo comunicó mediante oficio N° </w:t>
      </w:r>
      <w:r w:rsidR="00DC683C">
        <w:rPr>
          <w:rFonts w:eastAsia="Times New Roman" w:cs="Arial"/>
          <w:szCs w:val="24"/>
          <w:lang w:val="es-ES_tradnl" w:eastAsia="es-ES"/>
        </w:rPr>
        <w:t>131</w:t>
      </w:r>
      <w:r w:rsidRPr="0083062E">
        <w:rPr>
          <w:rFonts w:eastAsia="Times New Roman" w:cs="Arial"/>
          <w:szCs w:val="24"/>
          <w:lang w:val="es-ES_tradnl" w:eastAsia="es-ES"/>
        </w:rPr>
        <w:t>/SEC/1</w:t>
      </w:r>
      <w:r w:rsidR="00DC683C">
        <w:rPr>
          <w:rFonts w:eastAsia="Times New Roman" w:cs="Arial"/>
          <w:szCs w:val="24"/>
          <w:lang w:val="es-ES_tradnl" w:eastAsia="es-ES"/>
        </w:rPr>
        <w:t>9</w:t>
      </w:r>
      <w:r w:rsidRPr="0083062E">
        <w:rPr>
          <w:rFonts w:eastAsia="Times New Roman" w:cs="Arial"/>
          <w:szCs w:val="24"/>
          <w:lang w:val="es-ES_tradnl" w:eastAsia="es-ES"/>
        </w:rPr>
        <w:t>.</w:t>
      </w:r>
    </w:p>
    <w:p w:rsidR="0083062E" w:rsidRPr="0083062E" w:rsidRDefault="0083062E" w:rsidP="00DC683C">
      <w:pPr>
        <w:tabs>
          <w:tab w:val="left" w:pos="2268"/>
        </w:tabs>
        <w:ind w:firstLine="2835"/>
        <w:jc w:val="both"/>
        <w:rPr>
          <w:rFonts w:eastAsia="Times New Roman" w:cs="Arial"/>
          <w:szCs w:val="24"/>
          <w:lang w:val="es-ES_tradnl" w:eastAsia="es-ES"/>
        </w:rPr>
      </w:pPr>
    </w:p>
    <w:p w:rsidR="009227F4" w:rsidRDefault="0083062E" w:rsidP="00DC683C">
      <w:pPr>
        <w:tabs>
          <w:tab w:val="left" w:pos="2268"/>
        </w:tabs>
        <w:ind w:firstLine="2835"/>
        <w:jc w:val="both"/>
        <w:rPr>
          <w:rFonts w:eastAsia="Times New Roman" w:cs="Arial"/>
          <w:szCs w:val="24"/>
          <w:lang w:val="es-ES_tradnl" w:eastAsia="es-ES"/>
        </w:rPr>
      </w:pPr>
      <w:r w:rsidRPr="0083062E">
        <w:rPr>
          <w:rFonts w:eastAsia="Times New Roman" w:cs="Arial"/>
          <w:szCs w:val="24"/>
          <w:lang w:val="es-ES_tradnl" w:eastAsia="es-ES"/>
        </w:rPr>
        <w:t xml:space="preserve">Lo obrado por la Cámara de Diputados había consistido en </w:t>
      </w:r>
      <w:r w:rsidR="009227F4">
        <w:rPr>
          <w:rFonts w:eastAsia="Times New Roman" w:cs="Arial"/>
          <w:szCs w:val="24"/>
          <w:lang w:val="es-ES_tradnl" w:eastAsia="es-ES"/>
        </w:rPr>
        <w:t>sustituir la letra a) del número 1), que ha pasado a ser número 2), por la siguiente:</w:t>
      </w:r>
    </w:p>
    <w:p w:rsidR="009227F4" w:rsidRPr="009227F4" w:rsidRDefault="009227F4" w:rsidP="009227F4">
      <w:pPr>
        <w:tabs>
          <w:tab w:val="left" w:pos="2268"/>
        </w:tabs>
        <w:ind w:firstLine="2835"/>
        <w:jc w:val="both"/>
        <w:rPr>
          <w:rFonts w:eastAsia="Times New Roman" w:cs="Arial"/>
          <w:szCs w:val="24"/>
          <w:lang w:val="es-ES_tradnl" w:eastAsia="es-ES"/>
        </w:rPr>
      </w:pPr>
    </w:p>
    <w:p w:rsidR="009227F4" w:rsidRDefault="009227F4" w:rsidP="009227F4">
      <w:pPr>
        <w:tabs>
          <w:tab w:val="left" w:pos="2268"/>
        </w:tabs>
        <w:ind w:firstLine="2835"/>
        <w:jc w:val="both"/>
        <w:rPr>
          <w:rFonts w:eastAsia="Times New Roman" w:cs="Arial"/>
          <w:szCs w:val="24"/>
          <w:lang w:val="es-ES_tradnl" w:eastAsia="es-ES"/>
        </w:rPr>
      </w:pPr>
      <w:r w:rsidRPr="009227F4">
        <w:rPr>
          <w:rFonts w:eastAsia="Times New Roman" w:cs="Arial"/>
          <w:szCs w:val="24"/>
          <w:lang w:val="es-ES_tradnl" w:eastAsia="es-ES"/>
        </w:rPr>
        <w:t xml:space="preserve">“a) </w:t>
      </w:r>
      <w:proofErr w:type="spellStart"/>
      <w:r w:rsidRPr="009227F4">
        <w:rPr>
          <w:rFonts w:eastAsia="Times New Roman" w:cs="Arial"/>
          <w:szCs w:val="24"/>
          <w:lang w:val="es-ES_tradnl" w:eastAsia="es-ES"/>
        </w:rPr>
        <w:t>Incorpóranse</w:t>
      </w:r>
      <w:proofErr w:type="spellEnd"/>
      <w:r w:rsidRPr="009227F4">
        <w:rPr>
          <w:rFonts w:eastAsia="Times New Roman" w:cs="Arial"/>
          <w:szCs w:val="24"/>
          <w:lang w:val="es-ES_tradnl" w:eastAsia="es-ES"/>
        </w:rPr>
        <w:t xml:space="preserve"> los siguientes párrafos tercero y cuarto, nuevos, pasando el actual párrafo tercero a ser quinto:</w:t>
      </w:r>
    </w:p>
    <w:p w:rsidR="009227F4" w:rsidRPr="009227F4" w:rsidRDefault="009227F4" w:rsidP="009227F4">
      <w:pPr>
        <w:tabs>
          <w:tab w:val="left" w:pos="2268"/>
        </w:tabs>
        <w:ind w:firstLine="2835"/>
        <w:jc w:val="both"/>
        <w:rPr>
          <w:rFonts w:eastAsia="Times New Roman" w:cs="Arial"/>
          <w:szCs w:val="24"/>
          <w:lang w:val="es-ES_tradnl" w:eastAsia="es-ES"/>
        </w:rPr>
      </w:pPr>
    </w:p>
    <w:p w:rsidR="009227F4" w:rsidRDefault="009227F4" w:rsidP="009227F4">
      <w:pPr>
        <w:tabs>
          <w:tab w:val="left" w:pos="2268"/>
        </w:tabs>
        <w:ind w:firstLine="2835"/>
        <w:jc w:val="both"/>
        <w:rPr>
          <w:rFonts w:eastAsia="Times New Roman" w:cs="Arial"/>
          <w:szCs w:val="24"/>
          <w:lang w:val="es-ES_tradnl" w:eastAsia="es-ES"/>
        </w:rPr>
      </w:pPr>
      <w:r w:rsidRPr="009227F4">
        <w:rPr>
          <w:rFonts w:eastAsia="Times New Roman" w:cs="Arial"/>
          <w:szCs w:val="24"/>
          <w:lang w:val="es-ES_tradnl" w:eastAsia="es-ES"/>
        </w:rPr>
        <w:t>“Asimismo, podrán otorgarse pólizas de garantía a primer requerimiento emitidas por compañías de seguros nacionales. En este caso, la indemnización deberá ser pagada al Servicio a su mera solicitud, de conformidad con lo señalado en el artículo 44, dentro del plazo que establece la póliza, caso en el cual la aseguradora no podrá exigir que el requerimiento contenga mayor información que la identificación de la póliza, del asegurado y del monto reclamado. El asegurador no podrá oponer excepción alguna para condicionar, diferir o incumplir el pago de la indemnización.</w:t>
      </w:r>
    </w:p>
    <w:p w:rsidR="009227F4" w:rsidRPr="009227F4" w:rsidRDefault="009227F4" w:rsidP="009227F4">
      <w:pPr>
        <w:tabs>
          <w:tab w:val="left" w:pos="2268"/>
        </w:tabs>
        <w:ind w:firstLine="2835"/>
        <w:jc w:val="both"/>
        <w:rPr>
          <w:rFonts w:eastAsia="Times New Roman" w:cs="Arial"/>
          <w:szCs w:val="24"/>
          <w:lang w:val="es-ES_tradnl" w:eastAsia="es-ES"/>
        </w:rPr>
      </w:pPr>
    </w:p>
    <w:p w:rsidR="009227F4" w:rsidRDefault="009227F4" w:rsidP="009227F4">
      <w:pPr>
        <w:tabs>
          <w:tab w:val="left" w:pos="2268"/>
        </w:tabs>
        <w:ind w:firstLine="2835"/>
        <w:jc w:val="both"/>
        <w:rPr>
          <w:rFonts w:eastAsia="Times New Roman" w:cs="Arial"/>
          <w:szCs w:val="24"/>
          <w:lang w:val="es-ES_tradnl" w:eastAsia="es-ES"/>
        </w:rPr>
      </w:pPr>
      <w:r w:rsidRPr="009227F4">
        <w:rPr>
          <w:rFonts w:eastAsia="Times New Roman" w:cs="Arial"/>
          <w:szCs w:val="24"/>
          <w:lang w:val="es-ES_tradnl" w:eastAsia="es-ES"/>
        </w:rPr>
        <w:t>El asegurador deberá indemnizar al Servicio la totalidad de los costos de las medidas y actividades que dejó de cumplir de acuerdo a la resolución que el Servicio dictó de conformidad con el artículo 44, hasta el monto asegurado que contemple el plan de cierre.”.”.</w:t>
      </w:r>
    </w:p>
    <w:p w:rsidR="009227F4" w:rsidRDefault="009227F4" w:rsidP="009227F4">
      <w:pPr>
        <w:tabs>
          <w:tab w:val="left" w:pos="2268"/>
        </w:tabs>
        <w:ind w:firstLine="2835"/>
        <w:jc w:val="both"/>
        <w:rPr>
          <w:rFonts w:eastAsia="Times New Roman" w:cs="Arial"/>
          <w:szCs w:val="24"/>
          <w:lang w:val="es-ES_tradnl" w:eastAsia="es-ES"/>
        </w:rPr>
      </w:pPr>
    </w:p>
    <w:p w:rsidR="0083062E" w:rsidRPr="0083062E" w:rsidRDefault="0083062E" w:rsidP="0083062E">
      <w:pPr>
        <w:tabs>
          <w:tab w:val="left" w:pos="2835"/>
        </w:tabs>
        <w:jc w:val="center"/>
        <w:rPr>
          <w:rFonts w:eastAsia="Times New Roman" w:cs="Arial"/>
          <w:b/>
          <w:szCs w:val="24"/>
          <w:lang w:val="es-ES_tradnl" w:eastAsia="es-ES"/>
        </w:rPr>
      </w:pPr>
      <w:r w:rsidRPr="0083062E">
        <w:rPr>
          <w:rFonts w:eastAsia="Times New Roman" w:cs="Arial"/>
          <w:b/>
          <w:szCs w:val="24"/>
          <w:lang w:val="es-ES_tradnl" w:eastAsia="es-ES"/>
        </w:rPr>
        <w:t>DISCUSIÓN Y PROPOSICIÓN</w:t>
      </w:r>
    </w:p>
    <w:p w:rsidR="0083062E" w:rsidRPr="0083062E" w:rsidRDefault="0083062E" w:rsidP="0083062E">
      <w:pPr>
        <w:tabs>
          <w:tab w:val="left" w:pos="2835"/>
        </w:tabs>
        <w:jc w:val="both"/>
        <w:rPr>
          <w:rFonts w:eastAsia="Times New Roman" w:cs="Arial"/>
          <w:szCs w:val="24"/>
          <w:lang w:val="es-ES_tradnl" w:eastAsia="es-ES"/>
        </w:rPr>
      </w:pPr>
    </w:p>
    <w:p w:rsidR="009323D8" w:rsidRDefault="0083062E" w:rsidP="009227F4">
      <w:pPr>
        <w:tabs>
          <w:tab w:val="left" w:pos="2835"/>
        </w:tabs>
        <w:ind w:firstLine="2835"/>
        <w:jc w:val="both"/>
        <w:rPr>
          <w:rFonts w:eastAsia="Times New Roman" w:cs="Arial"/>
          <w:szCs w:val="24"/>
          <w:lang w:val="es-ES_tradnl" w:eastAsia="es-ES"/>
        </w:rPr>
      </w:pPr>
      <w:r w:rsidRPr="00534AB0">
        <w:rPr>
          <w:rFonts w:eastAsia="Times New Roman" w:cs="Arial"/>
          <w:szCs w:val="24"/>
          <w:lang w:val="es-ES_tradnl" w:eastAsia="es-ES"/>
        </w:rPr>
        <w:t xml:space="preserve">Previo al conocimiento de los asuntos de competencia de la Comisión Mixta, </w:t>
      </w:r>
      <w:r w:rsidR="00534AB0" w:rsidRPr="00534AB0">
        <w:rPr>
          <w:rFonts w:eastAsia="Times New Roman" w:cs="Arial"/>
          <w:szCs w:val="24"/>
          <w:lang w:val="es-ES_tradnl" w:eastAsia="es-ES"/>
        </w:rPr>
        <w:t xml:space="preserve">se escuchó al </w:t>
      </w:r>
      <w:r w:rsidR="00534AB0" w:rsidRPr="00534AB0">
        <w:rPr>
          <w:rFonts w:eastAsia="Times New Roman" w:cs="Arial"/>
          <w:b/>
          <w:bCs/>
          <w:szCs w:val="24"/>
          <w:lang w:val="es-ES_tradnl" w:eastAsia="es-ES"/>
        </w:rPr>
        <w:t xml:space="preserve">Intendente de Seguros de la Comisión </w:t>
      </w:r>
      <w:r w:rsidR="009323D8">
        <w:rPr>
          <w:rFonts w:eastAsia="Times New Roman" w:cs="Arial"/>
          <w:b/>
          <w:bCs/>
          <w:szCs w:val="24"/>
          <w:lang w:val="es-ES_tradnl" w:eastAsia="es-ES"/>
        </w:rPr>
        <w:t xml:space="preserve">para el </w:t>
      </w:r>
      <w:r w:rsidR="00534AB0" w:rsidRPr="00534AB0">
        <w:rPr>
          <w:rFonts w:eastAsia="Times New Roman" w:cs="Arial"/>
          <w:b/>
          <w:bCs/>
          <w:szCs w:val="24"/>
          <w:lang w:val="es-ES_tradnl" w:eastAsia="es-ES"/>
        </w:rPr>
        <w:t>Mercado Financiero, señor Daniel García</w:t>
      </w:r>
      <w:r w:rsidR="00534AB0" w:rsidRPr="00534AB0">
        <w:rPr>
          <w:rFonts w:eastAsia="Times New Roman" w:cs="Arial"/>
          <w:szCs w:val="24"/>
          <w:lang w:val="es-ES_tradnl" w:eastAsia="es-ES"/>
        </w:rPr>
        <w:t>, quien expuso que</w:t>
      </w:r>
      <w:r w:rsidR="00FC7F72">
        <w:rPr>
          <w:rFonts w:eastAsia="Times New Roman" w:cs="Arial"/>
          <w:szCs w:val="24"/>
          <w:lang w:val="es-ES_tradnl" w:eastAsia="es-ES"/>
        </w:rPr>
        <w:t xml:space="preserve"> la entidad </w:t>
      </w:r>
      <w:r w:rsidR="009323D8">
        <w:rPr>
          <w:rFonts w:eastAsia="Times New Roman" w:cs="Arial"/>
          <w:szCs w:val="24"/>
          <w:lang w:val="es-ES_tradnl" w:eastAsia="es-ES"/>
        </w:rPr>
        <w:t>supervis</w:t>
      </w:r>
      <w:r w:rsidR="00FC7F72">
        <w:rPr>
          <w:rFonts w:eastAsia="Times New Roman" w:cs="Arial"/>
          <w:szCs w:val="24"/>
          <w:lang w:val="es-ES_tradnl" w:eastAsia="es-ES"/>
        </w:rPr>
        <w:t>a</w:t>
      </w:r>
      <w:r w:rsidR="009323D8">
        <w:rPr>
          <w:rFonts w:eastAsia="Times New Roman" w:cs="Arial"/>
          <w:szCs w:val="24"/>
          <w:lang w:val="es-ES_tradnl" w:eastAsia="es-ES"/>
        </w:rPr>
        <w:t xml:space="preserve"> las compañías de seguros, </w:t>
      </w:r>
      <w:r w:rsidR="00FC7F72">
        <w:rPr>
          <w:rFonts w:eastAsia="Times New Roman" w:cs="Arial"/>
          <w:szCs w:val="24"/>
          <w:lang w:val="es-ES_tradnl" w:eastAsia="es-ES"/>
        </w:rPr>
        <w:t xml:space="preserve">las </w:t>
      </w:r>
      <w:r w:rsidR="00424CAC">
        <w:rPr>
          <w:rFonts w:eastAsia="Times New Roman" w:cs="Arial"/>
          <w:szCs w:val="24"/>
          <w:lang w:val="es-ES_tradnl" w:eastAsia="es-ES"/>
        </w:rPr>
        <w:t>que</w:t>
      </w:r>
      <w:r w:rsidR="009323D8">
        <w:rPr>
          <w:rFonts w:eastAsia="Times New Roman" w:cs="Arial"/>
          <w:szCs w:val="24"/>
          <w:lang w:val="es-ES_tradnl" w:eastAsia="es-ES"/>
        </w:rPr>
        <w:t xml:space="preserve"> </w:t>
      </w:r>
      <w:r w:rsidR="00FC7F72">
        <w:rPr>
          <w:rFonts w:eastAsia="Times New Roman" w:cs="Arial"/>
          <w:szCs w:val="24"/>
          <w:lang w:val="es-ES_tradnl" w:eastAsia="es-ES"/>
        </w:rPr>
        <w:t xml:space="preserve">están </w:t>
      </w:r>
      <w:r w:rsidR="009323D8">
        <w:rPr>
          <w:rFonts w:eastAsia="Times New Roman" w:cs="Arial"/>
          <w:szCs w:val="24"/>
          <w:lang w:val="es-ES_tradnl" w:eastAsia="es-ES"/>
        </w:rPr>
        <w:t>facultadas para ofrecer un seguro de garantía de fiel cumplimiento de un contrato</w:t>
      </w:r>
      <w:r w:rsidR="00FC7F72">
        <w:rPr>
          <w:rFonts w:eastAsia="Times New Roman" w:cs="Arial"/>
          <w:szCs w:val="24"/>
          <w:lang w:val="es-ES_tradnl" w:eastAsia="es-ES"/>
        </w:rPr>
        <w:t xml:space="preserve"> u obligación</w:t>
      </w:r>
      <w:r w:rsidR="009323D8">
        <w:rPr>
          <w:rFonts w:eastAsia="Times New Roman" w:cs="Arial"/>
          <w:szCs w:val="24"/>
          <w:lang w:val="es-ES_tradnl" w:eastAsia="es-ES"/>
        </w:rPr>
        <w:t xml:space="preserve">, como </w:t>
      </w:r>
      <w:r w:rsidR="00FC7F72">
        <w:rPr>
          <w:rFonts w:eastAsia="Times New Roman" w:cs="Arial"/>
          <w:szCs w:val="24"/>
          <w:lang w:val="es-ES_tradnl" w:eastAsia="es-ES"/>
        </w:rPr>
        <w:t>el cierre de faena o instalación minera</w:t>
      </w:r>
      <w:r w:rsidR="009323D8">
        <w:rPr>
          <w:rFonts w:eastAsia="Times New Roman" w:cs="Arial"/>
          <w:szCs w:val="24"/>
          <w:lang w:val="es-ES_tradnl" w:eastAsia="es-ES"/>
        </w:rPr>
        <w:t>.</w:t>
      </w:r>
    </w:p>
    <w:p w:rsidR="009323D8" w:rsidRDefault="009323D8" w:rsidP="009227F4">
      <w:pPr>
        <w:tabs>
          <w:tab w:val="left" w:pos="2835"/>
        </w:tabs>
        <w:ind w:firstLine="2835"/>
        <w:jc w:val="both"/>
        <w:rPr>
          <w:rFonts w:eastAsia="Times New Roman" w:cs="Arial"/>
          <w:szCs w:val="24"/>
          <w:lang w:val="es-ES_tradnl" w:eastAsia="es-ES"/>
        </w:rPr>
      </w:pPr>
    </w:p>
    <w:p w:rsidR="009323D8" w:rsidRDefault="00424CAC" w:rsidP="009227F4">
      <w:pPr>
        <w:tabs>
          <w:tab w:val="left" w:pos="2835"/>
        </w:tabs>
        <w:ind w:firstLine="2835"/>
        <w:jc w:val="both"/>
        <w:rPr>
          <w:rFonts w:eastAsia="Times New Roman" w:cs="Arial"/>
          <w:szCs w:val="24"/>
          <w:lang w:val="es-ES_tradnl" w:eastAsia="es-ES"/>
        </w:rPr>
      </w:pPr>
      <w:r>
        <w:rPr>
          <w:rFonts w:eastAsia="Times New Roman" w:cs="Arial"/>
          <w:szCs w:val="24"/>
          <w:lang w:val="es-ES_tradnl" w:eastAsia="es-ES"/>
        </w:rPr>
        <w:t>P</w:t>
      </w:r>
      <w:r w:rsidR="00FC7F72">
        <w:rPr>
          <w:rFonts w:eastAsia="Times New Roman" w:cs="Arial"/>
          <w:szCs w:val="24"/>
          <w:lang w:val="es-ES_tradnl" w:eastAsia="es-ES"/>
        </w:rPr>
        <w:t>recisó</w:t>
      </w:r>
      <w:r>
        <w:rPr>
          <w:rFonts w:eastAsia="Times New Roman" w:cs="Arial"/>
          <w:szCs w:val="24"/>
          <w:lang w:val="es-ES_tradnl" w:eastAsia="es-ES"/>
        </w:rPr>
        <w:t xml:space="preserve"> que</w:t>
      </w:r>
      <w:r w:rsidR="00FC7F72">
        <w:rPr>
          <w:rFonts w:eastAsia="Times New Roman" w:cs="Arial"/>
          <w:szCs w:val="24"/>
          <w:lang w:val="es-ES_tradnl" w:eastAsia="es-ES"/>
        </w:rPr>
        <w:t xml:space="preserve"> </w:t>
      </w:r>
      <w:r w:rsidR="009323D8">
        <w:rPr>
          <w:rFonts w:eastAsia="Times New Roman" w:cs="Arial"/>
          <w:szCs w:val="24"/>
          <w:lang w:val="es-ES_tradnl" w:eastAsia="es-ES"/>
        </w:rPr>
        <w:t xml:space="preserve">la Sociedad Nacional de Minería y otras entidades gremiales del sector </w:t>
      </w:r>
      <w:r w:rsidR="00FC7F72">
        <w:rPr>
          <w:rFonts w:eastAsia="Times New Roman" w:cs="Arial"/>
          <w:szCs w:val="24"/>
          <w:lang w:val="es-ES_tradnl" w:eastAsia="es-ES"/>
        </w:rPr>
        <w:t xml:space="preserve">han </w:t>
      </w:r>
      <w:r w:rsidR="009323D8">
        <w:rPr>
          <w:rFonts w:eastAsia="Times New Roman" w:cs="Arial"/>
          <w:szCs w:val="24"/>
          <w:lang w:val="es-ES_tradnl" w:eastAsia="es-ES"/>
        </w:rPr>
        <w:t>plantea</w:t>
      </w:r>
      <w:r w:rsidR="00FC7F72">
        <w:rPr>
          <w:rFonts w:eastAsia="Times New Roman" w:cs="Arial"/>
          <w:szCs w:val="24"/>
          <w:lang w:val="es-ES_tradnl" w:eastAsia="es-ES"/>
        </w:rPr>
        <w:t>do</w:t>
      </w:r>
      <w:r w:rsidR="009323D8">
        <w:rPr>
          <w:rFonts w:eastAsia="Times New Roman" w:cs="Arial"/>
          <w:szCs w:val="24"/>
          <w:lang w:val="es-ES_tradnl" w:eastAsia="es-ES"/>
        </w:rPr>
        <w:t xml:space="preserve"> la necesidad de busca</w:t>
      </w:r>
      <w:r w:rsidR="00FC7F72">
        <w:rPr>
          <w:rFonts w:eastAsia="Times New Roman" w:cs="Arial"/>
          <w:szCs w:val="24"/>
          <w:lang w:val="es-ES_tradnl" w:eastAsia="es-ES"/>
        </w:rPr>
        <w:t>r</w:t>
      </w:r>
      <w:r w:rsidR="009323D8">
        <w:rPr>
          <w:rFonts w:eastAsia="Times New Roman" w:cs="Arial"/>
          <w:szCs w:val="24"/>
          <w:lang w:val="es-ES_tradnl" w:eastAsia="es-ES"/>
        </w:rPr>
        <w:t xml:space="preserve"> instrumentos </w:t>
      </w:r>
      <w:r w:rsidR="00051B93">
        <w:rPr>
          <w:rFonts w:eastAsia="Times New Roman" w:cs="Arial"/>
          <w:szCs w:val="24"/>
          <w:lang w:val="es-ES_tradnl" w:eastAsia="es-ES"/>
        </w:rPr>
        <w:t xml:space="preserve">de garantía que sean </w:t>
      </w:r>
      <w:r w:rsidR="009323D8">
        <w:rPr>
          <w:rFonts w:eastAsia="Times New Roman" w:cs="Arial"/>
          <w:szCs w:val="24"/>
          <w:lang w:val="es-ES_tradnl" w:eastAsia="es-ES"/>
        </w:rPr>
        <w:t xml:space="preserve">competitivos con la boleta de garantía bancaria, </w:t>
      </w:r>
      <w:r w:rsidR="00051B93">
        <w:rPr>
          <w:rFonts w:eastAsia="Times New Roman" w:cs="Arial"/>
          <w:szCs w:val="24"/>
          <w:lang w:val="es-ES_tradnl" w:eastAsia="es-ES"/>
        </w:rPr>
        <w:t xml:space="preserve">por los </w:t>
      </w:r>
      <w:r w:rsidR="009323D8">
        <w:rPr>
          <w:rFonts w:eastAsia="Times New Roman" w:cs="Arial"/>
          <w:szCs w:val="24"/>
          <w:lang w:val="es-ES_tradnl" w:eastAsia="es-ES"/>
        </w:rPr>
        <w:t xml:space="preserve">costos </w:t>
      </w:r>
      <w:r w:rsidR="00051B93">
        <w:rPr>
          <w:rFonts w:eastAsia="Times New Roman" w:cs="Arial"/>
          <w:szCs w:val="24"/>
          <w:lang w:val="es-ES_tradnl" w:eastAsia="es-ES"/>
        </w:rPr>
        <w:t xml:space="preserve">que esta representa </w:t>
      </w:r>
      <w:r w:rsidR="009323D8">
        <w:rPr>
          <w:rFonts w:eastAsia="Times New Roman" w:cs="Arial"/>
          <w:szCs w:val="24"/>
          <w:lang w:val="es-ES_tradnl" w:eastAsia="es-ES"/>
        </w:rPr>
        <w:t>para la industria</w:t>
      </w:r>
      <w:r w:rsidR="00051B93">
        <w:rPr>
          <w:rFonts w:eastAsia="Times New Roman" w:cs="Arial"/>
          <w:szCs w:val="24"/>
          <w:lang w:val="es-ES_tradnl" w:eastAsia="es-ES"/>
        </w:rPr>
        <w:t>;</w:t>
      </w:r>
      <w:r w:rsidR="00445283">
        <w:rPr>
          <w:rFonts w:eastAsia="Times New Roman" w:cs="Arial"/>
          <w:szCs w:val="24"/>
          <w:lang w:val="es-ES_tradnl" w:eastAsia="es-ES"/>
        </w:rPr>
        <w:t xml:space="preserve"> </w:t>
      </w:r>
      <w:r w:rsidR="00051B93">
        <w:rPr>
          <w:rFonts w:eastAsia="Times New Roman" w:cs="Arial"/>
          <w:szCs w:val="24"/>
          <w:lang w:val="es-ES_tradnl" w:eastAsia="es-ES"/>
        </w:rPr>
        <w:t>d</w:t>
      </w:r>
      <w:r w:rsidR="00445283">
        <w:rPr>
          <w:rFonts w:eastAsia="Times New Roman" w:cs="Arial"/>
          <w:szCs w:val="24"/>
          <w:lang w:val="es-ES_tradnl" w:eastAsia="es-ES"/>
        </w:rPr>
        <w:t>e allí surge la opción de una póliza de garantía de fiel cumplimiento.</w:t>
      </w:r>
    </w:p>
    <w:p w:rsidR="00445283" w:rsidRDefault="00445283" w:rsidP="009227F4">
      <w:pPr>
        <w:tabs>
          <w:tab w:val="left" w:pos="2835"/>
        </w:tabs>
        <w:ind w:firstLine="2835"/>
        <w:jc w:val="both"/>
        <w:rPr>
          <w:rFonts w:eastAsia="Times New Roman" w:cs="Arial"/>
          <w:szCs w:val="24"/>
          <w:lang w:val="es-ES_tradnl" w:eastAsia="es-ES"/>
        </w:rPr>
      </w:pPr>
    </w:p>
    <w:p w:rsidR="00051B93" w:rsidRDefault="00051B93" w:rsidP="009227F4">
      <w:pPr>
        <w:tabs>
          <w:tab w:val="left" w:pos="2835"/>
        </w:tabs>
        <w:ind w:firstLine="2835"/>
        <w:jc w:val="both"/>
        <w:rPr>
          <w:rFonts w:eastAsia="Times New Roman" w:cs="Arial"/>
          <w:szCs w:val="24"/>
          <w:lang w:val="es-ES_tradnl" w:eastAsia="es-ES"/>
        </w:rPr>
      </w:pPr>
      <w:r>
        <w:rPr>
          <w:rFonts w:eastAsia="Times New Roman" w:cs="Arial"/>
          <w:szCs w:val="24"/>
          <w:lang w:val="es-ES_tradnl" w:eastAsia="es-ES"/>
        </w:rPr>
        <w:t>Acotó que</w:t>
      </w:r>
      <w:r w:rsidR="00424CAC">
        <w:rPr>
          <w:rFonts w:eastAsia="Times New Roman" w:cs="Arial"/>
          <w:szCs w:val="24"/>
          <w:lang w:val="es-ES_tradnl" w:eastAsia="es-ES"/>
        </w:rPr>
        <w:t>,</w:t>
      </w:r>
      <w:r>
        <w:rPr>
          <w:rFonts w:eastAsia="Times New Roman" w:cs="Arial"/>
          <w:szCs w:val="24"/>
          <w:lang w:val="es-ES_tradnl" w:eastAsia="es-ES"/>
        </w:rPr>
        <w:t xml:space="preserve"> al ser consultados </w:t>
      </w:r>
      <w:r w:rsidR="00445283">
        <w:rPr>
          <w:rFonts w:eastAsia="Times New Roman" w:cs="Arial"/>
          <w:szCs w:val="24"/>
          <w:lang w:val="es-ES_tradnl" w:eastAsia="es-ES"/>
        </w:rPr>
        <w:t>por las características de</w:t>
      </w:r>
      <w:r>
        <w:rPr>
          <w:rFonts w:eastAsia="Times New Roman" w:cs="Arial"/>
          <w:szCs w:val="24"/>
          <w:lang w:val="es-ES_tradnl" w:eastAsia="es-ES"/>
        </w:rPr>
        <w:t>l</w:t>
      </w:r>
      <w:r w:rsidR="00445283">
        <w:rPr>
          <w:rFonts w:eastAsia="Times New Roman" w:cs="Arial"/>
          <w:szCs w:val="24"/>
          <w:lang w:val="es-ES_tradnl" w:eastAsia="es-ES"/>
        </w:rPr>
        <w:t xml:space="preserve"> nuevo instrumento</w:t>
      </w:r>
      <w:r>
        <w:rPr>
          <w:rFonts w:eastAsia="Times New Roman" w:cs="Arial"/>
          <w:szCs w:val="24"/>
          <w:lang w:val="es-ES_tradnl" w:eastAsia="es-ES"/>
        </w:rPr>
        <w:t xml:space="preserve"> que propone el presente proyecto de ley</w:t>
      </w:r>
      <w:r w:rsidR="00445283">
        <w:rPr>
          <w:rFonts w:eastAsia="Times New Roman" w:cs="Arial"/>
          <w:szCs w:val="24"/>
          <w:lang w:val="es-ES_tradnl" w:eastAsia="es-ES"/>
        </w:rPr>
        <w:t xml:space="preserve">, </w:t>
      </w:r>
      <w:r>
        <w:rPr>
          <w:rFonts w:eastAsia="Times New Roman" w:cs="Arial"/>
          <w:szCs w:val="24"/>
          <w:lang w:val="es-ES_tradnl" w:eastAsia="es-ES"/>
        </w:rPr>
        <w:t xml:space="preserve">se </w:t>
      </w:r>
      <w:r w:rsidR="00445283">
        <w:rPr>
          <w:rFonts w:eastAsia="Times New Roman" w:cs="Arial"/>
          <w:szCs w:val="24"/>
          <w:lang w:val="es-ES_tradnl" w:eastAsia="es-ES"/>
        </w:rPr>
        <w:t xml:space="preserve">consideraron los elementos que hoy </w:t>
      </w:r>
      <w:r>
        <w:rPr>
          <w:rFonts w:eastAsia="Times New Roman" w:cs="Arial"/>
          <w:szCs w:val="24"/>
          <w:lang w:val="es-ES_tradnl" w:eastAsia="es-ES"/>
        </w:rPr>
        <w:t xml:space="preserve">contempla </w:t>
      </w:r>
      <w:r w:rsidR="00445283">
        <w:rPr>
          <w:rFonts w:eastAsia="Times New Roman" w:cs="Arial"/>
          <w:szCs w:val="24"/>
          <w:lang w:val="es-ES_tradnl" w:eastAsia="es-ES"/>
        </w:rPr>
        <w:t>el texto aprobado por la Cámara de Diputados</w:t>
      </w:r>
      <w:r>
        <w:rPr>
          <w:rFonts w:eastAsia="Times New Roman" w:cs="Arial"/>
          <w:szCs w:val="24"/>
          <w:lang w:val="es-ES_tradnl" w:eastAsia="es-ES"/>
        </w:rPr>
        <w:t>,</w:t>
      </w:r>
      <w:r w:rsidR="00445283">
        <w:rPr>
          <w:rFonts w:eastAsia="Times New Roman" w:cs="Arial"/>
          <w:szCs w:val="24"/>
          <w:lang w:val="es-ES_tradnl" w:eastAsia="es-ES"/>
        </w:rPr>
        <w:t xml:space="preserve"> en segundo trámite constitucional.</w:t>
      </w:r>
    </w:p>
    <w:p w:rsidR="00051B93" w:rsidRDefault="00051B93" w:rsidP="009227F4">
      <w:pPr>
        <w:tabs>
          <w:tab w:val="left" w:pos="2835"/>
        </w:tabs>
        <w:ind w:firstLine="2835"/>
        <w:jc w:val="both"/>
        <w:rPr>
          <w:rFonts w:eastAsia="Times New Roman" w:cs="Arial"/>
          <w:szCs w:val="24"/>
          <w:lang w:val="es-ES_tradnl" w:eastAsia="es-ES"/>
        </w:rPr>
      </w:pPr>
    </w:p>
    <w:p w:rsidR="00051B93" w:rsidRDefault="00445283" w:rsidP="00051B93">
      <w:pPr>
        <w:tabs>
          <w:tab w:val="left" w:pos="2835"/>
        </w:tabs>
        <w:ind w:firstLine="2835"/>
        <w:jc w:val="both"/>
        <w:rPr>
          <w:rFonts w:eastAsia="Times New Roman" w:cs="Arial"/>
          <w:szCs w:val="24"/>
          <w:lang w:val="es-ES_tradnl" w:eastAsia="es-ES"/>
        </w:rPr>
      </w:pPr>
      <w:r>
        <w:rPr>
          <w:rFonts w:eastAsia="Times New Roman" w:cs="Arial"/>
          <w:szCs w:val="24"/>
          <w:lang w:val="es-ES_tradnl" w:eastAsia="es-ES"/>
        </w:rPr>
        <w:t>El punto esencial</w:t>
      </w:r>
      <w:r w:rsidR="00051B93">
        <w:rPr>
          <w:rFonts w:eastAsia="Times New Roman" w:cs="Arial"/>
          <w:szCs w:val="24"/>
          <w:lang w:val="es-ES_tradnl" w:eastAsia="es-ES"/>
        </w:rPr>
        <w:t>, apuntó,</w:t>
      </w:r>
      <w:r>
        <w:rPr>
          <w:rFonts w:eastAsia="Times New Roman" w:cs="Arial"/>
          <w:szCs w:val="24"/>
          <w:lang w:val="es-ES_tradnl" w:eastAsia="es-ES"/>
        </w:rPr>
        <w:t xml:space="preserve"> era establecer claramente las características de una póliza de cumplimiento a primer </w:t>
      </w:r>
      <w:r>
        <w:rPr>
          <w:rFonts w:eastAsia="Times New Roman" w:cs="Arial"/>
          <w:szCs w:val="24"/>
          <w:lang w:val="es-ES_tradnl" w:eastAsia="es-ES"/>
        </w:rPr>
        <w:lastRenderedPageBreak/>
        <w:t xml:space="preserve">requerimiento, </w:t>
      </w:r>
      <w:r w:rsidR="00051B93">
        <w:rPr>
          <w:rFonts w:eastAsia="Times New Roman" w:cs="Arial"/>
          <w:szCs w:val="24"/>
          <w:lang w:val="es-ES_tradnl" w:eastAsia="es-ES"/>
        </w:rPr>
        <w:t xml:space="preserve">dado que </w:t>
      </w:r>
      <w:r>
        <w:rPr>
          <w:rFonts w:eastAsia="Times New Roman" w:cs="Arial"/>
          <w:szCs w:val="24"/>
          <w:lang w:val="es-ES_tradnl" w:eastAsia="es-ES"/>
        </w:rPr>
        <w:t xml:space="preserve">en el pasado hubo diferencias de interpretación, </w:t>
      </w:r>
      <w:r w:rsidR="00051B93">
        <w:rPr>
          <w:rFonts w:eastAsia="Times New Roman" w:cs="Arial"/>
          <w:szCs w:val="24"/>
          <w:lang w:val="es-ES_tradnl" w:eastAsia="es-ES"/>
        </w:rPr>
        <w:t xml:space="preserve">pues </w:t>
      </w:r>
      <w:r>
        <w:rPr>
          <w:rFonts w:eastAsia="Times New Roman" w:cs="Arial"/>
          <w:szCs w:val="24"/>
          <w:lang w:val="es-ES_tradnl" w:eastAsia="es-ES"/>
        </w:rPr>
        <w:t xml:space="preserve">algunas compañías </w:t>
      </w:r>
      <w:r w:rsidR="00051B93">
        <w:rPr>
          <w:rFonts w:eastAsia="Times New Roman" w:cs="Arial"/>
          <w:szCs w:val="24"/>
          <w:lang w:val="es-ES_tradnl" w:eastAsia="es-ES"/>
        </w:rPr>
        <w:t xml:space="preserve">pusieron </w:t>
      </w:r>
      <w:r>
        <w:rPr>
          <w:rFonts w:eastAsia="Times New Roman" w:cs="Arial"/>
          <w:szCs w:val="24"/>
          <w:lang w:val="es-ES_tradnl" w:eastAsia="es-ES"/>
        </w:rPr>
        <w:t xml:space="preserve">dificultades para el pago de las pólizas, entendiendo distintos tipos de primer requerimiento, </w:t>
      </w:r>
      <w:r w:rsidR="00051B93">
        <w:rPr>
          <w:rFonts w:eastAsia="Times New Roman" w:cs="Arial"/>
          <w:szCs w:val="24"/>
          <w:lang w:val="es-ES_tradnl" w:eastAsia="es-ES"/>
        </w:rPr>
        <w:t>razón por la que</w:t>
      </w:r>
      <w:r>
        <w:rPr>
          <w:rFonts w:eastAsia="Times New Roman" w:cs="Arial"/>
          <w:szCs w:val="24"/>
          <w:lang w:val="es-ES_tradnl" w:eastAsia="es-ES"/>
        </w:rPr>
        <w:t xml:space="preserve"> </w:t>
      </w:r>
      <w:r w:rsidR="00051B93">
        <w:rPr>
          <w:rFonts w:eastAsia="Times New Roman" w:cs="Arial"/>
          <w:szCs w:val="24"/>
          <w:lang w:val="es-ES_tradnl" w:eastAsia="es-ES"/>
        </w:rPr>
        <w:t xml:space="preserve">la </w:t>
      </w:r>
      <w:r>
        <w:rPr>
          <w:rFonts w:eastAsia="Times New Roman" w:cs="Arial"/>
          <w:szCs w:val="24"/>
          <w:lang w:val="es-ES_tradnl" w:eastAsia="es-ES"/>
        </w:rPr>
        <w:t xml:space="preserve">entidad emitió una circular interpretando </w:t>
      </w:r>
      <w:r w:rsidR="00051B93">
        <w:rPr>
          <w:rFonts w:eastAsia="Times New Roman" w:cs="Arial"/>
          <w:szCs w:val="24"/>
          <w:lang w:val="es-ES_tradnl" w:eastAsia="es-ES"/>
        </w:rPr>
        <w:t xml:space="preserve">que </w:t>
      </w:r>
      <w:r>
        <w:rPr>
          <w:rFonts w:eastAsia="Times New Roman" w:cs="Arial"/>
          <w:szCs w:val="24"/>
          <w:lang w:val="es-ES_tradnl" w:eastAsia="es-ES"/>
        </w:rPr>
        <w:t>el primer requerimiento consiste en que la entidad tomadora del seguro deja de cumplir la obligación, en este caso</w:t>
      </w:r>
      <w:r w:rsidR="00051B93">
        <w:rPr>
          <w:rFonts w:eastAsia="Times New Roman" w:cs="Arial"/>
          <w:szCs w:val="24"/>
          <w:lang w:val="es-ES_tradnl" w:eastAsia="es-ES"/>
        </w:rPr>
        <w:t>,</w:t>
      </w:r>
      <w:r>
        <w:rPr>
          <w:rFonts w:eastAsia="Times New Roman" w:cs="Arial"/>
          <w:szCs w:val="24"/>
          <w:lang w:val="es-ES_tradnl" w:eastAsia="es-ES"/>
        </w:rPr>
        <w:t xml:space="preserve"> el cierre de la faena minera, </w:t>
      </w:r>
      <w:r w:rsidR="00051B93">
        <w:rPr>
          <w:rFonts w:eastAsia="Times New Roman" w:cs="Arial"/>
          <w:szCs w:val="24"/>
          <w:lang w:val="es-ES_tradnl" w:eastAsia="es-ES"/>
        </w:rPr>
        <w:t xml:space="preserve">activándose </w:t>
      </w:r>
      <w:r>
        <w:rPr>
          <w:rFonts w:eastAsia="Times New Roman" w:cs="Arial"/>
          <w:szCs w:val="24"/>
          <w:lang w:val="es-ES_tradnl" w:eastAsia="es-ES"/>
        </w:rPr>
        <w:t>la póliza</w:t>
      </w:r>
      <w:r w:rsidR="00051B93">
        <w:rPr>
          <w:rFonts w:eastAsia="Times New Roman" w:cs="Arial"/>
          <w:szCs w:val="24"/>
          <w:lang w:val="es-ES_tradnl" w:eastAsia="es-ES"/>
        </w:rPr>
        <w:t xml:space="preserve"> y autorizando a</w:t>
      </w:r>
      <w:r>
        <w:rPr>
          <w:rFonts w:eastAsia="Times New Roman" w:cs="Arial"/>
          <w:szCs w:val="24"/>
          <w:lang w:val="es-ES_tradnl" w:eastAsia="es-ES"/>
        </w:rPr>
        <w:t xml:space="preserve"> la compañía de seguro </w:t>
      </w:r>
      <w:r w:rsidR="00051B93">
        <w:rPr>
          <w:rFonts w:eastAsia="Times New Roman" w:cs="Arial"/>
          <w:szCs w:val="24"/>
          <w:lang w:val="es-ES_tradnl" w:eastAsia="es-ES"/>
        </w:rPr>
        <w:t>a</w:t>
      </w:r>
      <w:r>
        <w:rPr>
          <w:rFonts w:eastAsia="Times New Roman" w:cs="Arial"/>
          <w:szCs w:val="24"/>
          <w:lang w:val="es-ES_tradnl" w:eastAsia="es-ES"/>
        </w:rPr>
        <w:t xml:space="preserve"> exigir </w:t>
      </w:r>
      <w:r w:rsidR="00051B93">
        <w:rPr>
          <w:rFonts w:eastAsia="Times New Roman" w:cs="Arial"/>
          <w:szCs w:val="24"/>
          <w:lang w:val="es-ES_tradnl" w:eastAsia="es-ES"/>
        </w:rPr>
        <w:t xml:space="preserve">para el pago </w:t>
      </w:r>
      <w:r>
        <w:rPr>
          <w:rFonts w:eastAsia="Times New Roman" w:cs="Arial"/>
          <w:szCs w:val="24"/>
          <w:lang w:val="es-ES_tradnl" w:eastAsia="es-ES"/>
        </w:rPr>
        <w:t>sol</w:t>
      </w:r>
      <w:r w:rsidR="00051B93">
        <w:rPr>
          <w:rFonts w:eastAsia="Times New Roman" w:cs="Arial"/>
          <w:szCs w:val="24"/>
          <w:lang w:val="es-ES_tradnl" w:eastAsia="es-ES"/>
        </w:rPr>
        <w:t>o</w:t>
      </w:r>
      <w:r>
        <w:rPr>
          <w:rFonts w:eastAsia="Times New Roman" w:cs="Arial"/>
          <w:szCs w:val="24"/>
          <w:lang w:val="es-ES_tradnl" w:eastAsia="es-ES"/>
        </w:rPr>
        <w:t xml:space="preserve"> el cumplimiento de condiciones formales de las características del contrato</w:t>
      </w:r>
      <w:r w:rsidR="00051B93">
        <w:rPr>
          <w:rFonts w:eastAsia="Times New Roman" w:cs="Arial"/>
          <w:szCs w:val="24"/>
          <w:lang w:val="es-ES_tradnl" w:eastAsia="es-ES"/>
        </w:rPr>
        <w:t xml:space="preserve">, sin </w:t>
      </w:r>
      <w:r>
        <w:rPr>
          <w:rFonts w:eastAsia="Times New Roman" w:cs="Arial"/>
          <w:szCs w:val="24"/>
          <w:lang w:val="es-ES_tradnl" w:eastAsia="es-ES"/>
        </w:rPr>
        <w:t>incorpora</w:t>
      </w:r>
      <w:r w:rsidR="00051B93">
        <w:rPr>
          <w:rFonts w:eastAsia="Times New Roman" w:cs="Arial"/>
          <w:szCs w:val="24"/>
          <w:lang w:val="es-ES_tradnl" w:eastAsia="es-ES"/>
        </w:rPr>
        <w:t>r</w:t>
      </w:r>
      <w:r>
        <w:rPr>
          <w:rFonts w:eastAsia="Times New Roman" w:cs="Arial"/>
          <w:szCs w:val="24"/>
          <w:lang w:val="es-ES_tradnl" w:eastAsia="es-ES"/>
        </w:rPr>
        <w:t xml:space="preserve"> un proceso de liquidación previo.</w:t>
      </w:r>
      <w:r w:rsidR="00051B93" w:rsidRPr="00051B93">
        <w:rPr>
          <w:rFonts w:eastAsia="Times New Roman" w:cs="Arial"/>
          <w:szCs w:val="24"/>
          <w:lang w:val="es-ES_tradnl" w:eastAsia="es-ES"/>
        </w:rPr>
        <w:t xml:space="preserve"> </w:t>
      </w:r>
      <w:r w:rsidR="00051B93">
        <w:rPr>
          <w:rFonts w:eastAsia="Times New Roman" w:cs="Arial"/>
          <w:szCs w:val="24"/>
          <w:lang w:val="es-ES_tradnl" w:eastAsia="es-ES"/>
        </w:rPr>
        <w:t>Posteriormente</w:t>
      </w:r>
      <w:r w:rsidR="00051B93">
        <w:rPr>
          <w:rFonts w:eastAsia="Times New Roman" w:cs="Arial"/>
          <w:szCs w:val="24"/>
          <w:lang w:val="es-ES_tradnl" w:eastAsia="es-ES"/>
        </w:rPr>
        <w:t>, especificó,</w:t>
      </w:r>
      <w:r w:rsidR="00051B93">
        <w:rPr>
          <w:rFonts w:eastAsia="Times New Roman" w:cs="Arial"/>
          <w:szCs w:val="24"/>
          <w:lang w:val="es-ES_tradnl" w:eastAsia="es-ES"/>
        </w:rPr>
        <w:t xml:space="preserve"> la compañía </w:t>
      </w:r>
      <w:r w:rsidR="00051B93">
        <w:rPr>
          <w:rFonts w:eastAsia="Times New Roman" w:cs="Arial"/>
          <w:szCs w:val="24"/>
          <w:lang w:val="es-ES_tradnl" w:eastAsia="es-ES"/>
        </w:rPr>
        <w:t xml:space="preserve">de seguros </w:t>
      </w:r>
      <w:r w:rsidR="00051B93">
        <w:rPr>
          <w:rFonts w:eastAsia="Times New Roman" w:cs="Arial"/>
          <w:szCs w:val="24"/>
          <w:lang w:val="es-ES_tradnl" w:eastAsia="es-ES"/>
        </w:rPr>
        <w:t xml:space="preserve">puede replicar </w:t>
      </w:r>
      <w:r w:rsidR="00051B93">
        <w:rPr>
          <w:rFonts w:eastAsia="Times New Roman" w:cs="Arial"/>
          <w:szCs w:val="24"/>
          <w:lang w:val="es-ES_tradnl" w:eastAsia="es-ES"/>
        </w:rPr>
        <w:t>el</w:t>
      </w:r>
      <w:r w:rsidR="00051B93">
        <w:rPr>
          <w:rFonts w:eastAsia="Times New Roman" w:cs="Arial"/>
          <w:szCs w:val="24"/>
          <w:lang w:val="es-ES_tradnl" w:eastAsia="es-ES"/>
        </w:rPr>
        <w:t xml:space="preserve"> pago en exceso, pero ello corresponde a una condición esencial de cualquier contrato de seguro.</w:t>
      </w:r>
    </w:p>
    <w:p w:rsidR="00445283" w:rsidRDefault="00445283" w:rsidP="009227F4">
      <w:pPr>
        <w:tabs>
          <w:tab w:val="left" w:pos="2835"/>
        </w:tabs>
        <w:ind w:firstLine="2835"/>
        <w:jc w:val="both"/>
        <w:rPr>
          <w:rFonts w:eastAsia="Times New Roman" w:cs="Arial"/>
          <w:szCs w:val="24"/>
          <w:lang w:val="es-ES_tradnl" w:eastAsia="es-ES"/>
        </w:rPr>
      </w:pPr>
    </w:p>
    <w:p w:rsidR="00445283" w:rsidRDefault="00051B93" w:rsidP="009227F4">
      <w:pPr>
        <w:tabs>
          <w:tab w:val="left" w:pos="2835"/>
        </w:tabs>
        <w:ind w:firstLine="2835"/>
        <w:jc w:val="both"/>
        <w:rPr>
          <w:rFonts w:eastAsia="Times New Roman" w:cs="Arial"/>
          <w:szCs w:val="24"/>
          <w:lang w:val="es-ES_tradnl" w:eastAsia="es-ES"/>
        </w:rPr>
      </w:pPr>
      <w:r>
        <w:rPr>
          <w:rFonts w:eastAsia="Times New Roman" w:cs="Arial"/>
          <w:szCs w:val="24"/>
          <w:lang w:val="es-ES_tradnl" w:eastAsia="es-ES"/>
        </w:rPr>
        <w:t xml:space="preserve">El </w:t>
      </w:r>
      <w:r w:rsidR="00445283">
        <w:rPr>
          <w:rFonts w:eastAsia="Times New Roman" w:cs="Arial"/>
          <w:b/>
          <w:bCs/>
          <w:szCs w:val="24"/>
          <w:lang w:val="es-ES_tradnl" w:eastAsia="es-ES"/>
        </w:rPr>
        <w:t>Ministro</w:t>
      </w:r>
      <w:r>
        <w:rPr>
          <w:rFonts w:eastAsia="Times New Roman" w:cs="Arial"/>
          <w:b/>
          <w:bCs/>
          <w:szCs w:val="24"/>
          <w:lang w:val="es-ES_tradnl" w:eastAsia="es-ES"/>
        </w:rPr>
        <w:t xml:space="preserve"> de Minería, señor Baldo </w:t>
      </w:r>
      <w:proofErr w:type="spellStart"/>
      <w:r>
        <w:rPr>
          <w:rFonts w:eastAsia="Times New Roman" w:cs="Arial"/>
          <w:b/>
          <w:bCs/>
          <w:szCs w:val="24"/>
          <w:lang w:val="es-ES_tradnl" w:eastAsia="es-ES"/>
        </w:rPr>
        <w:t>Prokurika</w:t>
      </w:r>
      <w:proofErr w:type="spellEnd"/>
      <w:r>
        <w:rPr>
          <w:rFonts w:eastAsia="Times New Roman" w:cs="Arial"/>
          <w:szCs w:val="24"/>
          <w:lang w:val="es-ES_tradnl" w:eastAsia="es-ES"/>
        </w:rPr>
        <w:t>, estuvo de acuerdo con la explicación del señor Intendente del organismo regulador, enfatizando que</w:t>
      </w:r>
      <w:r w:rsidR="00445283">
        <w:rPr>
          <w:rFonts w:eastAsia="Times New Roman" w:cs="Arial"/>
          <w:szCs w:val="24"/>
          <w:lang w:val="es-ES_tradnl" w:eastAsia="es-ES"/>
        </w:rPr>
        <w:t xml:space="preserve"> la determinación </w:t>
      </w:r>
      <w:r>
        <w:rPr>
          <w:rFonts w:eastAsia="Times New Roman" w:cs="Arial"/>
          <w:szCs w:val="24"/>
          <w:lang w:val="es-ES_tradnl" w:eastAsia="es-ES"/>
        </w:rPr>
        <w:t xml:space="preserve">de </w:t>
      </w:r>
      <w:r w:rsidR="00445283">
        <w:rPr>
          <w:rFonts w:eastAsia="Times New Roman" w:cs="Arial"/>
          <w:szCs w:val="24"/>
          <w:lang w:val="es-ES_tradnl" w:eastAsia="es-ES"/>
        </w:rPr>
        <w:t xml:space="preserve">si la empresa ha cumplido </w:t>
      </w:r>
      <w:r>
        <w:rPr>
          <w:rFonts w:eastAsia="Times New Roman" w:cs="Arial"/>
          <w:szCs w:val="24"/>
          <w:lang w:val="es-ES_tradnl" w:eastAsia="es-ES"/>
        </w:rPr>
        <w:t xml:space="preserve">o no con la obligación del cierre de la faena minera </w:t>
      </w:r>
      <w:r w:rsidR="00445283">
        <w:rPr>
          <w:rFonts w:eastAsia="Times New Roman" w:cs="Arial"/>
          <w:szCs w:val="24"/>
          <w:lang w:val="es-ES_tradnl" w:eastAsia="es-ES"/>
        </w:rPr>
        <w:t>corresponde a un servicio público</w:t>
      </w:r>
      <w:r>
        <w:rPr>
          <w:rFonts w:eastAsia="Times New Roman" w:cs="Arial"/>
          <w:szCs w:val="24"/>
          <w:lang w:val="es-ES_tradnl" w:eastAsia="es-ES"/>
        </w:rPr>
        <w:t xml:space="preserve">, el </w:t>
      </w:r>
      <w:r w:rsidR="00445283">
        <w:rPr>
          <w:rFonts w:eastAsia="Times New Roman" w:cs="Arial"/>
          <w:szCs w:val="24"/>
          <w:lang w:val="es-ES_tradnl" w:eastAsia="es-ES"/>
        </w:rPr>
        <w:t>S</w:t>
      </w:r>
      <w:r>
        <w:rPr>
          <w:rFonts w:eastAsia="Times New Roman" w:cs="Arial"/>
          <w:szCs w:val="24"/>
          <w:lang w:val="es-ES_tradnl" w:eastAsia="es-ES"/>
        </w:rPr>
        <w:t>ERNAGEOMIN</w:t>
      </w:r>
      <w:r w:rsidR="00445283">
        <w:rPr>
          <w:rFonts w:eastAsia="Times New Roman" w:cs="Arial"/>
          <w:szCs w:val="24"/>
          <w:lang w:val="es-ES_tradnl" w:eastAsia="es-ES"/>
        </w:rPr>
        <w:t xml:space="preserve">, no </w:t>
      </w:r>
      <w:r>
        <w:rPr>
          <w:rFonts w:eastAsia="Times New Roman" w:cs="Arial"/>
          <w:szCs w:val="24"/>
          <w:lang w:val="es-ES_tradnl" w:eastAsia="es-ES"/>
        </w:rPr>
        <w:t xml:space="preserve">a </w:t>
      </w:r>
      <w:r w:rsidR="00445283">
        <w:rPr>
          <w:rFonts w:eastAsia="Times New Roman" w:cs="Arial"/>
          <w:szCs w:val="24"/>
          <w:lang w:val="es-ES_tradnl" w:eastAsia="es-ES"/>
        </w:rPr>
        <w:t>un liquidador</w:t>
      </w:r>
      <w:r>
        <w:rPr>
          <w:rFonts w:eastAsia="Times New Roman" w:cs="Arial"/>
          <w:szCs w:val="24"/>
          <w:lang w:val="es-ES_tradnl" w:eastAsia="es-ES"/>
        </w:rPr>
        <w:t>.</w:t>
      </w:r>
    </w:p>
    <w:p w:rsidR="00445283" w:rsidRDefault="00445283" w:rsidP="009227F4">
      <w:pPr>
        <w:tabs>
          <w:tab w:val="left" w:pos="2835"/>
        </w:tabs>
        <w:ind w:firstLine="2835"/>
        <w:jc w:val="both"/>
        <w:rPr>
          <w:rFonts w:eastAsia="Times New Roman" w:cs="Arial"/>
          <w:szCs w:val="24"/>
          <w:lang w:val="es-ES_tradnl" w:eastAsia="es-ES"/>
        </w:rPr>
      </w:pPr>
    </w:p>
    <w:p w:rsidR="00445283" w:rsidRDefault="00051B93" w:rsidP="009227F4">
      <w:pPr>
        <w:tabs>
          <w:tab w:val="left" w:pos="2835"/>
        </w:tabs>
        <w:ind w:firstLine="2835"/>
        <w:jc w:val="both"/>
        <w:rPr>
          <w:rFonts w:eastAsia="Times New Roman" w:cs="Arial"/>
          <w:szCs w:val="24"/>
          <w:lang w:val="es-ES_tradnl" w:eastAsia="es-ES"/>
        </w:rPr>
      </w:pPr>
      <w:r>
        <w:rPr>
          <w:rFonts w:eastAsia="Times New Roman" w:cs="Arial"/>
          <w:szCs w:val="24"/>
          <w:lang w:val="es-ES_tradnl" w:eastAsia="es-ES"/>
        </w:rPr>
        <w:t xml:space="preserve">La </w:t>
      </w:r>
      <w:r>
        <w:rPr>
          <w:rFonts w:eastAsia="Times New Roman" w:cs="Arial"/>
          <w:b/>
          <w:bCs/>
          <w:szCs w:val="24"/>
          <w:lang w:val="es-ES_tradnl" w:eastAsia="es-ES"/>
        </w:rPr>
        <w:t xml:space="preserve">Honorable Senadora señora </w:t>
      </w:r>
      <w:r w:rsidR="00445283">
        <w:rPr>
          <w:rFonts w:eastAsia="Times New Roman" w:cs="Arial"/>
          <w:b/>
          <w:bCs/>
          <w:szCs w:val="24"/>
          <w:lang w:val="es-ES_tradnl" w:eastAsia="es-ES"/>
        </w:rPr>
        <w:t>Provoste</w:t>
      </w:r>
      <w:r>
        <w:rPr>
          <w:rFonts w:eastAsia="Times New Roman" w:cs="Arial"/>
          <w:szCs w:val="24"/>
          <w:lang w:val="es-ES_tradnl" w:eastAsia="es-ES"/>
        </w:rPr>
        <w:t xml:space="preserve"> c</w:t>
      </w:r>
      <w:r w:rsidR="00445283">
        <w:rPr>
          <w:rFonts w:eastAsia="Times New Roman" w:cs="Arial"/>
          <w:szCs w:val="24"/>
          <w:lang w:val="es-ES_tradnl" w:eastAsia="es-ES"/>
        </w:rPr>
        <w:t xml:space="preserve">onsultó al señor Intendente de la Comisión para el Mercado Financiero, el motivo </w:t>
      </w:r>
      <w:r w:rsidR="00632A37">
        <w:rPr>
          <w:rFonts w:eastAsia="Times New Roman" w:cs="Arial"/>
          <w:szCs w:val="24"/>
          <w:lang w:val="es-ES_tradnl" w:eastAsia="es-ES"/>
        </w:rPr>
        <w:t>por el cual no se diseña un proceso de transición para empresas mineras que están por cerrar sus faenas, pues la póliza no tendría el mismo valor</w:t>
      </w:r>
      <w:r>
        <w:rPr>
          <w:rFonts w:eastAsia="Times New Roman" w:cs="Arial"/>
          <w:szCs w:val="24"/>
          <w:lang w:val="es-ES_tradnl" w:eastAsia="es-ES"/>
        </w:rPr>
        <w:t xml:space="preserve"> que al inicio de las labores de extracción</w:t>
      </w:r>
      <w:r w:rsidR="00632A37">
        <w:rPr>
          <w:rFonts w:eastAsia="Times New Roman" w:cs="Arial"/>
          <w:szCs w:val="24"/>
          <w:lang w:val="es-ES_tradnl" w:eastAsia="es-ES"/>
        </w:rPr>
        <w:t xml:space="preserve">. </w:t>
      </w:r>
      <w:r>
        <w:rPr>
          <w:rFonts w:eastAsia="Times New Roman" w:cs="Arial"/>
          <w:szCs w:val="24"/>
          <w:lang w:val="es-ES_tradnl" w:eastAsia="es-ES"/>
        </w:rPr>
        <w:t xml:space="preserve">Además, preguntó por la situación que acontecería si el </w:t>
      </w:r>
      <w:r w:rsidR="00632A37">
        <w:rPr>
          <w:rFonts w:eastAsia="Times New Roman" w:cs="Arial"/>
          <w:szCs w:val="24"/>
          <w:lang w:val="es-ES_tradnl" w:eastAsia="es-ES"/>
        </w:rPr>
        <w:t xml:space="preserve">tomador </w:t>
      </w:r>
      <w:r>
        <w:rPr>
          <w:rFonts w:eastAsia="Times New Roman" w:cs="Arial"/>
          <w:szCs w:val="24"/>
          <w:lang w:val="es-ES_tradnl" w:eastAsia="es-ES"/>
        </w:rPr>
        <w:t xml:space="preserve">del seguro </w:t>
      </w:r>
      <w:r w:rsidR="00632A37">
        <w:rPr>
          <w:rFonts w:eastAsia="Times New Roman" w:cs="Arial"/>
          <w:szCs w:val="24"/>
          <w:lang w:val="es-ES_tradnl" w:eastAsia="es-ES"/>
        </w:rPr>
        <w:t>no paga la prima.</w:t>
      </w:r>
    </w:p>
    <w:p w:rsidR="00632A37" w:rsidRDefault="00632A37" w:rsidP="009227F4">
      <w:pPr>
        <w:tabs>
          <w:tab w:val="left" w:pos="2835"/>
        </w:tabs>
        <w:ind w:firstLine="2835"/>
        <w:jc w:val="both"/>
        <w:rPr>
          <w:rFonts w:eastAsia="Times New Roman" w:cs="Arial"/>
          <w:szCs w:val="24"/>
          <w:lang w:val="es-ES_tradnl" w:eastAsia="es-ES"/>
        </w:rPr>
      </w:pPr>
    </w:p>
    <w:p w:rsidR="00632A37" w:rsidRDefault="00051B93" w:rsidP="009227F4">
      <w:pPr>
        <w:tabs>
          <w:tab w:val="left" w:pos="2835"/>
        </w:tabs>
        <w:ind w:firstLine="2835"/>
        <w:jc w:val="both"/>
        <w:rPr>
          <w:rFonts w:eastAsia="Times New Roman" w:cs="Arial"/>
          <w:szCs w:val="24"/>
          <w:lang w:val="es-ES_tradnl" w:eastAsia="es-ES"/>
        </w:rPr>
      </w:pPr>
      <w:r>
        <w:rPr>
          <w:rFonts w:eastAsia="Times New Roman" w:cs="Arial"/>
          <w:szCs w:val="24"/>
          <w:lang w:val="es-ES_tradnl" w:eastAsia="es-ES"/>
        </w:rPr>
        <w:t xml:space="preserve">El </w:t>
      </w:r>
      <w:r>
        <w:rPr>
          <w:rFonts w:eastAsia="Times New Roman" w:cs="Arial"/>
          <w:b/>
          <w:bCs/>
          <w:szCs w:val="24"/>
          <w:lang w:val="es-ES_tradnl" w:eastAsia="es-ES"/>
        </w:rPr>
        <w:t xml:space="preserve">señor </w:t>
      </w:r>
      <w:r w:rsidR="00632A37">
        <w:rPr>
          <w:rFonts w:eastAsia="Times New Roman" w:cs="Arial"/>
          <w:b/>
          <w:bCs/>
          <w:szCs w:val="24"/>
          <w:lang w:val="es-ES_tradnl" w:eastAsia="es-ES"/>
        </w:rPr>
        <w:t>Intendente</w:t>
      </w:r>
      <w:r>
        <w:rPr>
          <w:rFonts w:eastAsia="Times New Roman" w:cs="Arial"/>
          <w:b/>
          <w:bCs/>
          <w:szCs w:val="24"/>
          <w:lang w:val="es-ES_tradnl" w:eastAsia="es-ES"/>
        </w:rPr>
        <w:t xml:space="preserve"> de la Comisión para el Mercado Financiero</w:t>
      </w:r>
      <w:r w:rsidRPr="00051B93">
        <w:rPr>
          <w:rFonts w:eastAsia="Times New Roman" w:cs="Arial"/>
          <w:b/>
          <w:bCs/>
          <w:szCs w:val="24"/>
          <w:lang w:val="es-ES_tradnl" w:eastAsia="es-ES"/>
        </w:rPr>
        <w:t>, señor Daniel García</w:t>
      </w:r>
      <w:r>
        <w:rPr>
          <w:rFonts w:eastAsia="Times New Roman" w:cs="Arial"/>
          <w:szCs w:val="24"/>
          <w:lang w:val="es-ES_tradnl" w:eastAsia="es-ES"/>
        </w:rPr>
        <w:t>, señaló que</w:t>
      </w:r>
      <w:r w:rsidR="00632A37">
        <w:rPr>
          <w:rFonts w:eastAsia="Times New Roman" w:cs="Arial"/>
          <w:szCs w:val="24"/>
          <w:lang w:val="es-ES_tradnl" w:eastAsia="es-ES"/>
        </w:rPr>
        <w:t xml:space="preserve"> la propuesta es incorporar pólizas en la categoría A.1, </w:t>
      </w:r>
      <w:r w:rsidR="004B2674">
        <w:rPr>
          <w:rFonts w:eastAsia="Times New Roman" w:cs="Arial"/>
          <w:szCs w:val="24"/>
          <w:lang w:val="es-ES_tradnl" w:eastAsia="es-ES"/>
        </w:rPr>
        <w:t xml:space="preserve">la </w:t>
      </w:r>
      <w:r w:rsidR="00632A37">
        <w:rPr>
          <w:rFonts w:eastAsia="Times New Roman" w:cs="Arial"/>
          <w:szCs w:val="24"/>
          <w:lang w:val="es-ES_tradnl" w:eastAsia="es-ES"/>
        </w:rPr>
        <w:t>que más necesidad presenta</w:t>
      </w:r>
      <w:r>
        <w:rPr>
          <w:rFonts w:eastAsia="Times New Roman" w:cs="Arial"/>
          <w:szCs w:val="24"/>
          <w:lang w:val="es-ES_tradnl" w:eastAsia="es-ES"/>
        </w:rPr>
        <w:t xml:space="preserve"> para</w:t>
      </w:r>
      <w:r w:rsidR="00632A37">
        <w:rPr>
          <w:rFonts w:eastAsia="Times New Roman" w:cs="Arial"/>
          <w:szCs w:val="24"/>
          <w:lang w:val="es-ES_tradnl" w:eastAsia="es-ES"/>
        </w:rPr>
        <w:t xml:space="preserve"> las mineras </w:t>
      </w:r>
      <w:r>
        <w:rPr>
          <w:rFonts w:eastAsia="Times New Roman" w:cs="Arial"/>
          <w:szCs w:val="24"/>
          <w:lang w:val="es-ES_tradnl" w:eastAsia="es-ES"/>
        </w:rPr>
        <w:t>de</w:t>
      </w:r>
      <w:r w:rsidR="00632A37">
        <w:rPr>
          <w:rFonts w:eastAsia="Times New Roman" w:cs="Arial"/>
          <w:szCs w:val="24"/>
          <w:lang w:val="es-ES_tradnl" w:eastAsia="es-ES"/>
        </w:rPr>
        <w:t xml:space="preserve"> liberar compromisos </w:t>
      </w:r>
      <w:r w:rsidR="004B2674">
        <w:rPr>
          <w:rFonts w:eastAsia="Times New Roman" w:cs="Arial"/>
          <w:szCs w:val="24"/>
          <w:lang w:val="es-ES_tradnl" w:eastAsia="es-ES"/>
        </w:rPr>
        <w:t xml:space="preserve">financieros </w:t>
      </w:r>
      <w:r w:rsidR="00632A37">
        <w:rPr>
          <w:rFonts w:eastAsia="Times New Roman" w:cs="Arial"/>
          <w:szCs w:val="24"/>
          <w:lang w:val="es-ES_tradnl" w:eastAsia="es-ES"/>
        </w:rPr>
        <w:t xml:space="preserve">con la banca. </w:t>
      </w:r>
      <w:r>
        <w:rPr>
          <w:rFonts w:eastAsia="Times New Roman" w:cs="Arial"/>
          <w:szCs w:val="24"/>
          <w:lang w:val="es-ES_tradnl" w:eastAsia="es-ES"/>
        </w:rPr>
        <w:t>Explicó que a</w:t>
      </w:r>
      <w:r w:rsidR="00632A37">
        <w:rPr>
          <w:rFonts w:eastAsia="Times New Roman" w:cs="Arial"/>
          <w:szCs w:val="24"/>
          <w:lang w:val="es-ES_tradnl" w:eastAsia="es-ES"/>
        </w:rPr>
        <w:t xml:space="preserve"> medida que se aproxima el proceso de cierre de faena minera se incorporan los instrumentos que son más líquidos, por ello </w:t>
      </w:r>
      <w:r>
        <w:rPr>
          <w:rFonts w:eastAsia="Times New Roman" w:cs="Arial"/>
          <w:szCs w:val="24"/>
          <w:lang w:val="es-ES_tradnl" w:eastAsia="es-ES"/>
        </w:rPr>
        <w:t xml:space="preserve">es válido </w:t>
      </w:r>
      <w:r w:rsidR="00632A37">
        <w:rPr>
          <w:rFonts w:eastAsia="Times New Roman" w:cs="Arial"/>
          <w:szCs w:val="24"/>
          <w:lang w:val="es-ES_tradnl" w:eastAsia="es-ES"/>
        </w:rPr>
        <w:t xml:space="preserve">considerar que la póliza de garantía es un instrumento equivalente a una boleta de garantía, </w:t>
      </w:r>
      <w:r w:rsidR="00AE09A9">
        <w:rPr>
          <w:rFonts w:eastAsia="Times New Roman" w:cs="Arial"/>
          <w:szCs w:val="24"/>
          <w:lang w:val="es-ES_tradnl" w:eastAsia="es-ES"/>
        </w:rPr>
        <w:t xml:space="preserve">puesto que </w:t>
      </w:r>
      <w:r w:rsidR="00632A37">
        <w:rPr>
          <w:rFonts w:eastAsia="Times New Roman" w:cs="Arial"/>
          <w:szCs w:val="24"/>
          <w:lang w:val="es-ES_tradnl" w:eastAsia="es-ES"/>
        </w:rPr>
        <w:t xml:space="preserve">cumpliría el </w:t>
      </w:r>
      <w:r w:rsidR="00AE09A9">
        <w:rPr>
          <w:rFonts w:eastAsia="Times New Roman" w:cs="Arial"/>
          <w:szCs w:val="24"/>
          <w:lang w:val="es-ES_tradnl" w:eastAsia="es-ES"/>
        </w:rPr>
        <w:t xml:space="preserve">mismo </w:t>
      </w:r>
      <w:r w:rsidR="00632A37">
        <w:rPr>
          <w:rFonts w:eastAsia="Times New Roman" w:cs="Arial"/>
          <w:szCs w:val="24"/>
          <w:lang w:val="es-ES_tradnl" w:eastAsia="es-ES"/>
        </w:rPr>
        <w:t xml:space="preserve">objetivo, permitiendo a las </w:t>
      </w:r>
      <w:r w:rsidR="00AE09A9">
        <w:rPr>
          <w:rFonts w:eastAsia="Times New Roman" w:cs="Arial"/>
          <w:szCs w:val="24"/>
          <w:lang w:val="es-ES_tradnl" w:eastAsia="es-ES"/>
        </w:rPr>
        <w:t xml:space="preserve">empresas mineras, independiente de la etapa de explotación </w:t>
      </w:r>
      <w:r w:rsidR="00632A37">
        <w:rPr>
          <w:rFonts w:eastAsia="Times New Roman" w:cs="Arial"/>
          <w:szCs w:val="24"/>
          <w:lang w:val="es-ES_tradnl" w:eastAsia="es-ES"/>
        </w:rPr>
        <w:t xml:space="preserve">que </w:t>
      </w:r>
      <w:r w:rsidR="00AE09A9">
        <w:rPr>
          <w:rFonts w:eastAsia="Times New Roman" w:cs="Arial"/>
          <w:szCs w:val="24"/>
          <w:lang w:val="es-ES_tradnl" w:eastAsia="es-ES"/>
        </w:rPr>
        <w:t xml:space="preserve">se encuentren, </w:t>
      </w:r>
      <w:r w:rsidR="00632A37">
        <w:rPr>
          <w:rFonts w:eastAsia="Times New Roman" w:cs="Arial"/>
          <w:szCs w:val="24"/>
          <w:lang w:val="es-ES_tradnl" w:eastAsia="es-ES"/>
        </w:rPr>
        <w:t>utilizar el nuevo instrumento.</w:t>
      </w:r>
    </w:p>
    <w:p w:rsidR="00632A37" w:rsidRDefault="00632A37" w:rsidP="009227F4">
      <w:pPr>
        <w:tabs>
          <w:tab w:val="left" w:pos="2835"/>
        </w:tabs>
        <w:ind w:firstLine="2835"/>
        <w:jc w:val="both"/>
        <w:rPr>
          <w:rFonts w:eastAsia="Times New Roman" w:cs="Arial"/>
          <w:szCs w:val="24"/>
          <w:lang w:val="es-ES_tradnl" w:eastAsia="es-ES"/>
        </w:rPr>
      </w:pPr>
    </w:p>
    <w:p w:rsidR="00632A37" w:rsidRDefault="00AE09A9" w:rsidP="009227F4">
      <w:pPr>
        <w:tabs>
          <w:tab w:val="left" w:pos="2835"/>
        </w:tabs>
        <w:ind w:firstLine="2835"/>
        <w:jc w:val="both"/>
        <w:rPr>
          <w:rFonts w:eastAsia="Times New Roman" w:cs="Arial"/>
          <w:szCs w:val="24"/>
          <w:lang w:val="es-ES_tradnl" w:eastAsia="es-ES"/>
        </w:rPr>
      </w:pPr>
      <w:r>
        <w:rPr>
          <w:rFonts w:eastAsia="Times New Roman" w:cs="Arial"/>
          <w:szCs w:val="24"/>
          <w:lang w:val="es-ES_tradnl" w:eastAsia="es-ES"/>
        </w:rPr>
        <w:t>Asimismo, indicó que</w:t>
      </w:r>
      <w:r w:rsidR="00632A37">
        <w:rPr>
          <w:rFonts w:eastAsia="Times New Roman" w:cs="Arial"/>
          <w:szCs w:val="24"/>
          <w:lang w:val="es-ES_tradnl" w:eastAsia="es-ES"/>
        </w:rPr>
        <w:t xml:space="preserve"> </w:t>
      </w:r>
      <w:r>
        <w:rPr>
          <w:rFonts w:eastAsia="Times New Roman" w:cs="Arial"/>
          <w:szCs w:val="24"/>
          <w:lang w:val="es-ES_tradnl" w:eastAsia="es-ES"/>
        </w:rPr>
        <w:t xml:space="preserve">en </w:t>
      </w:r>
      <w:r w:rsidR="00632A37">
        <w:rPr>
          <w:rFonts w:eastAsia="Times New Roman" w:cs="Arial"/>
          <w:szCs w:val="24"/>
          <w:lang w:val="es-ES_tradnl" w:eastAsia="es-ES"/>
        </w:rPr>
        <w:t xml:space="preserve">las pólizas de garantía el tomador puede ser distinto del beneficiario, </w:t>
      </w:r>
      <w:r>
        <w:rPr>
          <w:rFonts w:eastAsia="Times New Roman" w:cs="Arial"/>
          <w:szCs w:val="24"/>
          <w:lang w:val="es-ES_tradnl" w:eastAsia="es-ES"/>
        </w:rPr>
        <w:t>en este caso</w:t>
      </w:r>
      <w:r w:rsidR="00424CAC">
        <w:rPr>
          <w:rFonts w:eastAsia="Times New Roman" w:cs="Arial"/>
          <w:szCs w:val="24"/>
          <w:lang w:val="es-ES_tradnl" w:eastAsia="es-ES"/>
        </w:rPr>
        <w:t>,</w:t>
      </w:r>
      <w:r>
        <w:rPr>
          <w:rFonts w:eastAsia="Times New Roman" w:cs="Arial"/>
          <w:szCs w:val="24"/>
          <w:lang w:val="es-ES_tradnl" w:eastAsia="es-ES"/>
        </w:rPr>
        <w:t xml:space="preserve"> </w:t>
      </w:r>
      <w:r w:rsidR="00424CAC">
        <w:rPr>
          <w:rFonts w:eastAsia="Times New Roman" w:cs="Arial"/>
          <w:szCs w:val="24"/>
          <w:lang w:val="es-ES_tradnl" w:eastAsia="es-ES"/>
        </w:rPr>
        <w:t xml:space="preserve">el tomador </w:t>
      </w:r>
      <w:r>
        <w:rPr>
          <w:rFonts w:eastAsia="Times New Roman" w:cs="Arial"/>
          <w:szCs w:val="24"/>
          <w:lang w:val="es-ES_tradnl" w:eastAsia="es-ES"/>
        </w:rPr>
        <w:t xml:space="preserve">será la compañía </w:t>
      </w:r>
      <w:r w:rsidR="00632A37">
        <w:rPr>
          <w:rFonts w:eastAsia="Times New Roman" w:cs="Arial"/>
          <w:szCs w:val="24"/>
          <w:lang w:val="es-ES_tradnl" w:eastAsia="es-ES"/>
        </w:rPr>
        <w:t>minera</w:t>
      </w:r>
      <w:r>
        <w:rPr>
          <w:rFonts w:eastAsia="Times New Roman" w:cs="Arial"/>
          <w:szCs w:val="24"/>
          <w:lang w:val="es-ES_tradnl" w:eastAsia="es-ES"/>
        </w:rPr>
        <w:t xml:space="preserve"> y</w:t>
      </w:r>
      <w:r w:rsidR="00632A37">
        <w:rPr>
          <w:rFonts w:eastAsia="Times New Roman" w:cs="Arial"/>
          <w:szCs w:val="24"/>
          <w:lang w:val="es-ES_tradnl" w:eastAsia="es-ES"/>
        </w:rPr>
        <w:t xml:space="preserve"> beneficiario </w:t>
      </w:r>
      <w:r w:rsidR="004B2674">
        <w:rPr>
          <w:rFonts w:eastAsia="Times New Roman" w:cs="Arial"/>
          <w:szCs w:val="24"/>
          <w:lang w:val="es-ES_tradnl" w:eastAsia="es-ES"/>
        </w:rPr>
        <w:t xml:space="preserve">el </w:t>
      </w:r>
      <w:r>
        <w:rPr>
          <w:rFonts w:eastAsia="Times New Roman" w:cs="Arial"/>
          <w:szCs w:val="24"/>
          <w:lang w:val="es-ES_tradnl" w:eastAsia="es-ES"/>
        </w:rPr>
        <w:t xml:space="preserve">SERNAGEOMIN. Si se produce </w:t>
      </w:r>
      <w:r w:rsidR="00632A37">
        <w:rPr>
          <w:rFonts w:eastAsia="Times New Roman" w:cs="Arial"/>
          <w:szCs w:val="24"/>
          <w:lang w:val="es-ES_tradnl" w:eastAsia="es-ES"/>
        </w:rPr>
        <w:t>cualquier incumpl</w:t>
      </w:r>
      <w:r>
        <w:rPr>
          <w:rFonts w:eastAsia="Times New Roman" w:cs="Arial"/>
          <w:szCs w:val="24"/>
          <w:lang w:val="es-ES_tradnl" w:eastAsia="es-ES"/>
        </w:rPr>
        <w:t>imiento</w:t>
      </w:r>
      <w:r w:rsidR="00632A37">
        <w:rPr>
          <w:rFonts w:eastAsia="Times New Roman" w:cs="Arial"/>
          <w:szCs w:val="24"/>
          <w:lang w:val="es-ES_tradnl" w:eastAsia="es-ES"/>
        </w:rPr>
        <w:t xml:space="preserve"> </w:t>
      </w:r>
      <w:r>
        <w:rPr>
          <w:rFonts w:eastAsia="Times New Roman" w:cs="Arial"/>
          <w:szCs w:val="24"/>
          <w:lang w:val="es-ES_tradnl" w:eastAsia="es-ES"/>
        </w:rPr>
        <w:t>d</w:t>
      </w:r>
      <w:r w:rsidR="00632A37">
        <w:rPr>
          <w:rFonts w:eastAsia="Times New Roman" w:cs="Arial"/>
          <w:szCs w:val="24"/>
          <w:lang w:val="es-ES_tradnl" w:eastAsia="es-ES"/>
        </w:rPr>
        <w:t>el tomador se activa la póliza en beneficio del servicio público.</w:t>
      </w:r>
      <w:r>
        <w:rPr>
          <w:rFonts w:eastAsia="Times New Roman" w:cs="Arial"/>
          <w:szCs w:val="24"/>
          <w:lang w:val="es-ES_tradnl" w:eastAsia="es-ES"/>
        </w:rPr>
        <w:t xml:space="preserve"> En cuanto a l</w:t>
      </w:r>
      <w:r w:rsidR="006E30F4">
        <w:rPr>
          <w:rFonts w:eastAsia="Times New Roman" w:cs="Arial"/>
          <w:szCs w:val="24"/>
          <w:lang w:val="es-ES_tradnl" w:eastAsia="es-ES"/>
        </w:rPr>
        <w:t>a prima</w:t>
      </w:r>
      <w:r>
        <w:rPr>
          <w:rFonts w:eastAsia="Times New Roman" w:cs="Arial"/>
          <w:szCs w:val="24"/>
          <w:lang w:val="es-ES_tradnl" w:eastAsia="es-ES"/>
        </w:rPr>
        <w:t>, expresó que esta</w:t>
      </w:r>
      <w:r w:rsidR="006E30F4">
        <w:rPr>
          <w:rFonts w:eastAsia="Times New Roman" w:cs="Arial"/>
          <w:szCs w:val="24"/>
          <w:lang w:val="es-ES_tradnl" w:eastAsia="es-ES"/>
        </w:rPr>
        <w:t xml:space="preserve"> debiera pagarse en la forma establecida en el contrato.</w:t>
      </w:r>
    </w:p>
    <w:p w:rsidR="00632A37" w:rsidRDefault="00632A37" w:rsidP="009227F4">
      <w:pPr>
        <w:tabs>
          <w:tab w:val="left" w:pos="2835"/>
        </w:tabs>
        <w:ind w:firstLine="2835"/>
        <w:jc w:val="both"/>
        <w:rPr>
          <w:rFonts w:eastAsia="Times New Roman" w:cs="Arial"/>
          <w:szCs w:val="24"/>
          <w:lang w:val="es-ES_tradnl" w:eastAsia="es-ES"/>
        </w:rPr>
      </w:pPr>
    </w:p>
    <w:p w:rsidR="00632A37" w:rsidRPr="00632A37" w:rsidRDefault="00AE09A9" w:rsidP="00AE09A9">
      <w:pPr>
        <w:tabs>
          <w:tab w:val="left" w:pos="2835"/>
        </w:tabs>
        <w:ind w:firstLine="2835"/>
        <w:jc w:val="both"/>
        <w:rPr>
          <w:rFonts w:eastAsia="Times New Roman" w:cs="Arial"/>
          <w:szCs w:val="24"/>
          <w:lang w:val="es-ES_tradnl" w:eastAsia="es-ES"/>
        </w:rPr>
      </w:pPr>
      <w:r>
        <w:rPr>
          <w:rFonts w:eastAsia="Times New Roman" w:cs="Arial"/>
          <w:szCs w:val="24"/>
          <w:lang w:val="es-ES_tradnl" w:eastAsia="es-ES"/>
        </w:rPr>
        <w:t xml:space="preserve">El </w:t>
      </w:r>
      <w:r w:rsidR="00632A37">
        <w:rPr>
          <w:rFonts w:eastAsia="Times New Roman" w:cs="Arial"/>
          <w:b/>
          <w:bCs/>
          <w:szCs w:val="24"/>
          <w:lang w:val="es-ES_tradnl" w:eastAsia="es-ES"/>
        </w:rPr>
        <w:t>Ministro</w:t>
      </w:r>
      <w:r>
        <w:rPr>
          <w:rFonts w:eastAsia="Times New Roman" w:cs="Arial"/>
          <w:b/>
          <w:bCs/>
          <w:szCs w:val="24"/>
          <w:lang w:val="es-ES_tradnl" w:eastAsia="es-ES"/>
        </w:rPr>
        <w:t xml:space="preserve"> de Minería, señor Baldo </w:t>
      </w:r>
      <w:proofErr w:type="spellStart"/>
      <w:r>
        <w:rPr>
          <w:rFonts w:eastAsia="Times New Roman" w:cs="Arial"/>
          <w:b/>
          <w:bCs/>
          <w:szCs w:val="24"/>
          <w:lang w:val="es-ES_tradnl" w:eastAsia="es-ES"/>
        </w:rPr>
        <w:t>Prokurika</w:t>
      </w:r>
      <w:proofErr w:type="spellEnd"/>
      <w:r>
        <w:rPr>
          <w:rFonts w:eastAsia="Times New Roman" w:cs="Arial"/>
          <w:szCs w:val="24"/>
          <w:lang w:val="es-ES_tradnl" w:eastAsia="es-ES"/>
        </w:rPr>
        <w:t>, señaló e</w:t>
      </w:r>
      <w:r w:rsidR="00632A37">
        <w:rPr>
          <w:rFonts w:eastAsia="Times New Roman" w:cs="Arial"/>
          <w:szCs w:val="24"/>
          <w:lang w:val="es-ES_tradnl" w:eastAsia="es-ES"/>
        </w:rPr>
        <w:t>ntend</w:t>
      </w:r>
      <w:r>
        <w:rPr>
          <w:rFonts w:eastAsia="Times New Roman" w:cs="Arial"/>
          <w:szCs w:val="24"/>
          <w:lang w:val="es-ES_tradnl" w:eastAsia="es-ES"/>
        </w:rPr>
        <w:t>er</w:t>
      </w:r>
      <w:r w:rsidR="00632A37">
        <w:rPr>
          <w:rFonts w:eastAsia="Times New Roman" w:cs="Arial"/>
          <w:szCs w:val="24"/>
          <w:lang w:val="es-ES_tradnl" w:eastAsia="es-ES"/>
        </w:rPr>
        <w:t xml:space="preserve"> la preocupación de la Senadora</w:t>
      </w:r>
      <w:r>
        <w:rPr>
          <w:rFonts w:eastAsia="Times New Roman" w:cs="Arial"/>
          <w:szCs w:val="24"/>
          <w:lang w:val="es-ES_tradnl" w:eastAsia="es-ES"/>
        </w:rPr>
        <w:t xml:space="preserve"> Provoste sobre diseñar un proceso de transición entre el uso de la boleta y la póliza de garantía, no obstante, sostuvo que la</w:t>
      </w:r>
      <w:r w:rsidR="00632A37">
        <w:rPr>
          <w:rFonts w:eastAsia="Times New Roman" w:cs="Arial"/>
          <w:szCs w:val="24"/>
          <w:lang w:val="es-ES_tradnl" w:eastAsia="es-ES"/>
        </w:rPr>
        <w:t xml:space="preserve"> gradualidad </w:t>
      </w:r>
      <w:r>
        <w:rPr>
          <w:rFonts w:eastAsia="Times New Roman" w:cs="Arial"/>
          <w:szCs w:val="24"/>
          <w:lang w:val="es-ES_tradnl" w:eastAsia="es-ES"/>
        </w:rPr>
        <w:t xml:space="preserve">en este caso resulta </w:t>
      </w:r>
      <w:r w:rsidR="00632A37">
        <w:rPr>
          <w:rFonts w:eastAsia="Times New Roman" w:cs="Arial"/>
          <w:szCs w:val="24"/>
          <w:lang w:val="es-ES_tradnl" w:eastAsia="es-ES"/>
        </w:rPr>
        <w:t>ineficaz</w:t>
      </w:r>
      <w:r>
        <w:rPr>
          <w:rFonts w:eastAsia="Times New Roman" w:cs="Arial"/>
          <w:szCs w:val="24"/>
          <w:lang w:val="es-ES_tradnl" w:eastAsia="es-ES"/>
        </w:rPr>
        <w:t>, pues</w:t>
      </w:r>
      <w:r w:rsidR="00632A37">
        <w:rPr>
          <w:rFonts w:eastAsia="Times New Roman" w:cs="Arial"/>
          <w:szCs w:val="24"/>
          <w:lang w:val="es-ES_tradnl" w:eastAsia="es-ES"/>
        </w:rPr>
        <w:t xml:space="preserve"> </w:t>
      </w:r>
      <w:r>
        <w:rPr>
          <w:rFonts w:eastAsia="Times New Roman" w:cs="Arial"/>
          <w:szCs w:val="24"/>
          <w:lang w:val="es-ES_tradnl" w:eastAsia="es-ES"/>
        </w:rPr>
        <w:t>p</w:t>
      </w:r>
      <w:r w:rsidR="00632A37">
        <w:rPr>
          <w:rFonts w:eastAsia="Times New Roman" w:cs="Arial"/>
          <w:szCs w:val="24"/>
          <w:lang w:val="es-ES_tradnl" w:eastAsia="es-ES"/>
        </w:rPr>
        <w:t xml:space="preserve">uede </w:t>
      </w:r>
      <w:r w:rsidR="00632A37">
        <w:rPr>
          <w:rFonts w:eastAsia="Times New Roman" w:cs="Arial"/>
          <w:szCs w:val="24"/>
          <w:lang w:val="es-ES_tradnl" w:eastAsia="es-ES"/>
        </w:rPr>
        <w:lastRenderedPageBreak/>
        <w:t>ocurrir que una empresa que no está cerca de cerrar su faena quiebr</w:t>
      </w:r>
      <w:r>
        <w:rPr>
          <w:rFonts w:eastAsia="Times New Roman" w:cs="Arial"/>
          <w:szCs w:val="24"/>
          <w:lang w:val="es-ES_tradnl" w:eastAsia="es-ES"/>
        </w:rPr>
        <w:t>e</w:t>
      </w:r>
      <w:r w:rsidR="00632A37">
        <w:rPr>
          <w:rFonts w:eastAsia="Times New Roman" w:cs="Arial"/>
          <w:szCs w:val="24"/>
          <w:lang w:val="es-ES_tradnl" w:eastAsia="es-ES"/>
        </w:rPr>
        <w:t>, hac</w:t>
      </w:r>
      <w:r>
        <w:rPr>
          <w:rFonts w:eastAsia="Times New Roman" w:cs="Arial"/>
          <w:szCs w:val="24"/>
          <w:lang w:val="es-ES_tradnl" w:eastAsia="es-ES"/>
        </w:rPr>
        <w:t>iendo</w:t>
      </w:r>
      <w:r w:rsidR="00632A37">
        <w:rPr>
          <w:rFonts w:eastAsia="Times New Roman" w:cs="Arial"/>
          <w:szCs w:val="24"/>
          <w:lang w:val="es-ES_tradnl" w:eastAsia="es-ES"/>
        </w:rPr>
        <w:t xml:space="preserve"> responsable </w:t>
      </w:r>
      <w:r>
        <w:rPr>
          <w:rFonts w:eastAsia="Times New Roman" w:cs="Arial"/>
          <w:szCs w:val="24"/>
          <w:lang w:val="es-ES_tradnl" w:eastAsia="es-ES"/>
        </w:rPr>
        <w:t>a</w:t>
      </w:r>
      <w:r w:rsidR="00632A37">
        <w:rPr>
          <w:rFonts w:eastAsia="Times New Roman" w:cs="Arial"/>
          <w:szCs w:val="24"/>
          <w:lang w:val="es-ES_tradnl" w:eastAsia="es-ES"/>
        </w:rPr>
        <w:t>l Estado</w:t>
      </w:r>
      <w:r w:rsidR="006E30F4">
        <w:rPr>
          <w:rFonts w:eastAsia="Times New Roman" w:cs="Arial"/>
          <w:szCs w:val="24"/>
          <w:lang w:val="es-ES_tradnl" w:eastAsia="es-ES"/>
        </w:rPr>
        <w:t xml:space="preserve">, </w:t>
      </w:r>
      <w:r>
        <w:rPr>
          <w:rFonts w:eastAsia="Times New Roman" w:cs="Arial"/>
          <w:szCs w:val="24"/>
          <w:lang w:val="es-ES_tradnl" w:eastAsia="es-ES"/>
        </w:rPr>
        <w:t xml:space="preserve">motivo de </w:t>
      </w:r>
      <w:r w:rsidR="006E30F4">
        <w:rPr>
          <w:rFonts w:eastAsia="Times New Roman" w:cs="Arial"/>
          <w:szCs w:val="24"/>
          <w:lang w:val="es-ES_tradnl" w:eastAsia="es-ES"/>
        </w:rPr>
        <w:t xml:space="preserve">la urgencia de </w:t>
      </w:r>
      <w:r>
        <w:rPr>
          <w:rFonts w:eastAsia="Times New Roman" w:cs="Arial"/>
          <w:szCs w:val="24"/>
          <w:lang w:val="es-ES_tradnl" w:eastAsia="es-ES"/>
        </w:rPr>
        <w:t>considerar como</w:t>
      </w:r>
      <w:r w:rsidR="006E30F4">
        <w:rPr>
          <w:rFonts w:eastAsia="Times New Roman" w:cs="Arial"/>
          <w:szCs w:val="24"/>
          <w:lang w:val="es-ES_tradnl" w:eastAsia="es-ES"/>
        </w:rPr>
        <w:t xml:space="preserve"> opción una póliza de seguro. </w:t>
      </w:r>
      <w:r w:rsidR="00424CAC">
        <w:rPr>
          <w:rFonts w:eastAsia="Times New Roman" w:cs="Arial"/>
          <w:szCs w:val="24"/>
          <w:lang w:val="es-ES_tradnl" w:eastAsia="es-ES"/>
        </w:rPr>
        <w:t>Añadió que v</w:t>
      </w:r>
      <w:r w:rsidR="006E30F4">
        <w:rPr>
          <w:rFonts w:eastAsia="Times New Roman" w:cs="Arial"/>
          <w:szCs w:val="24"/>
          <w:lang w:val="es-ES_tradnl" w:eastAsia="es-ES"/>
        </w:rPr>
        <w:t>arias minas que actualmente funcionan no tienen asegurado su cierre de faena</w:t>
      </w:r>
      <w:r w:rsidR="004B2674">
        <w:rPr>
          <w:rFonts w:eastAsia="Times New Roman" w:cs="Arial"/>
          <w:szCs w:val="24"/>
          <w:lang w:val="es-ES_tradnl" w:eastAsia="es-ES"/>
        </w:rPr>
        <w:t>,</w:t>
      </w:r>
      <w:r>
        <w:rPr>
          <w:rFonts w:eastAsia="Times New Roman" w:cs="Arial"/>
          <w:szCs w:val="24"/>
          <w:lang w:val="es-ES_tradnl" w:eastAsia="es-ES"/>
        </w:rPr>
        <w:t xml:space="preserve"> p</w:t>
      </w:r>
      <w:r w:rsidR="004B2674">
        <w:rPr>
          <w:rFonts w:eastAsia="Times New Roman" w:cs="Arial"/>
          <w:szCs w:val="24"/>
          <w:lang w:val="es-ES_tradnl" w:eastAsia="es-ES"/>
        </w:rPr>
        <w:t>oniendo</w:t>
      </w:r>
      <w:r>
        <w:rPr>
          <w:rFonts w:eastAsia="Times New Roman" w:cs="Arial"/>
          <w:szCs w:val="24"/>
          <w:lang w:val="es-ES_tradnl" w:eastAsia="es-ES"/>
        </w:rPr>
        <w:t xml:space="preserve"> como</w:t>
      </w:r>
      <w:r w:rsidR="00632A37">
        <w:rPr>
          <w:rFonts w:eastAsia="Times New Roman" w:cs="Arial"/>
          <w:szCs w:val="24"/>
          <w:lang w:val="es-ES_tradnl" w:eastAsia="es-ES"/>
        </w:rPr>
        <w:t xml:space="preserve"> ejemplo</w:t>
      </w:r>
      <w:r>
        <w:rPr>
          <w:rFonts w:eastAsia="Times New Roman" w:cs="Arial"/>
          <w:szCs w:val="24"/>
          <w:lang w:val="es-ES_tradnl" w:eastAsia="es-ES"/>
        </w:rPr>
        <w:t>, el caso de las</w:t>
      </w:r>
      <w:r w:rsidR="00632A37">
        <w:rPr>
          <w:rFonts w:eastAsia="Times New Roman" w:cs="Arial"/>
          <w:szCs w:val="24"/>
          <w:lang w:val="es-ES_tradnl" w:eastAsia="es-ES"/>
        </w:rPr>
        <w:t xml:space="preserve"> </w:t>
      </w:r>
      <w:r>
        <w:rPr>
          <w:rFonts w:eastAsia="Times New Roman" w:cs="Arial"/>
          <w:szCs w:val="24"/>
          <w:lang w:val="es-ES_tradnl" w:eastAsia="es-ES"/>
        </w:rPr>
        <w:t>m</w:t>
      </w:r>
      <w:r w:rsidR="00632A37">
        <w:rPr>
          <w:rFonts w:eastAsia="Times New Roman" w:cs="Arial"/>
          <w:szCs w:val="24"/>
          <w:lang w:val="es-ES_tradnl" w:eastAsia="es-ES"/>
        </w:rPr>
        <w:t>ina</w:t>
      </w:r>
      <w:r>
        <w:rPr>
          <w:rFonts w:eastAsia="Times New Roman" w:cs="Arial"/>
          <w:szCs w:val="24"/>
          <w:lang w:val="es-ES_tradnl" w:eastAsia="es-ES"/>
        </w:rPr>
        <w:t>s</w:t>
      </w:r>
      <w:r w:rsidR="00632A37">
        <w:rPr>
          <w:rFonts w:eastAsia="Times New Roman" w:cs="Arial"/>
          <w:szCs w:val="24"/>
          <w:lang w:val="es-ES_tradnl" w:eastAsia="es-ES"/>
        </w:rPr>
        <w:t xml:space="preserve"> Dayton en Andacollo y Toqui en Aysén.</w:t>
      </w:r>
    </w:p>
    <w:p w:rsidR="00445283" w:rsidRPr="00534AB0" w:rsidRDefault="00445283" w:rsidP="009227F4">
      <w:pPr>
        <w:tabs>
          <w:tab w:val="left" w:pos="2835"/>
        </w:tabs>
        <w:ind w:firstLine="2835"/>
        <w:jc w:val="both"/>
        <w:rPr>
          <w:rFonts w:eastAsia="Times New Roman" w:cs="Arial"/>
          <w:szCs w:val="24"/>
          <w:lang w:val="es-ES_tradnl" w:eastAsia="es-ES"/>
        </w:rPr>
      </w:pPr>
    </w:p>
    <w:p w:rsidR="006E30F4" w:rsidRDefault="006E30F4" w:rsidP="00057E76">
      <w:pPr>
        <w:tabs>
          <w:tab w:val="left" w:pos="2835"/>
        </w:tabs>
        <w:ind w:firstLine="2835"/>
        <w:jc w:val="both"/>
        <w:rPr>
          <w:rFonts w:eastAsia="Times New Roman" w:cs="Arial"/>
          <w:szCs w:val="24"/>
          <w:lang w:val="es-ES_tradnl" w:eastAsia="es-ES"/>
        </w:rPr>
      </w:pPr>
      <w:r>
        <w:rPr>
          <w:rFonts w:eastAsia="Times New Roman" w:cs="Arial"/>
          <w:szCs w:val="24"/>
          <w:lang w:val="es-ES_tradnl" w:eastAsia="es-ES"/>
        </w:rPr>
        <w:t>A continuación, propuso como forma de resolver las diferencias entre ambas Cámaras, la que sigue:</w:t>
      </w:r>
    </w:p>
    <w:p w:rsidR="006E30F4" w:rsidRDefault="006E30F4" w:rsidP="00057E76">
      <w:pPr>
        <w:tabs>
          <w:tab w:val="left" w:pos="2835"/>
        </w:tabs>
        <w:ind w:firstLine="2835"/>
        <w:jc w:val="both"/>
        <w:rPr>
          <w:rFonts w:eastAsia="Times New Roman" w:cs="Arial"/>
          <w:szCs w:val="24"/>
          <w:lang w:val="es-ES_tradnl" w:eastAsia="es-ES"/>
        </w:rPr>
      </w:pPr>
    </w:p>
    <w:p w:rsidR="006E30F4" w:rsidRDefault="006E30F4" w:rsidP="006E30F4">
      <w:pPr>
        <w:tabs>
          <w:tab w:val="left" w:pos="2268"/>
          <w:tab w:val="left" w:pos="2835"/>
        </w:tabs>
        <w:ind w:firstLine="2835"/>
        <w:jc w:val="both"/>
        <w:rPr>
          <w:rFonts w:eastAsia="Times New Roman" w:cs="Arial"/>
          <w:szCs w:val="24"/>
          <w:lang w:val="es-ES_tradnl" w:eastAsia="es-ES"/>
        </w:rPr>
      </w:pPr>
      <w:r>
        <w:rPr>
          <w:rFonts w:eastAsia="Times New Roman" w:cs="Arial"/>
          <w:szCs w:val="24"/>
          <w:lang w:val="es-ES_tradnl" w:eastAsia="es-ES"/>
        </w:rPr>
        <w:t>Sustituir la letra a) del número 1) – número 2) de la Honorable Cámara de Diputados – del artículo único, por la siguiente:</w:t>
      </w:r>
    </w:p>
    <w:p w:rsidR="006E30F4" w:rsidRDefault="006E30F4" w:rsidP="006E30F4">
      <w:pPr>
        <w:tabs>
          <w:tab w:val="left" w:pos="2268"/>
          <w:tab w:val="left" w:pos="2835"/>
        </w:tabs>
        <w:ind w:firstLine="2835"/>
        <w:jc w:val="both"/>
        <w:rPr>
          <w:rFonts w:eastAsia="Times New Roman" w:cs="Arial"/>
          <w:szCs w:val="24"/>
          <w:lang w:val="es-ES_tradnl" w:eastAsia="es-ES"/>
        </w:rPr>
      </w:pPr>
    </w:p>
    <w:p w:rsidR="006E30F4" w:rsidRDefault="006E30F4" w:rsidP="006E30F4">
      <w:pPr>
        <w:tabs>
          <w:tab w:val="left" w:pos="2268"/>
          <w:tab w:val="left" w:pos="2835"/>
        </w:tabs>
        <w:ind w:firstLine="2835"/>
        <w:jc w:val="both"/>
        <w:rPr>
          <w:rFonts w:eastAsia="Times New Roman" w:cs="Arial"/>
          <w:szCs w:val="24"/>
          <w:lang w:val="es-ES_tradnl" w:eastAsia="es-ES"/>
        </w:rPr>
      </w:pPr>
      <w:r w:rsidRPr="00DB7F8F">
        <w:rPr>
          <w:rFonts w:eastAsia="Times New Roman" w:cs="Arial"/>
          <w:szCs w:val="24"/>
          <w:lang w:val="es-ES_tradnl" w:eastAsia="es-ES"/>
        </w:rPr>
        <w:t xml:space="preserve">“a) </w:t>
      </w:r>
      <w:proofErr w:type="spellStart"/>
      <w:r w:rsidRPr="00DB7F8F">
        <w:rPr>
          <w:rFonts w:eastAsia="Times New Roman" w:cs="Arial"/>
          <w:szCs w:val="24"/>
          <w:lang w:val="es-ES_tradnl" w:eastAsia="es-ES"/>
        </w:rPr>
        <w:t>Incorpóranse</w:t>
      </w:r>
      <w:proofErr w:type="spellEnd"/>
      <w:r w:rsidRPr="00DB7F8F">
        <w:rPr>
          <w:rFonts w:eastAsia="Times New Roman" w:cs="Arial"/>
          <w:szCs w:val="24"/>
          <w:lang w:val="es-ES_tradnl" w:eastAsia="es-ES"/>
        </w:rPr>
        <w:t xml:space="preserve"> los siguientes párrafos tercero y cuarto, nuevos, pasando el actual párrafo tercero a ser quinto:</w:t>
      </w:r>
    </w:p>
    <w:p w:rsidR="006E30F4" w:rsidRDefault="006E30F4" w:rsidP="006E30F4">
      <w:pPr>
        <w:tabs>
          <w:tab w:val="left" w:pos="2268"/>
          <w:tab w:val="left" w:pos="2835"/>
        </w:tabs>
        <w:ind w:firstLine="2835"/>
        <w:jc w:val="both"/>
        <w:rPr>
          <w:rFonts w:eastAsia="Times New Roman" w:cs="Arial"/>
          <w:szCs w:val="24"/>
          <w:lang w:val="es-ES_tradnl" w:eastAsia="es-ES"/>
        </w:rPr>
      </w:pPr>
    </w:p>
    <w:p w:rsidR="006E30F4" w:rsidRDefault="006E30F4" w:rsidP="006E30F4">
      <w:pPr>
        <w:tabs>
          <w:tab w:val="left" w:pos="2268"/>
          <w:tab w:val="left" w:pos="2835"/>
        </w:tabs>
        <w:ind w:firstLine="2835"/>
        <w:jc w:val="both"/>
        <w:rPr>
          <w:rFonts w:eastAsia="Times New Roman" w:cs="Arial"/>
          <w:szCs w:val="24"/>
          <w:lang w:val="es-ES_tradnl" w:eastAsia="es-ES"/>
        </w:rPr>
      </w:pPr>
      <w:r w:rsidRPr="00DB7F8F">
        <w:rPr>
          <w:rFonts w:eastAsia="Times New Roman" w:cs="Arial"/>
          <w:szCs w:val="24"/>
          <w:lang w:val="es-ES_tradnl" w:eastAsia="es-ES"/>
        </w:rPr>
        <w:t>“Asimismo, podrán otorgarse pólizas de garantía a primer requerimiento emitidas por compañías de seguros nacionales. En este caso, la indemnización deberá ser pagada al Servicio a su mera solicitud, de conformidad con lo señalado en el artículo 44, dentro del plazo que establece la póliza, caso en el cual la aseguradora no podrá exigir que el requerimiento contenga mayor información que la identificación de la póliza, del asegurado y del monto reclamado. El asegurador no podrá oponer excepción alguna para condicionar, diferir o incumplir el pago de la indemnización.</w:t>
      </w:r>
    </w:p>
    <w:p w:rsidR="006E30F4" w:rsidRDefault="006E30F4" w:rsidP="006E30F4">
      <w:pPr>
        <w:tabs>
          <w:tab w:val="left" w:pos="2268"/>
          <w:tab w:val="left" w:pos="2835"/>
        </w:tabs>
        <w:ind w:firstLine="2835"/>
        <w:jc w:val="both"/>
        <w:rPr>
          <w:rFonts w:eastAsia="Times New Roman" w:cs="Arial"/>
          <w:szCs w:val="24"/>
          <w:lang w:val="es-ES_tradnl" w:eastAsia="es-ES"/>
        </w:rPr>
      </w:pPr>
    </w:p>
    <w:p w:rsidR="00DB7F8F" w:rsidRDefault="006E30F4" w:rsidP="006E30F4">
      <w:pPr>
        <w:tabs>
          <w:tab w:val="left" w:pos="2835"/>
        </w:tabs>
        <w:ind w:firstLine="2835"/>
        <w:jc w:val="both"/>
        <w:rPr>
          <w:rFonts w:eastAsia="Times New Roman" w:cs="Arial"/>
          <w:szCs w:val="24"/>
          <w:lang w:val="es-ES_tradnl" w:eastAsia="es-ES"/>
        </w:rPr>
      </w:pPr>
      <w:r w:rsidRPr="00DB7F8F">
        <w:rPr>
          <w:rFonts w:eastAsia="Times New Roman" w:cs="Arial"/>
          <w:szCs w:val="24"/>
          <w:lang w:val="es-ES_tradnl" w:eastAsia="es-ES"/>
        </w:rPr>
        <w:t xml:space="preserve">El asegurador deberá indemnizar al Servicio la totalidad de los costos de las medidas y actividades que dejó de cumplir </w:t>
      </w:r>
      <w:r>
        <w:rPr>
          <w:rFonts w:eastAsia="Times New Roman" w:cs="Arial"/>
          <w:szCs w:val="24"/>
          <w:lang w:val="es-ES_tradnl" w:eastAsia="es-ES"/>
        </w:rPr>
        <w:t xml:space="preserve">la empresa minera, </w:t>
      </w:r>
      <w:r w:rsidRPr="00DB7F8F">
        <w:rPr>
          <w:rFonts w:eastAsia="Times New Roman" w:cs="Arial"/>
          <w:szCs w:val="24"/>
          <w:lang w:val="es-ES_tradnl" w:eastAsia="es-ES"/>
        </w:rPr>
        <w:t>de acuerdo a la resolución que el Servicio dictó de conformidad con el artículo 44, hasta el monto asegurado que contemple el plan de cierre.”.”.</w:t>
      </w:r>
    </w:p>
    <w:p w:rsidR="00DB7F8F" w:rsidRDefault="00DB7F8F" w:rsidP="00057E76">
      <w:pPr>
        <w:tabs>
          <w:tab w:val="left" w:pos="2835"/>
        </w:tabs>
        <w:ind w:firstLine="2835"/>
        <w:jc w:val="both"/>
        <w:rPr>
          <w:rFonts w:eastAsia="Times New Roman" w:cs="Arial"/>
          <w:szCs w:val="24"/>
          <w:lang w:val="es-ES_tradnl" w:eastAsia="es-ES"/>
        </w:rPr>
      </w:pPr>
    </w:p>
    <w:p w:rsidR="00FC7F72" w:rsidRDefault="00FC7F72" w:rsidP="00057E76">
      <w:pPr>
        <w:tabs>
          <w:tab w:val="left" w:pos="2835"/>
        </w:tabs>
        <w:ind w:firstLine="2835"/>
        <w:jc w:val="both"/>
        <w:rPr>
          <w:rFonts w:eastAsia="Times New Roman" w:cs="Arial"/>
          <w:szCs w:val="24"/>
          <w:lang w:val="es-ES_tradnl" w:eastAsia="es-ES"/>
        </w:rPr>
      </w:pPr>
      <w:r>
        <w:rPr>
          <w:rFonts w:eastAsia="Times New Roman" w:cs="Arial"/>
          <w:szCs w:val="24"/>
          <w:lang w:val="es-ES_tradnl" w:eastAsia="es-ES"/>
        </w:rPr>
        <w:t>Explicó que la propuesta mantiene los dos párrafos que habían sido aprobados por la Cámara de Diputados, precisando en el segundo, que el sujeto del incumplimiento es la empresa minera.</w:t>
      </w:r>
    </w:p>
    <w:p w:rsidR="00FC7F72" w:rsidRDefault="00FC7F72" w:rsidP="00057E76">
      <w:pPr>
        <w:tabs>
          <w:tab w:val="left" w:pos="2835"/>
        </w:tabs>
        <w:ind w:firstLine="2835"/>
        <w:jc w:val="both"/>
        <w:rPr>
          <w:rFonts w:eastAsia="Times New Roman" w:cs="Arial"/>
          <w:szCs w:val="24"/>
          <w:lang w:val="es-ES_tradnl" w:eastAsia="es-ES"/>
        </w:rPr>
      </w:pPr>
    </w:p>
    <w:p w:rsidR="004B2674" w:rsidRDefault="004B2674" w:rsidP="004B2674">
      <w:pPr>
        <w:tabs>
          <w:tab w:val="left" w:pos="2835"/>
        </w:tabs>
        <w:ind w:firstLine="2835"/>
        <w:jc w:val="both"/>
        <w:rPr>
          <w:rFonts w:eastAsia="Times New Roman" w:cs="Arial"/>
          <w:szCs w:val="24"/>
          <w:lang w:val="es-ES_tradnl" w:eastAsia="es-ES"/>
        </w:rPr>
      </w:pPr>
      <w:r>
        <w:rPr>
          <w:rFonts w:eastAsia="Times New Roman" w:cs="Arial"/>
          <w:szCs w:val="24"/>
          <w:lang w:val="es-ES_tradnl" w:eastAsia="es-ES"/>
        </w:rPr>
        <w:t xml:space="preserve">La </w:t>
      </w:r>
      <w:r>
        <w:rPr>
          <w:rFonts w:eastAsia="Times New Roman" w:cs="Arial"/>
          <w:b/>
          <w:bCs/>
          <w:szCs w:val="24"/>
          <w:lang w:val="es-ES_tradnl" w:eastAsia="es-ES"/>
        </w:rPr>
        <w:t>Honorable Senadora señora Provoste</w:t>
      </w:r>
      <w:r>
        <w:rPr>
          <w:rFonts w:eastAsia="Times New Roman" w:cs="Arial"/>
          <w:szCs w:val="24"/>
          <w:lang w:val="es-ES_tradnl" w:eastAsia="es-ES"/>
        </w:rPr>
        <w:t xml:space="preserve"> manifestó que</w:t>
      </w:r>
      <w:r>
        <w:rPr>
          <w:rFonts w:eastAsia="Times New Roman" w:cs="Arial"/>
          <w:szCs w:val="24"/>
          <w:lang w:val="es-ES_tradnl" w:eastAsia="es-ES"/>
        </w:rPr>
        <w:t>,</w:t>
      </w:r>
      <w:r>
        <w:rPr>
          <w:rFonts w:eastAsia="Times New Roman" w:cs="Arial"/>
          <w:szCs w:val="24"/>
          <w:lang w:val="es-ES_tradnl" w:eastAsia="es-ES"/>
        </w:rPr>
        <w:t xml:space="preserve"> </w:t>
      </w:r>
      <w:r>
        <w:rPr>
          <w:rFonts w:eastAsia="Times New Roman" w:cs="Arial"/>
          <w:szCs w:val="24"/>
          <w:lang w:val="es-ES_tradnl" w:eastAsia="es-ES"/>
        </w:rPr>
        <w:t xml:space="preserve">si bien la propuesta del Ejecutivo soluciona la controversia, </w:t>
      </w:r>
      <w:r>
        <w:rPr>
          <w:rFonts w:eastAsia="Times New Roman" w:cs="Arial"/>
          <w:szCs w:val="24"/>
          <w:lang w:val="es-ES_tradnl" w:eastAsia="es-ES"/>
        </w:rPr>
        <w:t>hubiese preferido mantener la redacción aprobada por el Senado, en particular, porque no aparece con claridad el efecto de que un tomador no pague la prima de la póliza, razón por la que se abstendrá.</w:t>
      </w:r>
    </w:p>
    <w:p w:rsidR="00424CAC" w:rsidRDefault="00424CAC" w:rsidP="004B2674">
      <w:pPr>
        <w:tabs>
          <w:tab w:val="left" w:pos="2835"/>
        </w:tabs>
        <w:ind w:firstLine="2835"/>
        <w:jc w:val="both"/>
        <w:rPr>
          <w:rFonts w:eastAsia="Times New Roman" w:cs="Arial"/>
          <w:szCs w:val="24"/>
          <w:lang w:val="es-ES_tradnl" w:eastAsia="es-ES"/>
        </w:rPr>
      </w:pPr>
    </w:p>
    <w:p w:rsidR="00424CAC" w:rsidRDefault="00424CAC" w:rsidP="004B2674">
      <w:pPr>
        <w:tabs>
          <w:tab w:val="left" w:pos="2835"/>
        </w:tabs>
        <w:ind w:firstLine="2835"/>
        <w:jc w:val="both"/>
        <w:rPr>
          <w:rFonts w:eastAsia="Times New Roman" w:cs="Arial"/>
          <w:szCs w:val="24"/>
          <w:lang w:val="es-ES_tradnl" w:eastAsia="es-ES"/>
        </w:rPr>
      </w:pPr>
    </w:p>
    <w:p w:rsidR="0083062E" w:rsidRPr="0083062E" w:rsidRDefault="0083062E" w:rsidP="00057E76">
      <w:pPr>
        <w:tabs>
          <w:tab w:val="left" w:pos="2835"/>
        </w:tabs>
        <w:ind w:firstLine="2835"/>
        <w:jc w:val="both"/>
        <w:rPr>
          <w:rFonts w:eastAsia="Times New Roman" w:cs="Arial"/>
          <w:b/>
          <w:szCs w:val="24"/>
          <w:lang w:val="es-ES_tradnl" w:eastAsia="es-ES"/>
        </w:rPr>
      </w:pPr>
      <w:r w:rsidRPr="00DB7F8F">
        <w:rPr>
          <w:rFonts w:eastAsia="Times New Roman" w:cs="Arial"/>
          <w:b/>
          <w:szCs w:val="24"/>
          <w:lang w:val="es-ES_tradnl" w:eastAsia="es-ES"/>
        </w:rPr>
        <w:t>Puesta en votación la proposición del Ejecutivo fue</w:t>
      </w:r>
      <w:r w:rsidRPr="0083062E">
        <w:rPr>
          <w:rFonts w:eastAsia="Times New Roman" w:cs="Arial"/>
          <w:b/>
          <w:szCs w:val="24"/>
          <w:lang w:val="es-ES_tradnl" w:eastAsia="es-ES"/>
        </w:rPr>
        <w:t xml:space="preserve"> </w:t>
      </w:r>
      <w:r w:rsidR="00534AB0">
        <w:rPr>
          <w:rFonts w:eastAsia="Times New Roman" w:cs="Arial"/>
          <w:b/>
          <w:szCs w:val="24"/>
          <w:lang w:val="es-ES_tradnl" w:eastAsia="es-ES"/>
        </w:rPr>
        <w:t xml:space="preserve">aprobada por mayoría de nueve votos a favor y una abstención. Se pronunciaron favorablemente los Honorables Senadores señores Elizalde, García Huidobro, Guillier y </w:t>
      </w:r>
      <w:proofErr w:type="spellStart"/>
      <w:r w:rsidR="00534AB0">
        <w:rPr>
          <w:rFonts w:eastAsia="Times New Roman" w:cs="Arial"/>
          <w:b/>
          <w:szCs w:val="24"/>
          <w:lang w:val="es-ES_tradnl" w:eastAsia="es-ES"/>
        </w:rPr>
        <w:t>Prohens</w:t>
      </w:r>
      <w:proofErr w:type="spellEnd"/>
      <w:r w:rsidR="00534AB0">
        <w:rPr>
          <w:rFonts w:eastAsia="Times New Roman" w:cs="Arial"/>
          <w:b/>
          <w:szCs w:val="24"/>
          <w:lang w:val="es-ES_tradnl" w:eastAsia="es-ES"/>
        </w:rPr>
        <w:t xml:space="preserve">, y los Honorables Diputados señora Cid y señores Castro, don Juan Luis, </w:t>
      </w:r>
      <w:proofErr w:type="spellStart"/>
      <w:r w:rsidR="00534AB0">
        <w:rPr>
          <w:rFonts w:eastAsia="Times New Roman" w:cs="Arial"/>
          <w:b/>
          <w:szCs w:val="24"/>
          <w:lang w:val="es-ES_tradnl" w:eastAsia="es-ES"/>
        </w:rPr>
        <w:t>Kort</w:t>
      </w:r>
      <w:proofErr w:type="spellEnd"/>
      <w:r w:rsidR="00534AB0">
        <w:rPr>
          <w:rFonts w:eastAsia="Times New Roman" w:cs="Arial"/>
          <w:b/>
          <w:szCs w:val="24"/>
          <w:lang w:val="es-ES_tradnl" w:eastAsia="es-ES"/>
        </w:rPr>
        <w:t xml:space="preserve">, </w:t>
      </w:r>
      <w:proofErr w:type="spellStart"/>
      <w:r w:rsidR="00534AB0">
        <w:rPr>
          <w:rFonts w:eastAsia="Times New Roman" w:cs="Arial"/>
          <w:b/>
          <w:szCs w:val="24"/>
          <w:lang w:val="es-ES_tradnl" w:eastAsia="es-ES"/>
        </w:rPr>
        <w:t>Silber</w:t>
      </w:r>
      <w:proofErr w:type="spellEnd"/>
      <w:r w:rsidR="00534AB0">
        <w:rPr>
          <w:rFonts w:eastAsia="Times New Roman" w:cs="Arial"/>
          <w:b/>
          <w:szCs w:val="24"/>
          <w:lang w:val="es-ES_tradnl" w:eastAsia="es-ES"/>
        </w:rPr>
        <w:t xml:space="preserve"> y Vidal.</w:t>
      </w:r>
      <w:r w:rsidR="00AE09A9">
        <w:rPr>
          <w:rFonts w:eastAsia="Times New Roman" w:cs="Arial"/>
          <w:b/>
          <w:szCs w:val="24"/>
          <w:lang w:val="es-ES_tradnl" w:eastAsia="es-ES"/>
        </w:rPr>
        <w:t xml:space="preserve"> En tanto, la Honorable Senadora señora Provoste se abstuvo.</w:t>
      </w:r>
    </w:p>
    <w:p w:rsidR="0083062E" w:rsidRPr="0083062E" w:rsidRDefault="0083062E" w:rsidP="0083062E">
      <w:pPr>
        <w:tabs>
          <w:tab w:val="left" w:pos="2835"/>
        </w:tabs>
        <w:jc w:val="center"/>
        <w:rPr>
          <w:rFonts w:eastAsia="Times New Roman" w:cs="Arial"/>
          <w:b/>
          <w:szCs w:val="24"/>
          <w:lang w:val="es-ES_tradnl" w:eastAsia="es-ES"/>
        </w:rPr>
      </w:pPr>
      <w:r w:rsidRPr="0083062E">
        <w:rPr>
          <w:rFonts w:eastAsia="Times New Roman" w:cs="Arial"/>
          <w:b/>
          <w:szCs w:val="24"/>
          <w:lang w:val="es-ES_tradnl" w:eastAsia="es-ES"/>
        </w:rPr>
        <w:lastRenderedPageBreak/>
        <w:t>- - -</w:t>
      </w:r>
    </w:p>
    <w:p w:rsidR="0083062E" w:rsidRPr="00424CAC" w:rsidRDefault="0083062E" w:rsidP="0083062E">
      <w:pPr>
        <w:tabs>
          <w:tab w:val="left" w:pos="2835"/>
        </w:tabs>
        <w:jc w:val="both"/>
        <w:rPr>
          <w:rFonts w:eastAsia="Times New Roman" w:cs="Arial"/>
          <w:bCs/>
          <w:szCs w:val="24"/>
          <w:lang w:val="es-ES_tradnl" w:eastAsia="es-ES"/>
        </w:rPr>
      </w:pPr>
    </w:p>
    <w:p w:rsidR="0083062E" w:rsidRPr="0083062E" w:rsidRDefault="0083062E" w:rsidP="0083062E">
      <w:pPr>
        <w:tabs>
          <w:tab w:val="left" w:pos="2835"/>
        </w:tabs>
        <w:jc w:val="center"/>
        <w:rPr>
          <w:rFonts w:eastAsia="Times New Roman" w:cs="Arial"/>
          <w:b/>
          <w:szCs w:val="24"/>
          <w:lang w:val="es-ES_tradnl" w:eastAsia="es-ES"/>
        </w:rPr>
      </w:pPr>
      <w:r w:rsidRPr="0083062E">
        <w:rPr>
          <w:rFonts w:eastAsia="Times New Roman" w:cs="Arial"/>
          <w:b/>
          <w:szCs w:val="24"/>
          <w:lang w:val="es-ES_tradnl" w:eastAsia="es-ES"/>
        </w:rPr>
        <w:t>PROPOSICIÓN</w:t>
      </w:r>
    </w:p>
    <w:p w:rsidR="0083062E" w:rsidRPr="0083062E" w:rsidRDefault="0083062E" w:rsidP="0083062E">
      <w:pPr>
        <w:tabs>
          <w:tab w:val="left" w:pos="2268"/>
          <w:tab w:val="left" w:pos="2835"/>
        </w:tabs>
        <w:jc w:val="both"/>
        <w:rPr>
          <w:rFonts w:eastAsia="Times New Roman" w:cs="Arial"/>
          <w:szCs w:val="24"/>
          <w:lang w:val="es-ES_tradnl" w:eastAsia="es-ES"/>
        </w:rPr>
      </w:pPr>
    </w:p>
    <w:p w:rsidR="0083062E" w:rsidRDefault="0083062E" w:rsidP="00057E76">
      <w:pPr>
        <w:tabs>
          <w:tab w:val="left" w:pos="2268"/>
          <w:tab w:val="left" w:pos="2835"/>
        </w:tabs>
        <w:ind w:firstLine="2835"/>
        <w:jc w:val="both"/>
        <w:rPr>
          <w:rFonts w:eastAsia="Times New Roman" w:cs="Arial"/>
          <w:szCs w:val="24"/>
          <w:lang w:val="es-ES_tradnl" w:eastAsia="es-ES"/>
        </w:rPr>
      </w:pPr>
      <w:r w:rsidRPr="0083062E">
        <w:rPr>
          <w:rFonts w:eastAsia="Times New Roman" w:cs="Arial"/>
          <w:szCs w:val="24"/>
          <w:lang w:val="es-ES_tradnl" w:eastAsia="es-ES"/>
        </w:rPr>
        <w:t xml:space="preserve">De conformidad con </w:t>
      </w:r>
      <w:r w:rsidR="00057E76" w:rsidRPr="00534AB0">
        <w:rPr>
          <w:rFonts w:eastAsia="Times New Roman" w:cs="Arial"/>
          <w:szCs w:val="24"/>
          <w:lang w:val="es-ES_tradnl" w:eastAsia="es-ES"/>
        </w:rPr>
        <w:t xml:space="preserve">el </w:t>
      </w:r>
      <w:r w:rsidRPr="00534AB0">
        <w:rPr>
          <w:rFonts w:eastAsia="Times New Roman" w:cs="Arial"/>
          <w:szCs w:val="24"/>
          <w:lang w:val="es-ES_tradnl" w:eastAsia="es-ES"/>
        </w:rPr>
        <w:t>acuerdo adoptado</w:t>
      </w:r>
      <w:r w:rsidRPr="0083062E">
        <w:rPr>
          <w:rFonts w:eastAsia="Times New Roman" w:cs="Arial"/>
          <w:szCs w:val="24"/>
          <w:lang w:val="es-ES_tradnl" w:eastAsia="es-ES"/>
        </w:rPr>
        <w:t>, la proposición que la Comisión Mixta realiza, como forma y modo de resolver las divergencias surgidas entre el Senado y la Cámara de Diputados durante la tramitación del presente proyecto de ley, es la que a continuación se señala:</w:t>
      </w:r>
    </w:p>
    <w:p w:rsidR="00534AB0" w:rsidRDefault="00534AB0" w:rsidP="00057E76">
      <w:pPr>
        <w:tabs>
          <w:tab w:val="left" w:pos="2268"/>
          <w:tab w:val="left" w:pos="2835"/>
        </w:tabs>
        <w:ind w:firstLine="2835"/>
        <w:jc w:val="both"/>
        <w:rPr>
          <w:rFonts w:eastAsia="Times New Roman" w:cs="Arial"/>
          <w:szCs w:val="24"/>
          <w:lang w:val="es-ES_tradnl" w:eastAsia="es-ES"/>
        </w:rPr>
      </w:pPr>
    </w:p>
    <w:p w:rsidR="00DB7F8F" w:rsidRDefault="00DB7F8F" w:rsidP="00DB7F8F">
      <w:pPr>
        <w:tabs>
          <w:tab w:val="left" w:pos="2268"/>
          <w:tab w:val="left" w:pos="2835"/>
        </w:tabs>
        <w:ind w:firstLine="2835"/>
        <w:jc w:val="both"/>
        <w:rPr>
          <w:rFonts w:eastAsia="Times New Roman" w:cs="Arial"/>
          <w:szCs w:val="24"/>
          <w:lang w:val="es-ES_tradnl" w:eastAsia="es-ES"/>
        </w:rPr>
      </w:pPr>
      <w:r>
        <w:rPr>
          <w:rFonts w:eastAsia="Times New Roman" w:cs="Arial"/>
          <w:szCs w:val="24"/>
          <w:lang w:val="es-ES_tradnl" w:eastAsia="es-ES"/>
        </w:rPr>
        <w:t>Sustituir la letra a) del número 1) – número 2) de la Honorable Cámara de Diputados – del artículo único, por la siguiente:</w:t>
      </w:r>
    </w:p>
    <w:p w:rsidR="00DB7F8F" w:rsidRDefault="00DB7F8F" w:rsidP="00DB7F8F">
      <w:pPr>
        <w:tabs>
          <w:tab w:val="left" w:pos="2268"/>
          <w:tab w:val="left" w:pos="2835"/>
        </w:tabs>
        <w:ind w:firstLine="2835"/>
        <w:jc w:val="both"/>
        <w:rPr>
          <w:rFonts w:eastAsia="Times New Roman" w:cs="Arial"/>
          <w:szCs w:val="24"/>
          <w:lang w:val="es-ES_tradnl" w:eastAsia="es-ES"/>
        </w:rPr>
      </w:pPr>
    </w:p>
    <w:p w:rsidR="00DB7F8F" w:rsidRDefault="00DB7F8F" w:rsidP="00DB7F8F">
      <w:pPr>
        <w:tabs>
          <w:tab w:val="left" w:pos="2268"/>
          <w:tab w:val="left" w:pos="2835"/>
        </w:tabs>
        <w:ind w:firstLine="2835"/>
        <w:jc w:val="both"/>
        <w:rPr>
          <w:rFonts w:eastAsia="Times New Roman" w:cs="Arial"/>
          <w:szCs w:val="24"/>
          <w:lang w:val="es-ES_tradnl" w:eastAsia="es-ES"/>
        </w:rPr>
      </w:pPr>
      <w:r w:rsidRPr="00DB7F8F">
        <w:rPr>
          <w:rFonts w:eastAsia="Times New Roman" w:cs="Arial"/>
          <w:szCs w:val="24"/>
          <w:lang w:val="es-ES_tradnl" w:eastAsia="es-ES"/>
        </w:rPr>
        <w:t xml:space="preserve">“a) </w:t>
      </w:r>
      <w:proofErr w:type="spellStart"/>
      <w:r w:rsidRPr="00DB7F8F">
        <w:rPr>
          <w:rFonts w:eastAsia="Times New Roman" w:cs="Arial"/>
          <w:szCs w:val="24"/>
          <w:lang w:val="es-ES_tradnl" w:eastAsia="es-ES"/>
        </w:rPr>
        <w:t>Incorpóranse</w:t>
      </w:r>
      <w:proofErr w:type="spellEnd"/>
      <w:r w:rsidRPr="00DB7F8F">
        <w:rPr>
          <w:rFonts w:eastAsia="Times New Roman" w:cs="Arial"/>
          <w:szCs w:val="24"/>
          <w:lang w:val="es-ES_tradnl" w:eastAsia="es-ES"/>
        </w:rPr>
        <w:t xml:space="preserve"> los siguientes párrafos tercero y cuarto, nuevos, pasando el actual párrafo tercero a ser quinto:</w:t>
      </w:r>
    </w:p>
    <w:p w:rsidR="00DB7F8F" w:rsidRDefault="00DB7F8F" w:rsidP="00DB7F8F">
      <w:pPr>
        <w:tabs>
          <w:tab w:val="left" w:pos="2268"/>
          <w:tab w:val="left" w:pos="2835"/>
        </w:tabs>
        <w:ind w:firstLine="2835"/>
        <w:jc w:val="both"/>
        <w:rPr>
          <w:rFonts w:eastAsia="Times New Roman" w:cs="Arial"/>
          <w:szCs w:val="24"/>
          <w:lang w:val="es-ES_tradnl" w:eastAsia="es-ES"/>
        </w:rPr>
      </w:pPr>
    </w:p>
    <w:p w:rsidR="00DB7F8F" w:rsidRDefault="00DB7F8F" w:rsidP="00DB7F8F">
      <w:pPr>
        <w:tabs>
          <w:tab w:val="left" w:pos="2268"/>
          <w:tab w:val="left" w:pos="2835"/>
        </w:tabs>
        <w:ind w:firstLine="2835"/>
        <w:jc w:val="both"/>
        <w:rPr>
          <w:rFonts w:eastAsia="Times New Roman" w:cs="Arial"/>
          <w:szCs w:val="24"/>
          <w:lang w:val="es-ES_tradnl" w:eastAsia="es-ES"/>
        </w:rPr>
      </w:pPr>
      <w:r w:rsidRPr="00DB7F8F">
        <w:rPr>
          <w:rFonts w:eastAsia="Times New Roman" w:cs="Arial"/>
          <w:szCs w:val="24"/>
          <w:lang w:val="es-ES_tradnl" w:eastAsia="es-ES"/>
        </w:rPr>
        <w:t>“Asimismo, podrán otorgarse pólizas de garantía a primer requerimiento emitidas por compañías de seguros nacionales. En este caso, la indemnización deberá ser pagada al Servicio a su mera solicitud, de conformidad con lo señalado en el artículo 44, dentro del plazo que establece la póliza, caso en el cual la aseguradora no podrá exigir que el requerimiento contenga mayor información que la identificación de la póliza, del asegurado y del monto reclamado. El asegurador no podrá oponer excepción alguna para condicionar, diferir o incumplir el pago de la indemnización.</w:t>
      </w:r>
    </w:p>
    <w:p w:rsidR="00DB7F8F" w:rsidRDefault="00DB7F8F" w:rsidP="00DB7F8F">
      <w:pPr>
        <w:tabs>
          <w:tab w:val="left" w:pos="2268"/>
          <w:tab w:val="left" w:pos="2835"/>
        </w:tabs>
        <w:ind w:firstLine="2835"/>
        <w:jc w:val="both"/>
        <w:rPr>
          <w:rFonts w:eastAsia="Times New Roman" w:cs="Arial"/>
          <w:szCs w:val="24"/>
          <w:lang w:val="es-ES_tradnl" w:eastAsia="es-ES"/>
        </w:rPr>
      </w:pPr>
    </w:p>
    <w:p w:rsidR="0083062E" w:rsidRDefault="00DB7F8F" w:rsidP="00DB7F8F">
      <w:pPr>
        <w:tabs>
          <w:tab w:val="left" w:pos="2268"/>
          <w:tab w:val="left" w:pos="2835"/>
        </w:tabs>
        <w:ind w:firstLine="2835"/>
        <w:jc w:val="both"/>
        <w:rPr>
          <w:rFonts w:eastAsia="Times New Roman" w:cs="Arial"/>
          <w:b/>
          <w:bCs/>
          <w:szCs w:val="24"/>
          <w:lang w:val="es-ES_tradnl" w:eastAsia="es-ES"/>
        </w:rPr>
      </w:pPr>
      <w:r w:rsidRPr="00DB7F8F">
        <w:rPr>
          <w:rFonts w:eastAsia="Times New Roman" w:cs="Arial"/>
          <w:szCs w:val="24"/>
          <w:lang w:val="es-ES_tradnl" w:eastAsia="es-ES"/>
        </w:rPr>
        <w:t xml:space="preserve">El asegurador deberá indemnizar al Servicio la totalidad de los costos de las medidas y actividades que dejó de cumplir </w:t>
      </w:r>
      <w:r>
        <w:rPr>
          <w:rFonts w:eastAsia="Times New Roman" w:cs="Arial"/>
          <w:szCs w:val="24"/>
          <w:lang w:val="es-ES_tradnl" w:eastAsia="es-ES"/>
        </w:rPr>
        <w:t xml:space="preserve">la empresa minera, </w:t>
      </w:r>
      <w:r w:rsidRPr="00DB7F8F">
        <w:rPr>
          <w:rFonts w:eastAsia="Times New Roman" w:cs="Arial"/>
          <w:szCs w:val="24"/>
          <w:lang w:val="es-ES_tradnl" w:eastAsia="es-ES"/>
        </w:rPr>
        <w:t>de acuerdo a la resolución que el Servicio dictó de conformidad con el artículo 44, hasta el monto asegurado que contemple el plan de cierre.”.”.</w:t>
      </w:r>
      <w:r>
        <w:rPr>
          <w:rFonts w:eastAsia="Times New Roman" w:cs="Arial"/>
          <w:szCs w:val="24"/>
          <w:lang w:val="es-ES_tradnl" w:eastAsia="es-ES"/>
        </w:rPr>
        <w:t xml:space="preserve"> </w:t>
      </w:r>
      <w:r>
        <w:rPr>
          <w:rFonts w:eastAsia="Times New Roman" w:cs="Arial"/>
          <w:b/>
          <w:bCs/>
          <w:szCs w:val="24"/>
          <w:lang w:val="es-ES_tradnl" w:eastAsia="es-ES"/>
        </w:rPr>
        <w:t>(Mayoría 9x1 abstención)</w:t>
      </w:r>
    </w:p>
    <w:p w:rsidR="00DB7F8F" w:rsidRDefault="00DB7F8F" w:rsidP="00DB7F8F">
      <w:pPr>
        <w:tabs>
          <w:tab w:val="left" w:pos="2268"/>
          <w:tab w:val="left" w:pos="2835"/>
        </w:tabs>
        <w:ind w:firstLine="2835"/>
        <w:jc w:val="both"/>
        <w:rPr>
          <w:rFonts w:eastAsia="Times New Roman" w:cs="Arial"/>
          <w:szCs w:val="24"/>
          <w:lang w:val="es-ES_tradnl" w:eastAsia="es-ES"/>
        </w:rPr>
      </w:pPr>
    </w:p>
    <w:p w:rsidR="00AE09A9" w:rsidRDefault="00AE09A9" w:rsidP="00DB7F8F">
      <w:pPr>
        <w:tabs>
          <w:tab w:val="left" w:pos="2268"/>
          <w:tab w:val="left" w:pos="2835"/>
        </w:tabs>
        <w:ind w:firstLine="2835"/>
        <w:jc w:val="both"/>
        <w:rPr>
          <w:rFonts w:eastAsia="Times New Roman" w:cs="Arial"/>
          <w:szCs w:val="24"/>
          <w:lang w:val="es-ES_tradnl" w:eastAsia="es-ES"/>
        </w:rPr>
      </w:pPr>
      <w:r>
        <w:rPr>
          <w:rFonts w:eastAsia="Times New Roman" w:cs="Arial"/>
          <w:szCs w:val="24"/>
          <w:lang w:val="es-ES_tradnl" w:eastAsia="es-ES"/>
        </w:rPr>
        <w:t xml:space="preserve">Como consecuencia de la aprobación anterior, </w:t>
      </w:r>
      <w:proofErr w:type="spellStart"/>
      <w:r>
        <w:rPr>
          <w:rFonts w:eastAsia="Times New Roman" w:cs="Arial"/>
          <w:szCs w:val="24"/>
          <w:lang w:val="es-ES_tradnl" w:eastAsia="es-ES"/>
        </w:rPr>
        <w:t>reemplázase</w:t>
      </w:r>
      <w:proofErr w:type="spellEnd"/>
      <w:r>
        <w:rPr>
          <w:rFonts w:eastAsia="Times New Roman" w:cs="Arial"/>
          <w:szCs w:val="24"/>
          <w:lang w:val="es-ES_tradnl" w:eastAsia="es-ES"/>
        </w:rPr>
        <w:t xml:space="preserve"> en la letra b) del número 1), que ha pasado a ser 2), la voz “cuarto” por “quinto”.</w:t>
      </w:r>
    </w:p>
    <w:p w:rsidR="00AE09A9" w:rsidRPr="00AE09A9" w:rsidRDefault="00AE09A9" w:rsidP="00DB7F8F">
      <w:pPr>
        <w:tabs>
          <w:tab w:val="left" w:pos="2268"/>
          <w:tab w:val="left" w:pos="2835"/>
        </w:tabs>
        <w:ind w:firstLine="2835"/>
        <w:jc w:val="both"/>
        <w:rPr>
          <w:rFonts w:eastAsia="Times New Roman" w:cs="Arial"/>
          <w:szCs w:val="24"/>
          <w:lang w:val="es-ES_tradnl" w:eastAsia="es-ES"/>
        </w:rPr>
      </w:pPr>
    </w:p>
    <w:p w:rsidR="0083062E" w:rsidRPr="0083062E" w:rsidRDefault="0083062E" w:rsidP="0083062E">
      <w:pPr>
        <w:tabs>
          <w:tab w:val="left" w:pos="2835"/>
        </w:tabs>
        <w:jc w:val="center"/>
        <w:rPr>
          <w:rFonts w:eastAsia="Times New Roman" w:cs="Arial"/>
          <w:b/>
          <w:szCs w:val="24"/>
          <w:lang w:val="es-ES" w:eastAsia="es-ES"/>
        </w:rPr>
      </w:pPr>
      <w:r w:rsidRPr="0083062E">
        <w:rPr>
          <w:rFonts w:eastAsia="Times New Roman" w:cs="Arial"/>
          <w:b/>
          <w:szCs w:val="24"/>
          <w:lang w:val="es-ES" w:eastAsia="es-ES"/>
        </w:rPr>
        <w:t>- - -</w:t>
      </w:r>
    </w:p>
    <w:p w:rsidR="0083062E" w:rsidRPr="0083062E" w:rsidRDefault="0083062E" w:rsidP="0083062E">
      <w:pPr>
        <w:rPr>
          <w:rFonts w:eastAsia="Times New Roman" w:cs="Arial"/>
          <w:szCs w:val="24"/>
          <w:lang w:val="es-ES" w:eastAsia="es-ES"/>
        </w:rPr>
      </w:pPr>
    </w:p>
    <w:p w:rsidR="004B2674" w:rsidRDefault="004B2674">
      <w:pPr>
        <w:rPr>
          <w:rFonts w:eastAsia="Times New Roman" w:cs="Arial"/>
          <w:szCs w:val="24"/>
          <w:lang w:val="es-ES" w:eastAsia="es-ES"/>
        </w:rPr>
      </w:pPr>
      <w:r>
        <w:rPr>
          <w:rFonts w:eastAsia="Times New Roman" w:cs="Arial"/>
          <w:szCs w:val="24"/>
          <w:lang w:val="es-ES" w:eastAsia="es-ES"/>
        </w:rPr>
        <w:br w:type="page"/>
      </w:r>
    </w:p>
    <w:p w:rsidR="0083062E" w:rsidRPr="0083062E" w:rsidRDefault="0083062E" w:rsidP="00057E76">
      <w:pPr>
        <w:ind w:firstLine="2835"/>
        <w:jc w:val="both"/>
        <w:rPr>
          <w:rFonts w:eastAsia="Times New Roman" w:cs="Arial"/>
          <w:szCs w:val="24"/>
          <w:lang w:val="es-ES" w:eastAsia="es-ES"/>
        </w:rPr>
      </w:pPr>
      <w:r w:rsidRPr="0083062E">
        <w:rPr>
          <w:rFonts w:eastAsia="Times New Roman" w:cs="Arial"/>
          <w:szCs w:val="24"/>
          <w:lang w:val="es-ES" w:eastAsia="es-ES"/>
        </w:rPr>
        <w:lastRenderedPageBreak/>
        <w:t xml:space="preserve">A </w:t>
      </w:r>
      <w:r w:rsidRPr="00DB7F8F">
        <w:rPr>
          <w:rFonts w:eastAsia="Times New Roman" w:cs="Arial"/>
          <w:szCs w:val="24"/>
          <w:lang w:val="es-ES" w:eastAsia="es-ES"/>
        </w:rPr>
        <w:t>título meramente informativo</w:t>
      </w:r>
      <w:r w:rsidRPr="0083062E">
        <w:rPr>
          <w:rFonts w:eastAsia="Times New Roman" w:cs="Arial"/>
          <w:szCs w:val="24"/>
          <w:lang w:val="es-ES" w:eastAsia="es-ES"/>
        </w:rPr>
        <w:t>, el texto de la iniciativa quedaría como sigue:</w:t>
      </w:r>
    </w:p>
    <w:p w:rsidR="0083062E" w:rsidRPr="0083062E" w:rsidRDefault="0083062E" w:rsidP="0083062E">
      <w:pPr>
        <w:jc w:val="both"/>
        <w:rPr>
          <w:rFonts w:eastAsia="Times New Roman" w:cs="Arial"/>
          <w:szCs w:val="24"/>
          <w:lang w:val="es-ES" w:eastAsia="es-ES"/>
        </w:rPr>
      </w:pPr>
    </w:p>
    <w:p w:rsidR="0083062E" w:rsidRPr="0083062E" w:rsidRDefault="0083062E" w:rsidP="0083062E">
      <w:pPr>
        <w:jc w:val="center"/>
        <w:rPr>
          <w:rFonts w:eastAsia="Times New Roman" w:cs="Arial"/>
          <w:szCs w:val="24"/>
          <w:lang w:val="es-ES" w:eastAsia="es-ES"/>
        </w:rPr>
      </w:pPr>
      <w:r w:rsidRPr="0083062E">
        <w:rPr>
          <w:rFonts w:eastAsia="Times New Roman" w:cs="Arial"/>
          <w:szCs w:val="24"/>
          <w:lang w:val="es-ES" w:eastAsia="es-ES"/>
        </w:rPr>
        <w:t>PROYECTO DE LEY:</w:t>
      </w:r>
    </w:p>
    <w:p w:rsidR="0083062E" w:rsidRPr="0083062E" w:rsidRDefault="0083062E" w:rsidP="0083062E">
      <w:pPr>
        <w:tabs>
          <w:tab w:val="left" w:pos="2835"/>
        </w:tabs>
        <w:jc w:val="both"/>
        <w:rPr>
          <w:rFonts w:eastAsia="Times New Roman" w:cs="Arial"/>
          <w:szCs w:val="24"/>
          <w:lang w:val="es-ES" w:eastAsia="es-ES"/>
        </w:rPr>
      </w:pPr>
    </w:p>
    <w:p w:rsidR="006A197A" w:rsidRPr="006A197A" w:rsidRDefault="0083062E" w:rsidP="006A197A">
      <w:pPr>
        <w:tabs>
          <w:tab w:val="left" w:pos="2835"/>
        </w:tabs>
        <w:ind w:firstLine="2835"/>
        <w:jc w:val="both"/>
        <w:rPr>
          <w:rFonts w:eastAsia="Times New Roman" w:cs="Arial"/>
          <w:szCs w:val="24"/>
          <w:lang w:val="es-ES" w:eastAsia="es-ES"/>
        </w:rPr>
      </w:pPr>
      <w:r w:rsidRPr="0083062E">
        <w:rPr>
          <w:rFonts w:eastAsia="Times New Roman" w:cs="Arial"/>
          <w:szCs w:val="24"/>
          <w:lang w:val="es-ES" w:eastAsia="es-ES"/>
        </w:rPr>
        <w:t>“</w:t>
      </w:r>
      <w:r w:rsidR="006A197A" w:rsidRPr="006A197A">
        <w:rPr>
          <w:rFonts w:eastAsia="Times New Roman" w:cs="Arial"/>
          <w:szCs w:val="24"/>
          <w:lang w:val="es-ES" w:eastAsia="es-ES"/>
        </w:rPr>
        <w:t xml:space="preserve">Artículo </w:t>
      </w:r>
      <w:proofErr w:type="gramStart"/>
      <w:r w:rsidR="006A197A" w:rsidRPr="006A197A">
        <w:rPr>
          <w:rFonts w:eastAsia="Times New Roman" w:cs="Arial"/>
          <w:szCs w:val="24"/>
          <w:lang w:val="es-ES" w:eastAsia="es-ES"/>
        </w:rPr>
        <w:t>único.-</w:t>
      </w:r>
      <w:proofErr w:type="gramEnd"/>
      <w:r w:rsidR="006A197A" w:rsidRPr="006A197A">
        <w:rPr>
          <w:rFonts w:eastAsia="Times New Roman" w:cs="Arial"/>
          <w:szCs w:val="24"/>
          <w:lang w:val="es-ES" w:eastAsia="es-ES"/>
        </w:rPr>
        <w:t xml:space="preserve"> </w:t>
      </w:r>
      <w:proofErr w:type="spellStart"/>
      <w:r w:rsidR="006A197A" w:rsidRPr="006A197A">
        <w:rPr>
          <w:rFonts w:eastAsia="Times New Roman" w:cs="Arial"/>
          <w:szCs w:val="24"/>
          <w:lang w:val="es-ES" w:eastAsia="es-ES"/>
        </w:rPr>
        <w:t>Introdúcense</w:t>
      </w:r>
      <w:proofErr w:type="spellEnd"/>
      <w:r w:rsidR="006A197A" w:rsidRPr="006A197A">
        <w:rPr>
          <w:rFonts w:eastAsia="Times New Roman" w:cs="Arial"/>
          <w:szCs w:val="24"/>
          <w:lang w:val="es-ES" w:eastAsia="es-ES"/>
        </w:rPr>
        <w:t xml:space="preserve"> las siguientes modificaciones en la ley N° 20.551, que regula el cierre de faenas e instalaciones mineras:</w:t>
      </w:r>
    </w:p>
    <w:p w:rsidR="006A197A" w:rsidRPr="006A197A" w:rsidRDefault="006A197A" w:rsidP="006A197A">
      <w:pPr>
        <w:tabs>
          <w:tab w:val="left" w:pos="2835"/>
        </w:tabs>
        <w:ind w:firstLine="2835"/>
        <w:jc w:val="both"/>
        <w:rPr>
          <w:rFonts w:eastAsia="Times New Roman" w:cs="Arial"/>
          <w:szCs w:val="24"/>
          <w:lang w:val="es-ES" w:eastAsia="es-ES"/>
        </w:rPr>
      </w:pPr>
    </w:p>
    <w:p w:rsidR="006A197A" w:rsidRPr="006A197A" w:rsidRDefault="006A197A" w:rsidP="006A197A">
      <w:pPr>
        <w:tabs>
          <w:tab w:val="left" w:pos="2835"/>
        </w:tabs>
        <w:ind w:firstLine="2835"/>
        <w:jc w:val="both"/>
        <w:rPr>
          <w:rFonts w:eastAsia="Times New Roman" w:cs="Arial"/>
          <w:b/>
          <w:bCs/>
          <w:szCs w:val="24"/>
          <w:lang w:val="es-ES" w:eastAsia="es-ES"/>
        </w:rPr>
      </w:pPr>
      <w:r w:rsidRPr="006A197A">
        <w:rPr>
          <w:rFonts w:eastAsia="Times New Roman" w:cs="Arial"/>
          <w:b/>
          <w:bCs/>
          <w:szCs w:val="24"/>
          <w:lang w:val="es-ES" w:eastAsia="es-ES"/>
        </w:rPr>
        <w:t xml:space="preserve">1) </w:t>
      </w:r>
      <w:proofErr w:type="spellStart"/>
      <w:r w:rsidRPr="006A197A">
        <w:rPr>
          <w:rFonts w:eastAsia="Times New Roman" w:cs="Arial"/>
          <w:b/>
          <w:bCs/>
          <w:szCs w:val="24"/>
          <w:lang w:val="es-ES" w:eastAsia="es-ES"/>
        </w:rPr>
        <w:t>Sustitúyese</w:t>
      </w:r>
      <w:proofErr w:type="spellEnd"/>
      <w:r w:rsidRPr="006A197A">
        <w:rPr>
          <w:rFonts w:eastAsia="Times New Roman" w:cs="Arial"/>
          <w:b/>
          <w:bCs/>
          <w:szCs w:val="24"/>
          <w:lang w:val="es-ES" w:eastAsia="es-ES"/>
        </w:rPr>
        <w:t xml:space="preserve"> en el artículo 20, inciso segundo, número 1, la palabra “diez” por “cinco”.”.</w:t>
      </w:r>
    </w:p>
    <w:p w:rsidR="006A197A" w:rsidRPr="006A197A" w:rsidRDefault="006A197A" w:rsidP="006A197A">
      <w:pPr>
        <w:tabs>
          <w:tab w:val="left" w:pos="2835"/>
        </w:tabs>
        <w:ind w:firstLine="2835"/>
        <w:jc w:val="both"/>
        <w:rPr>
          <w:rFonts w:eastAsia="Times New Roman" w:cs="Arial"/>
          <w:szCs w:val="24"/>
          <w:lang w:val="es-ES" w:eastAsia="es-ES"/>
        </w:rPr>
      </w:pPr>
    </w:p>
    <w:p w:rsidR="006A197A" w:rsidRPr="006A197A" w:rsidRDefault="006A197A" w:rsidP="006A197A">
      <w:pPr>
        <w:tabs>
          <w:tab w:val="left" w:pos="2835"/>
        </w:tabs>
        <w:ind w:firstLine="2835"/>
        <w:jc w:val="both"/>
        <w:rPr>
          <w:rFonts w:eastAsia="Times New Roman" w:cs="Arial"/>
          <w:szCs w:val="24"/>
          <w:lang w:val="es-ES" w:eastAsia="es-ES"/>
        </w:rPr>
      </w:pPr>
      <w:r>
        <w:rPr>
          <w:rFonts w:eastAsia="Times New Roman" w:cs="Arial"/>
          <w:b/>
          <w:bCs/>
          <w:szCs w:val="24"/>
          <w:lang w:val="es-ES" w:eastAsia="es-ES"/>
        </w:rPr>
        <w:t>2)</w:t>
      </w:r>
      <w:r w:rsidRPr="006A197A">
        <w:rPr>
          <w:rFonts w:eastAsia="Times New Roman" w:cs="Arial"/>
          <w:szCs w:val="24"/>
          <w:lang w:val="es-ES" w:eastAsia="es-ES"/>
        </w:rPr>
        <w:t xml:space="preserve"> En el literal A.1) del inciso primero del artículo 52:</w:t>
      </w:r>
    </w:p>
    <w:p w:rsidR="006A197A" w:rsidRPr="006A197A" w:rsidRDefault="006A197A" w:rsidP="006A197A">
      <w:pPr>
        <w:tabs>
          <w:tab w:val="left" w:pos="2835"/>
        </w:tabs>
        <w:ind w:firstLine="2835"/>
        <w:jc w:val="both"/>
        <w:rPr>
          <w:rFonts w:eastAsia="Times New Roman" w:cs="Arial"/>
          <w:szCs w:val="24"/>
          <w:lang w:val="es-ES" w:eastAsia="es-ES"/>
        </w:rPr>
      </w:pPr>
    </w:p>
    <w:p w:rsidR="00FC7F72" w:rsidRPr="00FC7F72" w:rsidRDefault="00FC7F72" w:rsidP="00FC7F72">
      <w:pPr>
        <w:tabs>
          <w:tab w:val="left" w:pos="2268"/>
          <w:tab w:val="left" w:pos="2835"/>
        </w:tabs>
        <w:ind w:firstLine="2835"/>
        <w:jc w:val="both"/>
        <w:rPr>
          <w:rFonts w:eastAsia="Times New Roman" w:cs="Arial"/>
          <w:b/>
          <w:bCs/>
          <w:i/>
          <w:iCs/>
          <w:szCs w:val="24"/>
          <w:lang w:val="es-ES_tradnl" w:eastAsia="es-ES"/>
        </w:rPr>
      </w:pPr>
      <w:r w:rsidRPr="00FC7F72">
        <w:rPr>
          <w:rFonts w:eastAsia="Times New Roman" w:cs="Arial"/>
          <w:b/>
          <w:bCs/>
          <w:i/>
          <w:iCs/>
          <w:szCs w:val="24"/>
          <w:lang w:val="es-ES_tradnl" w:eastAsia="es-ES"/>
        </w:rPr>
        <w:t xml:space="preserve">a) </w:t>
      </w:r>
      <w:proofErr w:type="spellStart"/>
      <w:r w:rsidRPr="00FC7F72">
        <w:rPr>
          <w:rFonts w:eastAsia="Times New Roman" w:cs="Arial"/>
          <w:b/>
          <w:bCs/>
          <w:i/>
          <w:iCs/>
          <w:szCs w:val="24"/>
          <w:lang w:val="es-ES_tradnl" w:eastAsia="es-ES"/>
        </w:rPr>
        <w:t>Incorpóranse</w:t>
      </w:r>
      <w:proofErr w:type="spellEnd"/>
      <w:r w:rsidRPr="00FC7F72">
        <w:rPr>
          <w:rFonts w:eastAsia="Times New Roman" w:cs="Arial"/>
          <w:b/>
          <w:bCs/>
          <w:i/>
          <w:iCs/>
          <w:szCs w:val="24"/>
          <w:lang w:val="es-ES_tradnl" w:eastAsia="es-ES"/>
        </w:rPr>
        <w:t xml:space="preserve"> los siguientes párrafos tercero y cuarto, nuevos, pasando el actual párrafo tercero a ser quinto:</w:t>
      </w:r>
    </w:p>
    <w:p w:rsidR="00FC7F72" w:rsidRPr="00FC7F72" w:rsidRDefault="00FC7F72" w:rsidP="00FC7F72">
      <w:pPr>
        <w:tabs>
          <w:tab w:val="left" w:pos="2268"/>
          <w:tab w:val="left" w:pos="2835"/>
        </w:tabs>
        <w:ind w:firstLine="2835"/>
        <w:jc w:val="both"/>
        <w:rPr>
          <w:rFonts w:eastAsia="Times New Roman" w:cs="Arial"/>
          <w:b/>
          <w:bCs/>
          <w:i/>
          <w:iCs/>
          <w:szCs w:val="24"/>
          <w:lang w:val="es-ES_tradnl" w:eastAsia="es-ES"/>
        </w:rPr>
      </w:pPr>
    </w:p>
    <w:p w:rsidR="00FC7F72" w:rsidRPr="00FC7F72" w:rsidRDefault="00FC7F72" w:rsidP="00FC7F72">
      <w:pPr>
        <w:tabs>
          <w:tab w:val="left" w:pos="2268"/>
          <w:tab w:val="left" w:pos="2835"/>
        </w:tabs>
        <w:ind w:firstLine="2835"/>
        <w:jc w:val="both"/>
        <w:rPr>
          <w:rFonts w:eastAsia="Times New Roman" w:cs="Arial"/>
          <w:b/>
          <w:bCs/>
          <w:i/>
          <w:iCs/>
          <w:szCs w:val="24"/>
          <w:lang w:val="es-ES_tradnl" w:eastAsia="es-ES"/>
        </w:rPr>
      </w:pPr>
      <w:r w:rsidRPr="00FC7F72">
        <w:rPr>
          <w:rFonts w:eastAsia="Times New Roman" w:cs="Arial"/>
          <w:b/>
          <w:bCs/>
          <w:i/>
          <w:iCs/>
          <w:szCs w:val="24"/>
          <w:lang w:val="es-ES_tradnl" w:eastAsia="es-ES"/>
        </w:rPr>
        <w:t>“Asimismo, podrán otorgarse pólizas de garantía a primer requerimiento emitidas por compañías de seguros nacionales. En este caso, la indemnización deberá ser pagada al Servicio a su mera solicitud, de conformidad con lo señalado en el artículo 44, dentro del plazo que establece la póliza, caso en el cual la aseguradora no podrá exigir que el requerimiento contenga mayor información que la identificación de la póliza, del asegurado y del monto reclamado. El asegurador no podrá oponer excepción alguna para condicionar, diferir o incumplir el pago de la indemnización.</w:t>
      </w:r>
    </w:p>
    <w:p w:rsidR="00FC7F72" w:rsidRPr="00FC7F72" w:rsidRDefault="00FC7F72" w:rsidP="00FC7F72">
      <w:pPr>
        <w:tabs>
          <w:tab w:val="left" w:pos="2268"/>
          <w:tab w:val="left" w:pos="2835"/>
        </w:tabs>
        <w:ind w:firstLine="2835"/>
        <w:jc w:val="both"/>
        <w:rPr>
          <w:rFonts w:eastAsia="Times New Roman" w:cs="Arial"/>
          <w:b/>
          <w:bCs/>
          <w:i/>
          <w:iCs/>
          <w:szCs w:val="24"/>
          <w:lang w:val="es-ES_tradnl" w:eastAsia="es-ES"/>
        </w:rPr>
      </w:pPr>
    </w:p>
    <w:p w:rsidR="006A197A" w:rsidRDefault="00FC7F72" w:rsidP="00FC7F72">
      <w:pPr>
        <w:tabs>
          <w:tab w:val="left" w:pos="2835"/>
        </w:tabs>
        <w:ind w:firstLine="2835"/>
        <w:jc w:val="both"/>
        <w:rPr>
          <w:rFonts w:eastAsia="Times New Roman" w:cs="Arial"/>
          <w:b/>
          <w:bCs/>
          <w:i/>
          <w:iCs/>
          <w:szCs w:val="24"/>
          <w:lang w:val="es-ES_tradnl" w:eastAsia="es-ES"/>
        </w:rPr>
      </w:pPr>
      <w:r w:rsidRPr="00FC7F72">
        <w:rPr>
          <w:rFonts w:eastAsia="Times New Roman" w:cs="Arial"/>
          <w:b/>
          <w:bCs/>
          <w:i/>
          <w:iCs/>
          <w:szCs w:val="24"/>
          <w:lang w:val="es-ES_tradnl" w:eastAsia="es-ES"/>
        </w:rPr>
        <w:t>El asegurador deberá indemnizar al Servicio la totalidad de los costos de las medidas y actividades que dejó de cumplir la empresa minera, de acuerdo a la resolución que el Servicio dictó de conformidad con el artículo 44, hasta el monto asegurado que contemple el plan de cierre.”.</w:t>
      </w:r>
    </w:p>
    <w:p w:rsidR="00FC7F72" w:rsidRPr="00FC7F72" w:rsidRDefault="00FC7F72" w:rsidP="00FC7F72">
      <w:pPr>
        <w:tabs>
          <w:tab w:val="left" w:pos="2835"/>
        </w:tabs>
        <w:ind w:firstLine="2835"/>
        <w:jc w:val="both"/>
        <w:rPr>
          <w:rFonts w:eastAsia="Times New Roman" w:cs="Arial"/>
          <w:szCs w:val="24"/>
          <w:lang w:val="es-ES" w:eastAsia="es-ES"/>
        </w:rPr>
      </w:pPr>
    </w:p>
    <w:p w:rsidR="006A197A" w:rsidRPr="006A197A" w:rsidRDefault="006A197A" w:rsidP="006A197A">
      <w:pPr>
        <w:tabs>
          <w:tab w:val="left" w:pos="2835"/>
        </w:tabs>
        <w:ind w:firstLine="2835"/>
        <w:jc w:val="both"/>
        <w:rPr>
          <w:rFonts w:eastAsia="Times New Roman" w:cs="Arial"/>
          <w:szCs w:val="24"/>
          <w:lang w:val="es-ES" w:eastAsia="es-ES"/>
        </w:rPr>
      </w:pPr>
      <w:r w:rsidRPr="006A197A">
        <w:rPr>
          <w:rFonts w:eastAsia="Times New Roman" w:cs="Arial"/>
          <w:szCs w:val="24"/>
          <w:lang w:val="es-ES" w:eastAsia="es-ES"/>
        </w:rPr>
        <w:t xml:space="preserve">b) </w:t>
      </w:r>
      <w:proofErr w:type="spellStart"/>
      <w:r w:rsidRPr="006A197A">
        <w:rPr>
          <w:rFonts w:eastAsia="Times New Roman" w:cs="Arial"/>
          <w:szCs w:val="24"/>
          <w:lang w:val="es-ES" w:eastAsia="es-ES"/>
        </w:rPr>
        <w:t>Efectúanse</w:t>
      </w:r>
      <w:proofErr w:type="spellEnd"/>
      <w:r w:rsidRPr="006A197A">
        <w:rPr>
          <w:rFonts w:eastAsia="Times New Roman" w:cs="Arial"/>
          <w:szCs w:val="24"/>
          <w:lang w:val="es-ES" w:eastAsia="es-ES"/>
        </w:rPr>
        <w:t xml:space="preserve"> en el </w:t>
      </w:r>
      <w:r w:rsidRPr="00FC7F72">
        <w:rPr>
          <w:rFonts w:eastAsia="Times New Roman" w:cs="Arial"/>
          <w:szCs w:val="24"/>
          <w:lang w:val="es-ES" w:eastAsia="es-ES"/>
        </w:rPr>
        <w:t>párrafo tercero, que ha pasado a ser</w:t>
      </w:r>
      <w:r w:rsidR="00FC7F72">
        <w:rPr>
          <w:rFonts w:eastAsia="Times New Roman" w:cs="Arial"/>
          <w:szCs w:val="24"/>
          <w:lang w:val="es-ES" w:eastAsia="es-ES"/>
        </w:rPr>
        <w:t xml:space="preserve"> </w:t>
      </w:r>
      <w:r w:rsidR="00FC7F72" w:rsidRPr="00FC7F72">
        <w:rPr>
          <w:rFonts w:eastAsia="Times New Roman" w:cs="Arial"/>
          <w:b/>
          <w:bCs/>
          <w:i/>
          <w:iCs/>
          <w:szCs w:val="24"/>
          <w:lang w:val="es-ES" w:eastAsia="es-ES"/>
        </w:rPr>
        <w:t>quinto</w:t>
      </w:r>
      <w:r w:rsidRPr="006A197A">
        <w:rPr>
          <w:rFonts w:eastAsia="Times New Roman" w:cs="Arial"/>
          <w:szCs w:val="24"/>
          <w:lang w:val="es-ES" w:eastAsia="es-ES"/>
        </w:rPr>
        <w:t>, las enmiendas que siguen:</w:t>
      </w:r>
    </w:p>
    <w:p w:rsidR="006A197A" w:rsidRPr="006A197A" w:rsidRDefault="006A197A" w:rsidP="006A197A">
      <w:pPr>
        <w:tabs>
          <w:tab w:val="left" w:pos="2835"/>
        </w:tabs>
        <w:ind w:firstLine="2835"/>
        <w:jc w:val="both"/>
        <w:rPr>
          <w:rFonts w:eastAsia="Times New Roman" w:cs="Arial"/>
          <w:szCs w:val="24"/>
          <w:lang w:val="es-ES" w:eastAsia="es-ES"/>
        </w:rPr>
      </w:pPr>
    </w:p>
    <w:p w:rsidR="006A197A" w:rsidRPr="006A197A" w:rsidRDefault="006A197A" w:rsidP="006A197A">
      <w:pPr>
        <w:tabs>
          <w:tab w:val="left" w:pos="2835"/>
        </w:tabs>
        <w:ind w:firstLine="2835"/>
        <w:jc w:val="both"/>
        <w:rPr>
          <w:rFonts w:eastAsia="Times New Roman" w:cs="Arial"/>
          <w:szCs w:val="24"/>
          <w:lang w:val="es-ES" w:eastAsia="es-ES"/>
        </w:rPr>
      </w:pPr>
      <w:r w:rsidRPr="006A197A">
        <w:rPr>
          <w:rFonts w:eastAsia="Times New Roman" w:cs="Arial"/>
          <w:szCs w:val="24"/>
          <w:lang w:val="es-ES" w:eastAsia="es-ES"/>
        </w:rPr>
        <w:t xml:space="preserve">i) </w:t>
      </w:r>
      <w:proofErr w:type="spellStart"/>
      <w:r w:rsidRPr="006A197A">
        <w:rPr>
          <w:rFonts w:eastAsia="Times New Roman" w:cs="Arial"/>
          <w:szCs w:val="24"/>
          <w:lang w:val="es-ES" w:eastAsia="es-ES"/>
        </w:rPr>
        <w:t>Agrégase</w:t>
      </w:r>
      <w:proofErr w:type="spellEnd"/>
      <w:r w:rsidRPr="006A197A">
        <w:rPr>
          <w:rFonts w:eastAsia="Times New Roman" w:cs="Arial"/>
          <w:szCs w:val="24"/>
          <w:lang w:val="es-ES" w:eastAsia="es-ES"/>
        </w:rPr>
        <w:t>, después de la frase “Los instrumentos categoría A.1),”, lo siguiente: “con excepción de las pólizas de garantía,”.</w:t>
      </w:r>
    </w:p>
    <w:p w:rsidR="006A197A" w:rsidRDefault="006A197A" w:rsidP="006A197A">
      <w:pPr>
        <w:tabs>
          <w:tab w:val="left" w:pos="2835"/>
        </w:tabs>
        <w:ind w:firstLine="2835"/>
        <w:jc w:val="both"/>
        <w:rPr>
          <w:rFonts w:eastAsia="Times New Roman" w:cs="Arial"/>
          <w:szCs w:val="24"/>
          <w:lang w:val="es-ES" w:eastAsia="es-ES"/>
        </w:rPr>
      </w:pPr>
    </w:p>
    <w:p w:rsidR="006973CD" w:rsidRPr="006973CD" w:rsidRDefault="006973CD" w:rsidP="006973CD">
      <w:pPr>
        <w:tabs>
          <w:tab w:val="left" w:pos="2835"/>
        </w:tabs>
        <w:ind w:firstLine="2835"/>
        <w:jc w:val="both"/>
        <w:rPr>
          <w:rFonts w:eastAsia="Times New Roman" w:cs="Arial"/>
          <w:b/>
          <w:bCs/>
          <w:szCs w:val="24"/>
          <w:lang w:val="es-ES" w:eastAsia="es-ES"/>
        </w:rPr>
      </w:pPr>
      <w:proofErr w:type="spellStart"/>
      <w:r w:rsidRPr="006973CD">
        <w:rPr>
          <w:rFonts w:eastAsia="Times New Roman" w:cs="Arial"/>
          <w:b/>
          <w:bCs/>
          <w:szCs w:val="24"/>
          <w:lang w:val="es-ES" w:eastAsia="es-ES"/>
        </w:rPr>
        <w:t>ii</w:t>
      </w:r>
      <w:proofErr w:type="spellEnd"/>
      <w:r w:rsidRPr="006973CD">
        <w:rPr>
          <w:rFonts w:eastAsia="Times New Roman" w:cs="Arial"/>
          <w:b/>
          <w:bCs/>
          <w:szCs w:val="24"/>
          <w:lang w:val="es-ES" w:eastAsia="es-ES"/>
        </w:rPr>
        <w:t xml:space="preserve">) </w:t>
      </w:r>
      <w:proofErr w:type="spellStart"/>
      <w:r w:rsidRPr="00AE09A9">
        <w:rPr>
          <w:rFonts w:eastAsia="Times New Roman" w:cs="Arial"/>
          <w:b/>
          <w:bCs/>
          <w:szCs w:val="24"/>
          <w:lang w:val="es-ES" w:eastAsia="es-ES"/>
        </w:rPr>
        <w:t>Sustitúyese</w:t>
      </w:r>
      <w:proofErr w:type="spellEnd"/>
      <w:r w:rsidRPr="006973CD">
        <w:rPr>
          <w:rFonts w:eastAsia="Times New Roman" w:cs="Arial"/>
          <w:b/>
          <w:bCs/>
          <w:szCs w:val="24"/>
          <w:lang w:val="es-ES" w:eastAsia="es-ES"/>
        </w:rPr>
        <w:t xml:space="preserve"> la expresión “de los mismos” por “de los instrumentos categoría A.1)”.</w:t>
      </w:r>
    </w:p>
    <w:p w:rsidR="006973CD" w:rsidRPr="006A197A" w:rsidRDefault="006973CD" w:rsidP="006A197A">
      <w:pPr>
        <w:tabs>
          <w:tab w:val="left" w:pos="2835"/>
        </w:tabs>
        <w:ind w:firstLine="2835"/>
        <w:jc w:val="both"/>
        <w:rPr>
          <w:rFonts w:eastAsia="Times New Roman" w:cs="Arial"/>
          <w:szCs w:val="24"/>
          <w:lang w:val="es-ES" w:eastAsia="es-ES"/>
        </w:rPr>
      </w:pPr>
    </w:p>
    <w:p w:rsidR="006A197A" w:rsidRPr="006A197A" w:rsidRDefault="006973CD" w:rsidP="006A197A">
      <w:pPr>
        <w:tabs>
          <w:tab w:val="left" w:pos="2835"/>
        </w:tabs>
        <w:ind w:firstLine="2835"/>
        <w:jc w:val="both"/>
        <w:rPr>
          <w:rFonts w:eastAsia="Times New Roman" w:cs="Arial"/>
          <w:szCs w:val="24"/>
          <w:lang w:val="es-ES" w:eastAsia="es-ES"/>
        </w:rPr>
      </w:pPr>
      <w:proofErr w:type="spellStart"/>
      <w:r w:rsidRPr="006973CD">
        <w:rPr>
          <w:rFonts w:eastAsia="Times New Roman" w:cs="Arial"/>
          <w:b/>
          <w:bCs/>
          <w:szCs w:val="24"/>
          <w:lang w:val="es-ES" w:eastAsia="es-ES"/>
        </w:rPr>
        <w:t>iii</w:t>
      </w:r>
      <w:proofErr w:type="spellEnd"/>
      <w:r w:rsidRPr="006973CD">
        <w:rPr>
          <w:rFonts w:eastAsia="Times New Roman" w:cs="Arial"/>
          <w:b/>
          <w:bCs/>
          <w:szCs w:val="24"/>
          <w:lang w:val="es-ES" w:eastAsia="es-ES"/>
        </w:rPr>
        <w:t>)</w:t>
      </w:r>
      <w:r w:rsidR="006A197A" w:rsidRPr="006A197A">
        <w:rPr>
          <w:rFonts w:eastAsia="Times New Roman" w:cs="Arial"/>
          <w:szCs w:val="24"/>
          <w:lang w:val="es-ES" w:eastAsia="es-ES"/>
        </w:rPr>
        <w:t xml:space="preserve"> </w:t>
      </w:r>
      <w:proofErr w:type="spellStart"/>
      <w:r w:rsidR="006A197A" w:rsidRPr="00AE09A9">
        <w:rPr>
          <w:rFonts w:eastAsia="Times New Roman" w:cs="Arial"/>
          <w:szCs w:val="24"/>
          <w:lang w:val="es-ES" w:eastAsia="es-ES"/>
        </w:rPr>
        <w:t>Sustitúyese</w:t>
      </w:r>
      <w:proofErr w:type="spellEnd"/>
      <w:r w:rsidR="006A197A" w:rsidRPr="006A197A">
        <w:rPr>
          <w:rFonts w:eastAsia="Times New Roman" w:cs="Arial"/>
          <w:szCs w:val="24"/>
          <w:lang w:val="es-ES" w:eastAsia="es-ES"/>
        </w:rPr>
        <w:t xml:space="preserve"> la frase “la que deberá informar al Servicio”, por la siguiente: “la que deberá solicitar al Servicio la autorización correspondiente para realizar cambios o alteraciones a”.</w:t>
      </w:r>
    </w:p>
    <w:p w:rsidR="006A197A" w:rsidRPr="006A197A" w:rsidRDefault="006A197A" w:rsidP="006A197A">
      <w:pPr>
        <w:tabs>
          <w:tab w:val="left" w:pos="2835"/>
        </w:tabs>
        <w:ind w:firstLine="2835"/>
        <w:jc w:val="both"/>
        <w:rPr>
          <w:rFonts w:eastAsia="Times New Roman" w:cs="Arial"/>
          <w:szCs w:val="24"/>
          <w:lang w:val="es-ES" w:eastAsia="es-ES"/>
        </w:rPr>
      </w:pPr>
    </w:p>
    <w:p w:rsidR="006A197A" w:rsidRPr="006A197A" w:rsidRDefault="006A197A" w:rsidP="006A197A">
      <w:pPr>
        <w:tabs>
          <w:tab w:val="left" w:pos="2835"/>
        </w:tabs>
        <w:ind w:firstLine="2835"/>
        <w:jc w:val="both"/>
        <w:rPr>
          <w:rFonts w:eastAsia="Times New Roman" w:cs="Arial"/>
          <w:szCs w:val="24"/>
          <w:lang w:val="es-ES" w:eastAsia="es-ES"/>
        </w:rPr>
      </w:pPr>
      <w:r w:rsidRPr="006A197A">
        <w:rPr>
          <w:rFonts w:eastAsia="Times New Roman" w:cs="Arial"/>
          <w:szCs w:val="24"/>
          <w:lang w:val="es-ES" w:eastAsia="es-ES"/>
        </w:rPr>
        <w:t xml:space="preserve">c) </w:t>
      </w:r>
      <w:proofErr w:type="spellStart"/>
      <w:r w:rsidRPr="006A197A">
        <w:rPr>
          <w:rFonts w:eastAsia="Times New Roman" w:cs="Arial"/>
          <w:szCs w:val="24"/>
          <w:lang w:val="es-ES" w:eastAsia="es-ES"/>
        </w:rPr>
        <w:t>Incorpórase</w:t>
      </w:r>
      <w:proofErr w:type="spellEnd"/>
      <w:r w:rsidRPr="006A197A">
        <w:rPr>
          <w:rFonts w:eastAsia="Times New Roman" w:cs="Arial"/>
          <w:szCs w:val="24"/>
          <w:lang w:val="es-ES" w:eastAsia="es-ES"/>
        </w:rPr>
        <w:t xml:space="preserve"> un párrafo final del siguiente tenor:</w:t>
      </w:r>
    </w:p>
    <w:p w:rsidR="006A197A" w:rsidRPr="006A197A" w:rsidRDefault="006A197A" w:rsidP="006A197A">
      <w:pPr>
        <w:tabs>
          <w:tab w:val="left" w:pos="2835"/>
        </w:tabs>
        <w:ind w:firstLine="2835"/>
        <w:jc w:val="both"/>
        <w:rPr>
          <w:rFonts w:eastAsia="Times New Roman" w:cs="Arial"/>
          <w:szCs w:val="24"/>
          <w:lang w:val="es-ES" w:eastAsia="es-ES"/>
        </w:rPr>
      </w:pPr>
    </w:p>
    <w:p w:rsidR="006A197A" w:rsidRPr="006A197A" w:rsidRDefault="006A197A" w:rsidP="006A197A">
      <w:pPr>
        <w:tabs>
          <w:tab w:val="left" w:pos="2835"/>
        </w:tabs>
        <w:ind w:firstLine="2835"/>
        <w:jc w:val="both"/>
        <w:rPr>
          <w:rFonts w:eastAsia="Times New Roman" w:cs="Arial"/>
          <w:szCs w:val="24"/>
          <w:lang w:val="es-ES" w:eastAsia="es-ES"/>
        </w:rPr>
      </w:pPr>
      <w:r w:rsidRPr="006A197A">
        <w:rPr>
          <w:rFonts w:eastAsia="Times New Roman" w:cs="Arial"/>
          <w:szCs w:val="24"/>
          <w:lang w:val="es-ES" w:eastAsia="es-ES"/>
        </w:rPr>
        <w:t>“Los requisitos y condiciones a los que deberán sujetarse las pólizas de garantía a primer requerimiento, así como la clasificación de riesgo que deberán cumplir las aseguradoras, serán establecidas en el reglamento de la presente ley.”.</w:t>
      </w:r>
    </w:p>
    <w:p w:rsidR="006A197A" w:rsidRPr="006A197A" w:rsidRDefault="006A197A" w:rsidP="006A197A">
      <w:pPr>
        <w:tabs>
          <w:tab w:val="left" w:pos="2835"/>
        </w:tabs>
        <w:ind w:firstLine="2835"/>
        <w:jc w:val="both"/>
        <w:rPr>
          <w:rFonts w:eastAsia="Times New Roman" w:cs="Arial"/>
          <w:szCs w:val="24"/>
          <w:lang w:val="es-ES" w:eastAsia="es-ES"/>
        </w:rPr>
      </w:pPr>
    </w:p>
    <w:p w:rsidR="006A197A" w:rsidRPr="006A197A" w:rsidRDefault="006A197A" w:rsidP="006A197A">
      <w:pPr>
        <w:tabs>
          <w:tab w:val="left" w:pos="2835"/>
        </w:tabs>
        <w:ind w:firstLine="2835"/>
        <w:jc w:val="both"/>
        <w:rPr>
          <w:rFonts w:eastAsia="Times New Roman" w:cs="Arial"/>
          <w:szCs w:val="24"/>
          <w:lang w:val="es-ES" w:eastAsia="es-ES"/>
        </w:rPr>
      </w:pPr>
      <w:r>
        <w:rPr>
          <w:rFonts w:eastAsia="Times New Roman" w:cs="Arial"/>
          <w:b/>
          <w:bCs/>
          <w:szCs w:val="24"/>
          <w:lang w:val="es-ES" w:eastAsia="es-ES"/>
        </w:rPr>
        <w:t>3)</w:t>
      </w:r>
      <w:r w:rsidRPr="006A197A">
        <w:rPr>
          <w:rFonts w:eastAsia="Times New Roman" w:cs="Arial"/>
          <w:szCs w:val="24"/>
          <w:lang w:val="es-ES" w:eastAsia="es-ES"/>
        </w:rPr>
        <w:t xml:space="preserve"> </w:t>
      </w:r>
      <w:proofErr w:type="spellStart"/>
      <w:r w:rsidRPr="006A197A">
        <w:rPr>
          <w:rFonts w:eastAsia="Times New Roman" w:cs="Arial"/>
          <w:szCs w:val="24"/>
          <w:lang w:val="es-ES" w:eastAsia="es-ES"/>
        </w:rPr>
        <w:t>Agrégase</w:t>
      </w:r>
      <w:proofErr w:type="spellEnd"/>
      <w:r w:rsidRPr="006A197A">
        <w:rPr>
          <w:rFonts w:eastAsia="Times New Roman" w:cs="Arial"/>
          <w:szCs w:val="24"/>
          <w:lang w:val="es-ES" w:eastAsia="es-ES"/>
        </w:rPr>
        <w:t>, en el artículo segundo transitorio, el siguiente inciso tercero:</w:t>
      </w:r>
    </w:p>
    <w:p w:rsidR="006A197A" w:rsidRPr="006A197A" w:rsidRDefault="006A197A" w:rsidP="006A197A">
      <w:pPr>
        <w:tabs>
          <w:tab w:val="left" w:pos="2835"/>
        </w:tabs>
        <w:ind w:firstLine="2835"/>
        <w:jc w:val="both"/>
        <w:rPr>
          <w:rFonts w:eastAsia="Times New Roman" w:cs="Arial"/>
          <w:szCs w:val="24"/>
          <w:lang w:val="es-ES" w:eastAsia="es-ES"/>
        </w:rPr>
      </w:pPr>
    </w:p>
    <w:p w:rsidR="0083062E" w:rsidRDefault="006A197A" w:rsidP="006A197A">
      <w:pPr>
        <w:tabs>
          <w:tab w:val="left" w:pos="2835"/>
        </w:tabs>
        <w:ind w:firstLine="2835"/>
        <w:jc w:val="both"/>
        <w:rPr>
          <w:rFonts w:eastAsia="Times New Roman" w:cs="Arial"/>
          <w:szCs w:val="24"/>
          <w:lang w:val="es-ES" w:eastAsia="es-ES"/>
        </w:rPr>
      </w:pPr>
      <w:r w:rsidRPr="006A197A">
        <w:rPr>
          <w:rFonts w:eastAsia="Times New Roman" w:cs="Arial"/>
          <w:szCs w:val="24"/>
          <w:lang w:val="es-ES" w:eastAsia="es-ES"/>
        </w:rPr>
        <w:t>“Las empresas que se hayan acogido al régimen indicado en este artículo deberán actualizar sus planes de cierre, en lugar de realizar la primera auditoría periódica del artículo 18 de la presente ley, en el mismo plazo de cinco años señalado en dicha disposición. Esto es sin perjuicio del deber de auditar periódicamente, en adelante, sus planes de cierre de conformidad a la ley. Lo anterior no afectará las facultades fiscalizadoras del Servicio.</w:t>
      </w:r>
      <w:r w:rsidR="0083062E" w:rsidRPr="0083062E">
        <w:rPr>
          <w:rFonts w:eastAsia="Times New Roman" w:cs="Arial"/>
          <w:szCs w:val="24"/>
          <w:lang w:val="es-ES" w:eastAsia="es-ES"/>
        </w:rPr>
        <w:t>”.</w:t>
      </w:r>
    </w:p>
    <w:p w:rsidR="006973CD" w:rsidRDefault="006973CD" w:rsidP="006A197A">
      <w:pPr>
        <w:tabs>
          <w:tab w:val="left" w:pos="2835"/>
        </w:tabs>
        <w:ind w:firstLine="2835"/>
        <w:jc w:val="both"/>
        <w:rPr>
          <w:rFonts w:eastAsia="Times New Roman" w:cs="Arial"/>
          <w:szCs w:val="24"/>
          <w:lang w:val="es-ES" w:eastAsia="es-ES"/>
        </w:rPr>
      </w:pPr>
    </w:p>
    <w:p w:rsidR="006973CD" w:rsidRDefault="006973CD" w:rsidP="006973CD">
      <w:pPr>
        <w:tabs>
          <w:tab w:val="left" w:pos="2835"/>
        </w:tabs>
        <w:ind w:firstLine="2835"/>
        <w:jc w:val="both"/>
        <w:rPr>
          <w:rFonts w:eastAsia="Times New Roman" w:cs="Arial"/>
          <w:szCs w:val="24"/>
          <w:lang w:val="es-ES" w:eastAsia="es-ES"/>
        </w:rPr>
      </w:pPr>
      <w:r w:rsidRPr="006973CD">
        <w:rPr>
          <w:rFonts w:eastAsia="Times New Roman" w:cs="Arial"/>
          <w:b/>
          <w:bCs/>
          <w:szCs w:val="24"/>
          <w:lang w:val="es-ES" w:eastAsia="es-ES"/>
        </w:rPr>
        <w:t xml:space="preserve">Artículo </w:t>
      </w:r>
      <w:proofErr w:type="gramStart"/>
      <w:r w:rsidRPr="006973CD">
        <w:rPr>
          <w:rFonts w:eastAsia="Times New Roman" w:cs="Arial"/>
          <w:b/>
          <w:bCs/>
          <w:szCs w:val="24"/>
          <w:lang w:val="es-ES" w:eastAsia="es-ES"/>
        </w:rPr>
        <w:t>transitorio.-</w:t>
      </w:r>
      <w:proofErr w:type="gramEnd"/>
      <w:r w:rsidRPr="006973CD">
        <w:rPr>
          <w:rFonts w:eastAsia="Times New Roman" w:cs="Arial"/>
          <w:b/>
          <w:bCs/>
          <w:szCs w:val="24"/>
          <w:lang w:val="es-ES" w:eastAsia="es-ES"/>
        </w:rPr>
        <w:t xml:space="preserve"> Las modificaciones introducidas por esta ley entrarán en vigencia una vez que se publique en el Diario Oficial el reglamento que se menciona en el párrafo final del literal A.1) del artículo 52 de la ley N° 20.551.</w:t>
      </w:r>
      <w:r w:rsidRPr="006973CD">
        <w:rPr>
          <w:rFonts w:eastAsia="Times New Roman" w:cs="Arial"/>
          <w:szCs w:val="24"/>
          <w:lang w:val="es-ES" w:eastAsia="es-ES"/>
        </w:rPr>
        <w:t>”.</w:t>
      </w:r>
    </w:p>
    <w:p w:rsidR="0083062E" w:rsidRPr="0083062E" w:rsidRDefault="0083062E" w:rsidP="0083062E">
      <w:pPr>
        <w:jc w:val="both"/>
        <w:rPr>
          <w:rFonts w:eastAsia="Times New Roman" w:cs="Arial"/>
          <w:szCs w:val="24"/>
          <w:lang w:val="es-ES" w:eastAsia="es-ES"/>
        </w:rPr>
      </w:pPr>
    </w:p>
    <w:p w:rsidR="0083062E" w:rsidRPr="0083062E" w:rsidRDefault="0083062E" w:rsidP="0083062E">
      <w:pPr>
        <w:spacing w:after="200" w:line="276" w:lineRule="auto"/>
        <w:rPr>
          <w:rFonts w:eastAsia="Times New Roman" w:cs="Arial"/>
          <w:szCs w:val="24"/>
          <w:lang w:val="es-ES" w:eastAsia="es-ES"/>
        </w:rPr>
      </w:pPr>
      <w:r w:rsidRPr="0083062E">
        <w:rPr>
          <w:rFonts w:eastAsia="Times New Roman" w:cs="Arial"/>
          <w:szCs w:val="24"/>
          <w:lang w:val="es-ES" w:eastAsia="es-ES"/>
        </w:rPr>
        <w:br w:type="page"/>
      </w:r>
    </w:p>
    <w:p w:rsidR="006A197A" w:rsidRDefault="0083062E" w:rsidP="006A197A">
      <w:pPr>
        <w:tabs>
          <w:tab w:val="left" w:pos="2592"/>
        </w:tabs>
        <w:autoSpaceDE w:val="0"/>
        <w:autoSpaceDN w:val="0"/>
        <w:adjustRightInd w:val="0"/>
        <w:ind w:firstLine="2835"/>
        <w:jc w:val="both"/>
        <w:rPr>
          <w:rFonts w:eastAsia="Times New Roman" w:cs="Arial"/>
          <w:color w:val="000000"/>
          <w:szCs w:val="24"/>
          <w:lang w:val="es-ES" w:eastAsia="es-ES"/>
        </w:rPr>
      </w:pPr>
      <w:r w:rsidRPr="0083062E">
        <w:rPr>
          <w:rFonts w:eastAsia="Times New Roman" w:cs="Arial"/>
          <w:szCs w:val="24"/>
          <w:lang w:val="es-ES_tradnl" w:eastAsia="es-ES"/>
        </w:rPr>
        <w:lastRenderedPageBreak/>
        <w:t>Acordado en sesi</w:t>
      </w:r>
      <w:r w:rsidR="006A197A">
        <w:rPr>
          <w:rFonts w:eastAsia="Times New Roman" w:cs="Arial"/>
          <w:szCs w:val="24"/>
          <w:lang w:val="es-ES_tradnl" w:eastAsia="es-ES"/>
        </w:rPr>
        <w:t>ón</w:t>
      </w:r>
      <w:r w:rsidRPr="0083062E">
        <w:rPr>
          <w:rFonts w:eastAsia="Times New Roman" w:cs="Arial"/>
          <w:szCs w:val="24"/>
          <w:lang w:val="es-ES_tradnl" w:eastAsia="es-ES"/>
        </w:rPr>
        <w:t xml:space="preserve"> celebrada </w:t>
      </w:r>
      <w:r w:rsidR="006A197A">
        <w:rPr>
          <w:rFonts w:eastAsia="Times New Roman" w:cs="Arial"/>
          <w:szCs w:val="24"/>
          <w:lang w:val="es-ES_tradnl" w:eastAsia="es-ES"/>
        </w:rPr>
        <w:t xml:space="preserve">el </w:t>
      </w:r>
      <w:r w:rsidRPr="0083062E">
        <w:rPr>
          <w:rFonts w:eastAsia="Times New Roman" w:cs="Arial"/>
          <w:szCs w:val="24"/>
          <w:lang w:val="es-ES_tradnl" w:eastAsia="es-ES"/>
        </w:rPr>
        <w:t xml:space="preserve">día </w:t>
      </w:r>
      <w:r w:rsidR="006A197A">
        <w:rPr>
          <w:rFonts w:eastAsia="Times New Roman" w:cs="Arial"/>
          <w:szCs w:val="24"/>
          <w:lang w:val="es-ES_tradnl" w:eastAsia="es-ES"/>
        </w:rPr>
        <w:t xml:space="preserve">19 </w:t>
      </w:r>
      <w:r w:rsidRPr="0083062E">
        <w:rPr>
          <w:rFonts w:eastAsia="Times New Roman" w:cs="Arial"/>
          <w:szCs w:val="24"/>
          <w:lang w:val="es-ES_tradnl" w:eastAsia="es-ES"/>
        </w:rPr>
        <w:t xml:space="preserve">de </w:t>
      </w:r>
      <w:r w:rsidR="006A197A">
        <w:rPr>
          <w:rFonts w:eastAsia="Times New Roman" w:cs="Arial"/>
          <w:szCs w:val="24"/>
          <w:lang w:val="es-ES_tradnl" w:eastAsia="es-ES"/>
        </w:rPr>
        <w:t xml:space="preserve">junio </w:t>
      </w:r>
      <w:r w:rsidRPr="0083062E">
        <w:rPr>
          <w:rFonts w:eastAsia="Times New Roman" w:cs="Arial"/>
          <w:szCs w:val="24"/>
          <w:lang w:val="es-ES_tradnl" w:eastAsia="es-ES"/>
        </w:rPr>
        <w:t>de 201</w:t>
      </w:r>
      <w:r w:rsidR="006A197A">
        <w:rPr>
          <w:rFonts w:eastAsia="Times New Roman" w:cs="Arial"/>
          <w:szCs w:val="24"/>
          <w:lang w:val="es-ES_tradnl" w:eastAsia="es-ES"/>
        </w:rPr>
        <w:t>9</w:t>
      </w:r>
      <w:r w:rsidRPr="0083062E">
        <w:rPr>
          <w:rFonts w:eastAsia="Times New Roman" w:cs="Arial"/>
          <w:szCs w:val="24"/>
          <w:lang w:val="es-ES_tradnl" w:eastAsia="es-ES"/>
        </w:rPr>
        <w:t xml:space="preserve">, con asistencia de sus miembros, Honorable Senador señor </w:t>
      </w:r>
      <w:r w:rsidR="006A197A">
        <w:rPr>
          <w:rFonts w:eastAsia="Times New Roman" w:cs="Arial"/>
          <w:szCs w:val="24"/>
          <w:lang w:val="es-ES_tradnl" w:eastAsia="es-ES"/>
        </w:rPr>
        <w:t xml:space="preserve">Álvaro Elizalde Soto </w:t>
      </w:r>
      <w:r w:rsidRPr="0083062E">
        <w:rPr>
          <w:rFonts w:eastAsia="Times New Roman" w:cs="Arial"/>
          <w:szCs w:val="24"/>
          <w:lang w:val="es-ES_tradnl" w:eastAsia="es-ES"/>
        </w:rPr>
        <w:t>(</w:t>
      </w:r>
      <w:proofErr w:type="gramStart"/>
      <w:r w:rsidRPr="0083062E">
        <w:rPr>
          <w:rFonts w:eastAsia="Times New Roman" w:cs="Arial"/>
          <w:szCs w:val="24"/>
          <w:lang w:val="es-ES_tradnl" w:eastAsia="es-ES"/>
        </w:rPr>
        <w:t>Presidente</w:t>
      </w:r>
      <w:proofErr w:type="gramEnd"/>
      <w:r w:rsidRPr="0083062E">
        <w:rPr>
          <w:rFonts w:eastAsia="Times New Roman" w:cs="Arial"/>
          <w:szCs w:val="24"/>
          <w:lang w:val="es-ES_tradnl" w:eastAsia="es-ES"/>
        </w:rPr>
        <w:t xml:space="preserve">), </w:t>
      </w:r>
      <w:r w:rsidR="00424CAC">
        <w:rPr>
          <w:rFonts w:eastAsia="Times New Roman" w:cs="Arial"/>
          <w:szCs w:val="24"/>
          <w:lang w:val="es-ES_tradnl" w:eastAsia="es-ES"/>
        </w:rPr>
        <w:t xml:space="preserve">Honorable Senadora </w:t>
      </w:r>
      <w:r w:rsidRPr="0083062E">
        <w:rPr>
          <w:rFonts w:eastAsia="Times New Roman" w:cs="Arial"/>
          <w:szCs w:val="24"/>
          <w:lang w:val="es-ES_tradnl" w:eastAsia="es-ES"/>
        </w:rPr>
        <w:t xml:space="preserve">señora </w:t>
      </w:r>
      <w:r w:rsidR="006A197A">
        <w:rPr>
          <w:rFonts w:eastAsia="Times New Roman" w:cs="Arial"/>
          <w:szCs w:val="24"/>
          <w:lang w:val="es-ES_tradnl" w:eastAsia="es-ES"/>
        </w:rPr>
        <w:t>Yasna Provoste Campillay</w:t>
      </w:r>
      <w:r w:rsidR="006A197A" w:rsidRPr="0083062E">
        <w:rPr>
          <w:rFonts w:eastAsia="Times New Roman" w:cs="Arial"/>
          <w:szCs w:val="24"/>
          <w:lang w:val="es-ES_tradnl" w:eastAsia="es-ES"/>
        </w:rPr>
        <w:t xml:space="preserve"> y </w:t>
      </w:r>
      <w:r w:rsidR="00424CAC">
        <w:rPr>
          <w:rFonts w:eastAsia="Times New Roman" w:cs="Arial"/>
          <w:szCs w:val="24"/>
          <w:lang w:val="es-ES_tradnl" w:eastAsia="es-ES"/>
        </w:rPr>
        <w:t xml:space="preserve">Honorables Senadores </w:t>
      </w:r>
      <w:r w:rsidR="006A197A" w:rsidRPr="0083062E">
        <w:rPr>
          <w:rFonts w:eastAsia="Times New Roman" w:cs="Arial"/>
          <w:szCs w:val="24"/>
          <w:lang w:val="es-ES_tradnl" w:eastAsia="es-ES"/>
        </w:rPr>
        <w:t>señores</w:t>
      </w:r>
      <w:r w:rsidR="006A197A" w:rsidRPr="00366937">
        <w:rPr>
          <w:rFonts w:eastAsia="Times New Roman" w:cs="Arial"/>
          <w:szCs w:val="24"/>
          <w:lang w:val="es-ES_tradnl" w:eastAsia="es-ES"/>
        </w:rPr>
        <w:t xml:space="preserve"> </w:t>
      </w:r>
      <w:r w:rsidR="006A197A">
        <w:rPr>
          <w:rFonts w:eastAsia="Times New Roman" w:cs="Arial"/>
          <w:szCs w:val="24"/>
          <w:lang w:val="es-ES_tradnl" w:eastAsia="es-ES"/>
        </w:rPr>
        <w:t xml:space="preserve">Alejandro </w:t>
      </w:r>
      <w:r w:rsidR="006A197A" w:rsidRPr="00366937">
        <w:rPr>
          <w:rFonts w:eastAsia="Times New Roman" w:cs="Arial"/>
          <w:szCs w:val="24"/>
          <w:lang w:val="es-ES_tradnl" w:eastAsia="es-ES"/>
        </w:rPr>
        <w:t xml:space="preserve">García Huidobro Sanfuentes, </w:t>
      </w:r>
      <w:r w:rsidR="006A197A">
        <w:rPr>
          <w:rFonts w:eastAsia="Times New Roman" w:cs="Arial"/>
          <w:szCs w:val="24"/>
          <w:lang w:val="es-ES_tradnl" w:eastAsia="es-ES"/>
        </w:rPr>
        <w:t xml:space="preserve">Alejandro </w:t>
      </w:r>
      <w:r w:rsidR="006A197A" w:rsidRPr="00366937">
        <w:rPr>
          <w:rFonts w:eastAsia="Times New Roman" w:cs="Arial"/>
          <w:szCs w:val="24"/>
          <w:lang w:val="es-ES_tradnl" w:eastAsia="es-ES"/>
        </w:rPr>
        <w:t>Guillier Álvarez</w:t>
      </w:r>
      <w:r w:rsidR="006A197A">
        <w:rPr>
          <w:rFonts w:eastAsia="Times New Roman" w:cs="Arial"/>
          <w:szCs w:val="24"/>
          <w:lang w:val="es-ES_tradnl" w:eastAsia="es-ES"/>
        </w:rPr>
        <w:t xml:space="preserve"> y</w:t>
      </w:r>
      <w:r w:rsidR="006A197A" w:rsidRPr="00366937">
        <w:rPr>
          <w:rFonts w:eastAsia="Times New Roman" w:cs="Arial"/>
          <w:szCs w:val="24"/>
          <w:lang w:val="es-ES_tradnl" w:eastAsia="es-ES"/>
        </w:rPr>
        <w:t xml:space="preserve"> </w:t>
      </w:r>
      <w:r w:rsidR="006A197A">
        <w:rPr>
          <w:rFonts w:eastAsia="Times New Roman" w:cs="Arial"/>
          <w:szCs w:val="24"/>
          <w:lang w:val="es-ES_tradnl" w:eastAsia="es-ES"/>
        </w:rPr>
        <w:t xml:space="preserve">Rafael </w:t>
      </w:r>
      <w:proofErr w:type="spellStart"/>
      <w:r w:rsidR="006A197A" w:rsidRPr="00366937">
        <w:rPr>
          <w:rFonts w:eastAsia="Times New Roman" w:cs="Arial"/>
          <w:szCs w:val="24"/>
          <w:lang w:val="es-ES_tradnl" w:eastAsia="es-ES"/>
        </w:rPr>
        <w:t>Prohens</w:t>
      </w:r>
      <w:proofErr w:type="spellEnd"/>
      <w:r w:rsidR="006A197A" w:rsidRPr="00366937">
        <w:rPr>
          <w:rFonts w:eastAsia="Times New Roman" w:cs="Arial"/>
          <w:szCs w:val="24"/>
          <w:lang w:val="es-ES_tradnl" w:eastAsia="es-ES"/>
        </w:rPr>
        <w:t xml:space="preserve"> Espinosa</w:t>
      </w:r>
      <w:r w:rsidR="006A197A">
        <w:rPr>
          <w:rFonts w:eastAsia="Times New Roman" w:cs="Arial"/>
          <w:szCs w:val="24"/>
          <w:lang w:val="es-ES_tradnl" w:eastAsia="es-ES"/>
        </w:rPr>
        <w:t xml:space="preserve">, </w:t>
      </w:r>
      <w:r w:rsidRPr="0083062E">
        <w:rPr>
          <w:rFonts w:eastAsia="Times New Roman" w:cs="Arial"/>
          <w:szCs w:val="24"/>
          <w:lang w:val="es-ES_tradnl" w:eastAsia="es-ES"/>
        </w:rPr>
        <w:t>y Honorable Diputad</w:t>
      </w:r>
      <w:r w:rsidR="00424CAC">
        <w:rPr>
          <w:rFonts w:eastAsia="Times New Roman" w:cs="Arial"/>
          <w:szCs w:val="24"/>
          <w:lang w:val="es-ES_tradnl" w:eastAsia="es-ES"/>
        </w:rPr>
        <w:t>a</w:t>
      </w:r>
      <w:r w:rsidRPr="0083062E">
        <w:rPr>
          <w:rFonts w:eastAsia="Times New Roman" w:cs="Arial"/>
          <w:szCs w:val="24"/>
          <w:lang w:val="es-ES_tradnl" w:eastAsia="es-ES"/>
        </w:rPr>
        <w:t xml:space="preserve"> señora </w:t>
      </w:r>
      <w:r w:rsidR="006A197A">
        <w:rPr>
          <w:rFonts w:eastAsia="Times New Roman" w:cs="Arial"/>
          <w:color w:val="000000"/>
          <w:szCs w:val="24"/>
          <w:lang w:val="es-ES" w:eastAsia="es-ES"/>
        </w:rPr>
        <w:t xml:space="preserve">Sofía Cid </w:t>
      </w:r>
      <w:proofErr w:type="spellStart"/>
      <w:r w:rsidR="006A197A">
        <w:rPr>
          <w:rFonts w:eastAsia="Times New Roman" w:cs="Arial"/>
          <w:color w:val="000000"/>
          <w:szCs w:val="24"/>
          <w:lang w:val="es-ES" w:eastAsia="es-ES"/>
        </w:rPr>
        <w:t>Versalović</w:t>
      </w:r>
      <w:proofErr w:type="spellEnd"/>
      <w:r w:rsidR="006A197A">
        <w:rPr>
          <w:rFonts w:eastAsia="Times New Roman" w:cs="Arial"/>
          <w:color w:val="000000"/>
          <w:szCs w:val="24"/>
          <w:lang w:val="es-ES" w:eastAsia="es-ES"/>
        </w:rPr>
        <w:t xml:space="preserve"> y </w:t>
      </w:r>
      <w:r w:rsidR="00424CAC">
        <w:rPr>
          <w:rFonts w:eastAsia="Times New Roman" w:cs="Arial"/>
          <w:color w:val="000000"/>
          <w:szCs w:val="24"/>
          <w:lang w:val="es-ES" w:eastAsia="es-ES"/>
        </w:rPr>
        <w:t xml:space="preserve">Honorables Diputados </w:t>
      </w:r>
      <w:r w:rsidR="006A197A">
        <w:rPr>
          <w:rFonts w:eastAsia="Times New Roman" w:cs="Arial"/>
          <w:color w:val="000000"/>
          <w:szCs w:val="24"/>
          <w:lang w:val="es-ES" w:eastAsia="es-ES"/>
        </w:rPr>
        <w:t xml:space="preserve">señores Juan Luis Castro González, </w:t>
      </w:r>
      <w:proofErr w:type="spellStart"/>
      <w:r w:rsidR="006A197A">
        <w:rPr>
          <w:rFonts w:eastAsia="Times New Roman" w:cs="Arial"/>
          <w:color w:val="000000"/>
          <w:szCs w:val="24"/>
          <w:lang w:val="es-ES" w:eastAsia="es-ES"/>
        </w:rPr>
        <w:t>Issa</w:t>
      </w:r>
      <w:proofErr w:type="spellEnd"/>
      <w:r w:rsidR="006A197A">
        <w:rPr>
          <w:rFonts w:eastAsia="Times New Roman" w:cs="Arial"/>
          <w:color w:val="000000"/>
          <w:szCs w:val="24"/>
          <w:lang w:val="es-ES" w:eastAsia="es-ES"/>
        </w:rPr>
        <w:t xml:space="preserve"> </w:t>
      </w:r>
      <w:proofErr w:type="spellStart"/>
      <w:r w:rsidR="006A197A">
        <w:rPr>
          <w:rFonts w:eastAsia="Times New Roman" w:cs="Arial"/>
          <w:color w:val="000000"/>
          <w:szCs w:val="24"/>
          <w:lang w:val="es-ES" w:eastAsia="es-ES"/>
        </w:rPr>
        <w:t>Kort</w:t>
      </w:r>
      <w:proofErr w:type="spellEnd"/>
      <w:r w:rsidR="006A197A">
        <w:rPr>
          <w:rFonts w:eastAsia="Times New Roman" w:cs="Arial"/>
          <w:color w:val="000000"/>
          <w:szCs w:val="24"/>
          <w:lang w:val="es-ES" w:eastAsia="es-ES"/>
        </w:rPr>
        <w:t xml:space="preserve"> Garriga</w:t>
      </w:r>
      <w:r w:rsidR="00DB7F8F">
        <w:rPr>
          <w:rFonts w:eastAsia="Times New Roman" w:cs="Arial"/>
          <w:color w:val="000000"/>
          <w:szCs w:val="24"/>
          <w:lang w:val="es-ES" w:eastAsia="es-ES"/>
        </w:rPr>
        <w:t>,</w:t>
      </w:r>
      <w:r w:rsidR="006A197A">
        <w:rPr>
          <w:rFonts w:eastAsia="Times New Roman" w:cs="Arial"/>
          <w:color w:val="000000"/>
          <w:szCs w:val="24"/>
          <w:lang w:val="es-ES" w:eastAsia="es-ES"/>
        </w:rPr>
        <w:t xml:space="preserve"> Gabriel </w:t>
      </w:r>
      <w:proofErr w:type="spellStart"/>
      <w:r w:rsidR="006A197A">
        <w:rPr>
          <w:rFonts w:eastAsia="Times New Roman" w:cs="Arial"/>
          <w:color w:val="000000"/>
          <w:szCs w:val="24"/>
          <w:lang w:val="es-ES" w:eastAsia="es-ES"/>
        </w:rPr>
        <w:t>Silber</w:t>
      </w:r>
      <w:proofErr w:type="spellEnd"/>
      <w:r w:rsidR="006A197A">
        <w:rPr>
          <w:rFonts w:eastAsia="Times New Roman" w:cs="Arial"/>
          <w:color w:val="000000"/>
          <w:szCs w:val="24"/>
          <w:lang w:val="es-ES" w:eastAsia="es-ES"/>
        </w:rPr>
        <w:t xml:space="preserve"> Romo</w:t>
      </w:r>
      <w:r w:rsidR="00DB7F8F">
        <w:rPr>
          <w:rFonts w:eastAsia="Times New Roman" w:cs="Arial"/>
          <w:color w:val="000000"/>
          <w:szCs w:val="24"/>
          <w:lang w:val="es-ES" w:eastAsia="es-ES"/>
        </w:rPr>
        <w:t xml:space="preserve"> y Pablo Vidal Rojas</w:t>
      </w:r>
      <w:r w:rsidR="006A197A">
        <w:rPr>
          <w:rFonts w:eastAsia="Times New Roman" w:cs="Arial"/>
          <w:color w:val="000000"/>
          <w:szCs w:val="24"/>
          <w:lang w:val="es-ES" w:eastAsia="es-ES"/>
        </w:rPr>
        <w:t>.</w:t>
      </w:r>
    </w:p>
    <w:p w:rsidR="0083062E" w:rsidRPr="0083062E" w:rsidRDefault="0083062E" w:rsidP="0083062E">
      <w:pPr>
        <w:tabs>
          <w:tab w:val="left" w:pos="2592"/>
        </w:tabs>
        <w:autoSpaceDE w:val="0"/>
        <w:autoSpaceDN w:val="0"/>
        <w:adjustRightInd w:val="0"/>
        <w:jc w:val="both"/>
        <w:rPr>
          <w:rFonts w:eastAsia="Times New Roman" w:cs="Arial"/>
          <w:color w:val="000000"/>
          <w:szCs w:val="24"/>
          <w:lang w:val="es-ES" w:eastAsia="es-ES"/>
        </w:rPr>
      </w:pPr>
    </w:p>
    <w:p w:rsidR="0083062E" w:rsidRPr="0083062E" w:rsidRDefault="0083062E" w:rsidP="0083062E">
      <w:pPr>
        <w:tabs>
          <w:tab w:val="left" w:pos="2835"/>
        </w:tabs>
        <w:jc w:val="both"/>
        <w:rPr>
          <w:rFonts w:eastAsia="Times New Roman" w:cs="Arial"/>
          <w:szCs w:val="24"/>
          <w:lang w:val="es-ES_tradnl" w:eastAsia="es-ES"/>
        </w:rPr>
      </w:pPr>
    </w:p>
    <w:p w:rsidR="0083062E" w:rsidRPr="0083062E" w:rsidRDefault="0083062E" w:rsidP="0083062E">
      <w:pPr>
        <w:tabs>
          <w:tab w:val="left" w:pos="2835"/>
        </w:tabs>
        <w:jc w:val="right"/>
        <w:rPr>
          <w:rFonts w:eastAsia="Times New Roman" w:cs="Arial"/>
          <w:szCs w:val="24"/>
          <w:lang w:val="es-ES_tradnl" w:eastAsia="es-ES"/>
        </w:rPr>
      </w:pPr>
      <w:r w:rsidRPr="0083062E">
        <w:rPr>
          <w:rFonts w:eastAsia="Times New Roman" w:cs="Arial"/>
          <w:szCs w:val="24"/>
          <w:lang w:val="es-ES_tradnl" w:eastAsia="es-ES"/>
        </w:rPr>
        <w:tab/>
        <w:t xml:space="preserve">Sala de la Comisión, a </w:t>
      </w:r>
      <w:r w:rsidR="006A197A" w:rsidRPr="00DB7F8F">
        <w:rPr>
          <w:rFonts w:eastAsia="Times New Roman" w:cs="Arial"/>
          <w:szCs w:val="24"/>
          <w:lang w:val="es-ES_tradnl" w:eastAsia="es-ES"/>
        </w:rPr>
        <w:t>19</w:t>
      </w:r>
      <w:r w:rsidRPr="00DB7F8F">
        <w:rPr>
          <w:rFonts w:eastAsia="Times New Roman" w:cs="Arial"/>
          <w:szCs w:val="24"/>
          <w:lang w:val="es-ES_tradnl" w:eastAsia="es-ES"/>
        </w:rPr>
        <w:t xml:space="preserve"> de </w:t>
      </w:r>
      <w:r w:rsidR="006A197A" w:rsidRPr="00DB7F8F">
        <w:rPr>
          <w:rFonts w:eastAsia="Times New Roman" w:cs="Arial"/>
          <w:szCs w:val="24"/>
          <w:lang w:val="es-ES_tradnl" w:eastAsia="es-ES"/>
        </w:rPr>
        <w:t xml:space="preserve">junio </w:t>
      </w:r>
      <w:r w:rsidRPr="00DB7F8F">
        <w:rPr>
          <w:rFonts w:eastAsia="Times New Roman" w:cs="Arial"/>
          <w:szCs w:val="24"/>
          <w:lang w:val="es-ES_tradnl" w:eastAsia="es-ES"/>
        </w:rPr>
        <w:t>de 201</w:t>
      </w:r>
      <w:r w:rsidR="006A197A" w:rsidRPr="00DB7F8F">
        <w:rPr>
          <w:rFonts w:eastAsia="Times New Roman" w:cs="Arial"/>
          <w:szCs w:val="24"/>
          <w:lang w:val="es-ES_tradnl" w:eastAsia="es-ES"/>
        </w:rPr>
        <w:t>9</w:t>
      </w:r>
      <w:r w:rsidRPr="0083062E">
        <w:rPr>
          <w:rFonts w:eastAsia="Times New Roman" w:cs="Arial"/>
          <w:szCs w:val="24"/>
          <w:lang w:val="es-ES_tradnl" w:eastAsia="es-ES"/>
        </w:rPr>
        <w:t>.</w:t>
      </w:r>
    </w:p>
    <w:p w:rsidR="0083062E" w:rsidRPr="0083062E" w:rsidRDefault="0083062E" w:rsidP="0083062E">
      <w:pPr>
        <w:tabs>
          <w:tab w:val="left" w:pos="2835"/>
        </w:tabs>
        <w:jc w:val="both"/>
        <w:rPr>
          <w:rFonts w:eastAsia="Times New Roman" w:cs="Arial"/>
          <w:szCs w:val="24"/>
          <w:lang w:val="es-ES_tradnl" w:eastAsia="es-ES"/>
        </w:rPr>
      </w:pPr>
    </w:p>
    <w:p w:rsidR="0083062E" w:rsidRPr="0083062E" w:rsidRDefault="0083062E" w:rsidP="0083062E">
      <w:pPr>
        <w:tabs>
          <w:tab w:val="left" w:pos="2835"/>
        </w:tabs>
        <w:jc w:val="both"/>
        <w:rPr>
          <w:rFonts w:eastAsia="Times New Roman" w:cs="Arial"/>
          <w:szCs w:val="24"/>
          <w:lang w:val="es-ES_tradnl" w:eastAsia="es-ES"/>
        </w:rPr>
      </w:pPr>
    </w:p>
    <w:p w:rsidR="0083062E" w:rsidRPr="0083062E" w:rsidRDefault="0083062E" w:rsidP="0083062E">
      <w:pPr>
        <w:tabs>
          <w:tab w:val="left" w:pos="2835"/>
        </w:tabs>
        <w:jc w:val="both"/>
        <w:rPr>
          <w:rFonts w:eastAsia="Times New Roman" w:cs="Arial"/>
          <w:szCs w:val="24"/>
          <w:lang w:val="es-ES_tradnl" w:eastAsia="es-ES"/>
        </w:rPr>
      </w:pPr>
    </w:p>
    <w:p w:rsidR="0083062E" w:rsidRPr="0083062E" w:rsidRDefault="0083062E" w:rsidP="0083062E">
      <w:pPr>
        <w:tabs>
          <w:tab w:val="left" w:pos="2835"/>
        </w:tabs>
        <w:jc w:val="both"/>
        <w:rPr>
          <w:rFonts w:eastAsia="Times New Roman" w:cs="Arial"/>
          <w:szCs w:val="24"/>
          <w:lang w:val="es-ES_tradnl" w:eastAsia="es-ES"/>
        </w:rPr>
      </w:pPr>
    </w:p>
    <w:p w:rsidR="0083062E" w:rsidRPr="0083062E" w:rsidRDefault="0083062E" w:rsidP="0083062E">
      <w:pPr>
        <w:tabs>
          <w:tab w:val="left" w:pos="2835"/>
        </w:tabs>
        <w:jc w:val="both"/>
        <w:rPr>
          <w:rFonts w:eastAsia="Times New Roman" w:cs="Arial"/>
          <w:szCs w:val="24"/>
          <w:lang w:val="es-ES_tradnl" w:eastAsia="es-ES"/>
        </w:rPr>
      </w:pPr>
    </w:p>
    <w:p w:rsidR="0083062E" w:rsidRPr="0083062E" w:rsidRDefault="0083062E" w:rsidP="0083062E">
      <w:pPr>
        <w:tabs>
          <w:tab w:val="left" w:pos="2835"/>
        </w:tabs>
        <w:jc w:val="both"/>
        <w:rPr>
          <w:rFonts w:eastAsia="Times New Roman" w:cs="Arial"/>
          <w:szCs w:val="24"/>
          <w:lang w:val="es-ES_tradnl" w:eastAsia="es-ES"/>
        </w:rPr>
      </w:pPr>
    </w:p>
    <w:p w:rsidR="0083062E" w:rsidRPr="0083062E" w:rsidRDefault="0083062E" w:rsidP="0083062E">
      <w:pPr>
        <w:tabs>
          <w:tab w:val="left" w:pos="2835"/>
        </w:tabs>
        <w:jc w:val="both"/>
        <w:rPr>
          <w:rFonts w:eastAsia="Times New Roman" w:cs="Arial"/>
          <w:szCs w:val="24"/>
          <w:lang w:val="es-ES_tradnl" w:eastAsia="es-ES"/>
        </w:rPr>
      </w:pPr>
    </w:p>
    <w:p w:rsidR="0083062E" w:rsidRPr="0083062E" w:rsidRDefault="0083062E" w:rsidP="0083062E">
      <w:pPr>
        <w:tabs>
          <w:tab w:val="left" w:pos="2835"/>
        </w:tabs>
        <w:jc w:val="both"/>
        <w:rPr>
          <w:rFonts w:eastAsia="Times New Roman" w:cs="Arial"/>
          <w:szCs w:val="24"/>
          <w:lang w:val="es-ES_tradnl" w:eastAsia="es-ES"/>
        </w:rPr>
      </w:pPr>
    </w:p>
    <w:p w:rsidR="0083062E" w:rsidRPr="0083062E" w:rsidRDefault="0083062E" w:rsidP="0083062E">
      <w:pPr>
        <w:tabs>
          <w:tab w:val="left" w:pos="2835"/>
        </w:tabs>
        <w:jc w:val="both"/>
        <w:rPr>
          <w:rFonts w:eastAsia="Times New Roman" w:cs="Arial"/>
          <w:szCs w:val="24"/>
          <w:lang w:val="es-ES_tradnl" w:eastAsia="es-ES"/>
        </w:rPr>
      </w:pPr>
    </w:p>
    <w:p w:rsidR="0083062E" w:rsidRPr="0083062E" w:rsidRDefault="0083062E" w:rsidP="0083062E">
      <w:pPr>
        <w:tabs>
          <w:tab w:val="left" w:pos="2835"/>
        </w:tabs>
        <w:jc w:val="both"/>
        <w:rPr>
          <w:rFonts w:eastAsia="Times New Roman" w:cs="Arial"/>
          <w:szCs w:val="24"/>
          <w:lang w:val="es-ES_tradnl" w:eastAsia="es-ES"/>
        </w:rPr>
      </w:pPr>
    </w:p>
    <w:p w:rsidR="0083062E" w:rsidRPr="0083062E" w:rsidRDefault="0083062E" w:rsidP="0083062E">
      <w:pPr>
        <w:tabs>
          <w:tab w:val="left" w:pos="2835"/>
        </w:tabs>
        <w:jc w:val="both"/>
        <w:rPr>
          <w:rFonts w:eastAsia="Times New Roman" w:cs="Arial"/>
          <w:szCs w:val="24"/>
          <w:lang w:val="es-ES_tradnl" w:eastAsia="es-ES"/>
        </w:rPr>
      </w:pPr>
    </w:p>
    <w:p w:rsidR="0083062E" w:rsidRPr="0083062E" w:rsidRDefault="0083062E" w:rsidP="0083062E">
      <w:pPr>
        <w:tabs>
          <w:tab w:val="left" w:pos="2835"/>
        </w:tabs>
        <w:jc w:val="both"/>
        <w:rPr>
          <w:rFonts w:eastAsia="Times New Roman" w:cs="Arial"/>
          <w:szCs w:val="24"/>
          <w:lang w:val="es-ES_tradnl" w:eastAsia="es-ES"/>
        </w:rPr>
      </w:pPr>
    </w:p>
    <w:p w:rsidR="0083062E" w:rsidRPr="0083062E" w:rsidRDefault="0083062E" w:rsidP="0083062E">
      <w:pPr>
        <w:tabs>
          <w:tab w:val="left" w:pos="2835"/>
        </w:tabs>
        <w:jc w:val="both"/>
        <w:rPr>
          <w:rFonts w:eastAsia="Times New Roman" w:cs="Arial"/>
          <w:szCs w:val="24"/>
          <w:lang w:val="es-ES_tradnl" w:eastAsia="es-ES"/>
        </w:rPr>
      </w:pPr>
    </w:p>
    <w:p w:rsidR="0083062E" w:rsidRPr="0083062E" w:rsidRDefault="0083062E" w:rsidP="0083062E">
      <w:pPr>
        <w:tabs>
          <w:tab w:val="left" w:pos="2835"/>
        </w:tabs>
        <w:jc w:val="both"/>
        <w:rPr>
          <w:rFonts w:eastAsia="Times New Roman" w:cs="Arial"/>
          <w:szCs w:val="24"/>
          <w:lang w:val="es-ES_tradnl" w:eastAsia="es-ES"/>
        </w:rPr>
      </w:pPr>
    </w:p>
    <w:p w:rsidR="0083062E" w:rsidRPr="0083062E" w:rsidRDefault="0083062E" w:rsidP="0083062E">
      <w:pPr>
        <w:tabs>
          <w:tab w:val="left" w:pos="2835"/>
        </w:tabs>
        <w:jc w:val="both"/>
        <w:rPr>
          <w:rFonts w:eastAsia="Times New Roman" w:cs="Arial"/>
          <w:szCs w:val="24"/>
          <w:lang w:val="es-ES_tradnl" w:eastAsia="es-ES"/>
        </w:rPr>
      </w:pPr>
    </w:p>
    <w:p w:rsidR="0083062E" w:rsidRPr="0083062E" w:rsidRDefault="0083062E" w:rsidP="0083062E">
      <w:pPr>
        <w:tabs>
          <w:tab w:val="left" w:pos="2835"/>
        </w:tabs>
        <w:jc w:val="both"/>
        <w:rPr>
          <w:rFonts w:eastAsia="Times New Roman" w:cs="Arial"/>
          <w:szCs w:val="24"/>
          <w:lang w:val="es-ES_tradnl" w:eastAsia="es-ES"/>
        </w:rPr>
      </w:pPr>
    </w:p>
    <w:p w:rsidR="0083062E" w:rsidRPr="0083062E" w:rsidRDefault="0083062E" w:rsidP="0083062E">
      <w:pPr>
        <w:tabs>
          <w:tab w:val="left" w:pos="2835"/>
        </w:tabs>
        <w:jc w:val="both"/>
        <w:rPr>
          <w:rFonts w:eastAsia="Times New Roman" w:cs="Arial"/>
          <w:szCs w:val="24"/>
          <w:lang w:val="es-ES_tradnl" w:eastAsia="es-ES"/>
        </w:rPr>
      </w:pPr>
    </w:p>
    <w:p w:rsidR="0083062E" w:rsidRPr="0083062E" w:rsidRDefault="0083062E" w:rsidP="0083062E">
      <w:pPr>
        <w:tabs>
          <w:tab w:val="left" w:pos="2835"/>
        </w:tabs>
        <w:jc w:val="both"/>
        <w:rPr>
          <w:rFonts w:eastAsia="Times New Roman" w:cs="Arial"/>
          <w:szCs w:val="24"/>
          <w:lang w:val="es-ES_tradnl" w:eastAsia="es-ES"/>
        </w:rPr>
      </w:pPr>
    </w:p>
    <w:p w:rsidR="0083062E" w:rsidRPr="0083062E" w:rsidRDefault="0083062E" w:rsidP="0083062E">
      <w:pPr>
        <w:tabs>
          <w:tab w:val="left" w:pos="2835"/>
        </w:tabs>
        <w:jc w:val="both"/>
        <w:rPr>
          <w:rFonts w:eastAsia="Times New Roman" w:cs="Arial"/>
          <w:szCs w:val="24"/>
          <w:lang w:val="es-ES_tradnl" w:eastAsia="es-ES"/>
        </w:rPr>
      </w:pPr>
    </w:p>
    <w:p w:rsidR="0083062E" w:rsidRPr="0083062E" w:rsidRDefault="0083062E" w:rsidP="0083062E">
      <w:pPr>
        <w:tabs>
          <w:tab w:val="left" w:pos="2835"/>
        </w:tabs>
        <w:jc w:val="both"/>
        <w:rPr>
          <w:rFonts w:eastAsia="Times New Roman" w:cs="Arial"/>
          <w:szCs w:val="24"/>
          <w:lang w:val="es-ES_tradnl" w:eastAsia="es-ES"/>
        </w:rPr>
      </w:pPr>
    </w:p>
    <w:p w:rsidR="0083062E" w:rsidRPr="0083062E" w:rsidRDefault="0083062E" w:rsidP="0083062E">
      <w:pPr>
        <w:tabs>
          <w:tab w:val="left" w:pos="2835"/>
        </w:tabs>
        <w:jc w:val="both"/>
        <w:rPr>
          <w:rFonts w:eastAsia="Times New Roman" w:cs="Arial"/>
          <w:szCs w:val="24"/>
          <w:lang w:val="es-ES_tradnl" w:eastAsia="es-ES"/>
        </w:rPr>
      </w:pPr>
    </w:p>
    <w:p w:rsidR="0083062E" w:rsidRPr="0083062E" w:rsidRDefault="0083062E" w:rsidP="0083062E">
      <w:pPr>
        <w:tabs>
          <w:tab w:val="left" w:pos="2835"/>
        </w:tabs>
        <w:jc w:val="both"/>
        <w:rPr>
          <w:rFonts w:eastAsia="Times New Roman" w:cs="Arial"/>
          <w:szCs w:val="24"/>
          <w:lang w:val="es-ES_tradnl" w:eastAsia="es-ES"/>
        </w:rPr>
      </w:pPr>
    </w:p>
    <w:p w:rsidR="0083062E" w:rsidRDefault="0083062E" w:rsidP="0083062E">
      <w:pPr>
        <w:tabs>
          <w:tab w:val="left" w:pos="2835"/>
        </w:tabs>
        <w:jc w:val="both"/>
        <w:rPr>
          <w:rFonts w:eastAsia="Times New Roman" w:cs="Arial"/>
          <w:szCs w:val="24"/>
          <w:lang w:val="es-ES_tradnl" w:eastAsia="es-ES"/>
        </w:rPr>
      </w:pPr>
    </w:p>
    <w:p w:rsidR="00424CAC" w:rsidRDefault="00424CAC" w:rsidP="0083062E">
      <w:pPr>
        <w:tabs>
          <w:tab w:val="left" w:pos="2835"/>
        </w:tabs>
        <w:jc w:val="both"/>
        <w:rPr>
          <w:rFonts w:eastAsia="Times New Roman" w:cs="Arial"/>
          <w:szCs w:val="24"/>
          <w:lang w:val="es-ES_tradnl" w:eastAsia="es-ES"/>
        </w:rPr>
      </w:pPr>
    </w:p>
    <w:p w:rsidR="00424CAC" w:rsidRDefault="00424CAC" w:rsidP="0083062E">
      <w:pPr>
        <w:tabs>
          <w:tab w:val="left" w:pos="2835"/>
        </w:tabs>
        <w:jc w:val="both"/>
        <w:rPr>
          <w:rFonts w:eastAsia="Times New Roman" w:cs="Arial"/>
          <w:szCs w:val="24"/>
          <w:lang w:val="es-ES_tradnl" w:eastAsia="es-ES"/>
        </w:rPr>
      </w:pPr>
    </w:p>
    <w:p w:rsidR="0083062E" w:rsidRPr="0083062E" w:rsidRDefault="0083062E" w:rsidP="0083062E">
      <w:pPr>
        <w:tabs>
          <w:tab w:val="left" w:pos="2835"/>
        </w:tabs>
        <w:jc w:val="both"/>
        <w:rPr>
          <w:rFonts w:eastAsia="Times New Roman" w:cs="Arial"/>
          <w:szCs w:val="24"/>
          <w:lang w:val="es-ES_tradnl" w:eastAsia="es-ES"/>
        </w:rPr>
      </w:pPr>
      <w:bookmarkStart w:id="1" w:name="_GoBack"/>
      <w:bookmarkEnd w:id="1"/>
    </w:p>
    <w:p w:rsidR="0083062E" w:rsidRPr="0083062E" w:rsidRDefault="0083062E" w:rsidP="0083062E">
      <w:pPr>
        <w:tabs>
          <w:tab w:val="left" w:pos="2835"/>
        </w:tabs>
        <w:jc w:val="both"/>
        <w:rPr>
          <w:rFonts w:eastAsia="Times New Roman" w:cs="Arial"/>
          <w:szCs w:val="24"/>
          <w:lang w:val="es-ES_tradnl" w:eastAsia="es-ES"/>
        </w:rPr>
      </w:pPr>
    </w:p>
    <w:p w:rsidR="0083062E" w:rsidRPr="0083062E" w:rsidRDefault="0083062E" w:rsidP="0083062E">
      <w:pPr>
        <w:tabs>
          <w:tab w:val="left" w:pos="2835"/>
        </w:tabs>
        <w:jc w:val="both"/>
        <w:rPr>
          <w:rFonts w:eastAsia="Times New Roman" w:cs="Arial"/>
          <w:szCs w:val="24"/>
          <w:lang w:val="es-ES_tradnl" w:eastAsia="es-ES"/>
        </w:rPr>
      </w:pPr>
    </w:p>
    <w:p w:rsidR="0083062E" w:rsidRPr="0083062E" w:rsidRDefault="0083062E" w:rsidP="0083062E">
      <w:pPr>
        <w:tabs>
          <w:tab w:val="left" w:pos="2835"/>
        </w:tabs>
        <w:jc w:val="both"/>
        <w:rPr>
          <w:rFonts w:eastAsia="Times New Roman" w:cs="Arial"/>
          <w:szCs w:val="24"/>
          <w:lang w:val="es-ES_tradnl" w:eastAsia="es-ES"/>
        </w:rPr>
      </w:pPr>
    </w:p>
    <w:p w:rsidR="0083062E" w:rsidRPr="0083062E" w:rsidRDefault="0083062E" w:rsidP="0083062E">
      <w:pPr>
        <w:tabs>
          <w:tab w:val="left" w:pos="2835"/>
        </w:tabs>
        <w:jc w:val="both"/>
        <w:rPr>
          <w:rFonts w:eastAsia="Times New Roman" w:cs="Arial"/>
          <w:szCs w:val="24"/>
          <w:lang w:val="es-ES_tradnl" w:eastAsia="es-ES"/>
        </w:rPr>
      </w:pPr>
    </w:p>
    <w:p w:rsidR="0083062E" w:rsidRPr="0083062E" w:rsidRDefault="0083062E" w:rsidP="0083062E">
      <w:pPr>
        <w:tabs>
          <w:tab w:val="left" w:pos="2835"/>
        </w:tabs>
        <w:jc w:val="both"/>
        <w:rPr>
          <w:rFonts w:eastAsia="Times New Roman" w:cs="Arial"/>
          <w:szCs w:val="24"/>
          <w:lang w:val="es-ES_tradnl" w:eastAsia="es-ES"/>
        </w:rPr>
      </w:pPr>
    </w:p>
    <w:p w:rsidR="0083062E" w:rsidRPr="0083062E" w:rsidRDefault="0083062E" w:rsidP="0083062E">
      <w:pPr>
        <w:tabs>
          <w:tab w:val="left" w:pos="2835"/>
        </w:tabs>
        <w:jc w:val="both"/>
        <w:rPr>
          <w:rFonts w:eastAsia="Times New Roman" w:cs="Arial"/>
          <w:szCs w:val="24"/>
          <w:lang w:val="es-ES_tradnl" w:eastAsia="es-ES"/>
        </w:rPr>
      </w:pPr>
    </w:p>
    <w:p w:rsidR="0083062E" w:rsidRPr="0083062E" w:rsidRDefault="0083062E" w:rsidP="0083062E">
      <w:pPr>
        <w:tabs>
          <w:tab w:val="left" w:pos="2835"/>
        </w:tabs>
        <w:jc w:val="both"/>
        <w:rPr>
          <w:rFonts w:eastAsia="Times New Roman" w:cs="Arial"/>
          <w:szCs w:val="24"/>
          <w:lang w:val="es-ES_tradnl" w:eastAsia="es-ES"/>
        </w:rPr>
      </w:pPr>
    </w:p>
    <w:p w:rsidR="0083062E" w:rsidRPr="0083062E" w:rsidRDefault="0083062E" w:rsidP="0083062E">
      <w:pPr>
        <w:tabs>
          <w:tab w:val="left" w:pos="2835"/>
        </w:tabs>
        <w:jc w:val="both"/>
        <w:rPr>
          <w:rFonts w:eastAsia="Times New Roman" w:cs="Arial"/>
          <w:szCs w:val="24"/>
          <w:lang w:val="es-ES_tradnl" w:eastAsia="es-ES"/>
        </w:rPr>
      </w:pPr>
    </w:p>
    <w:p w:rsidR="0083062E" w:rsidRPr="0083062E" w:rsidRDefault="006A197A" w:rsidP="0083062E">
      <w:pPr>
        <w:tabs>
          <w:tab w:val="left" w:pos="2268"/>
        </w:tabs>
        <w:jc w:val="center"/>
        <w:rPr>
          <w:rFonts w:eastAsia="Times New Roman" w:cs="Arial"/>
          <w:szCs w:val="24"/>
          <w:lang w:val="es-ES_tradnl" w:eastAsia="es-ES"/>
        </w:rPr>
      </w:pPr>
      <w:r>
        <w:rPr>
          <w:rFonts w:eastAsia="Times New Roman" w:cs="Arial"/>
          <w:szCs w:val="24"/>
          <w:lang w:val="es-ES_tradnl" w:eastAsia="es-ES"/>
        </w:rPr>
        <w:t>JULIO CÁMARA OYAR</w:t>
      </w:r>
      <w:r w:rsidR="00DB7F8F">
        <w:rPr>
          <w:rFonts w:eastAsia="Times New Roman" w:cs="Arial"/>
          <w:szCs w:val="24"/>
          <w:lang w:val="es-ES_tradnl" w:eastAsia="es-ES"/>
        </w:rPr>
        <w:t>ZO</w:t>
      </w:r>
    </w:p>
    <w:p w:rsidR="0083062E" w:rsidRPr="0083062E" w:rsidRDefault="0083062E" w:rsidP="0083062E">
      <w:pPr>
        <w:tabs>
          <w:tab w:val="left" w:pos="2268"/>
        </w:tabs>
        <w:jc w:val="both"/>
        <w:rPr>
          <w:rFonts w:ascii="Calibri" w:eastAsia="Calibri" w:hAnsi="Calibri" w:cs="Times New Roman"/>
          <w:sz w:val="22"/>
        </w:rPr>
      </w:pPr>
      <w:r w:rsidRPr="0083062E">
        <w:rPr>
          <w:rFonts w:eastAsia="Times New Roman" w:cs="Arial"/>
          <w:szCs w:val="24"/>
          <w:lang w:val="es-ES_tradnl" w:eastAsia="es-ES"/>
        </w:rPr>
        <w:tab/>
        <w:t xml:space="preserve">  Secretario de la Comisión Mixta</w:t>
      </w:r>
    </w:p>
    <w:sectPr w:rsidR="0083062E" w:rsidRPr="0083062E" w:rsidSect="00424CAC">
      <w:headerReference w:type="even" r:id="rId7"/>
      <w:headerReference w:type="default" r:id="rId8"/>
      <w:pgSz w:w="12240" w:h="18720" w:code="14"/>
      <w:pgMar w:top="2835" w:right="1701" w:bottom="2835" w:left="2268" w:header="720" w:footer="720" w:gutter="0"/>
      <w:paperSrc w:first="1" w:other="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7906" w:rsidRDefault="000C7906">
      <w:r>
        <w:separator/>
      </w:r>
    </w:p>
  </w:endnote>
  <w:endnote w:type="continuationSeparator" w:id="0">
    <w:p w:rsidR="000C7906" w:rsidRDefault="000C7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7906" w:rsidRDefault="000C7906">
      <w:r>
        <w:separator/>
      </w:r>
    </w:p>
  </w:footnote>
  <w:footnote w:type="continuationSeparator" w:id="0">
    <w:p w:rsidR="000C7906" w:rsidRDefault="000C79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62E" w:rsidRDefault="0083062E">
    <w:pPr>
      <w:pStyle w:val="Encabezado1"/>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83062E" w:rsidRDefault="0083062E">
    <w:pPr>
      <w:pStyle w:val="Encabezado1"/>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62E" w:rsidRDefault="0083062E">
    <w:pPr>
      <w:pStyle w:val="Encabezado1"/>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72</w:t>
    </w:r>
    <w:r>
      <w:rPr>
        <w:rStyle w:val="Nmerodepgina"/>
      </w:rPr>
      <w:fldChar w:fldCharType="end"/>
    </w:r>
  </w:p>
  <w:p w:rsidR="0083062E" w:rsidRDefault="0083062E">
    <w:pPr>
      <w:pStyle w:val="Encabezado1"/>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56D62"/>
    <w:multiLevelType w:val="hybridMultilevel"/>
    <w:tmpl w:val="1B82978C"/>
    <w:lvl w:ilvl="0" w:tplc="7D1615D6">
      <w:start w:val="2"/>
      <w:numFmt w:val="bullet"/>
      <w:lvlText w:val="-"/>
      <w:lvlJc w:val="left"/>
      <w:pPr>
        <w:ind w:left="3195" w:hanging="360"/>
      </w:pPr>
      <w:rPr>
        <w:rFonts w:ascii="Arial" w:eastAsia="Calibri"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1" w15:restartNumberingAfterBreak="0">
    <w:nsid w:val="14924B26"/>
    <w:multiLevelType w:val="hybridMultilevel"/>
    <w:tmpl w:val="A8FEC9A8"/>
    <w:lvl w:ilvl="0" w:tplc="733060E4">
      <w:numFmt w:val="bullet"/>
      <w:lvlText w:val="-"/>
      <w:lvlJc w:val="left"/>
      <w:pPr>
        <w:ind w:left="3195" w:hanging="360"/>
      </w:pPr>
      <w:rPr>
        <w:rFonts w:ascii="Arial" w:eastAsiaTheme="minorHAnsi"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2" w15:restartNumberingAfterBreak="0">
    <w:nsid w:val="34461F4A"/>
    <w:multiLevelType w:val="hybridMultilevel"/>
    <w:tmpl w:val="F42AB44C"/>
    <w:lvl w:ilvl="0" w:tplc="E07A422C">
      <w:numFmt w:val="bullet"/>
      <w:lvlText w:val="-"/>
      <w:lvlJc w:val="left"/>
      <w:pPr>
        <w:ind w:left="3195" w:hanging="360"/>
      </w:pPr>
      <w:rPr>
        <w:rFonts w:ascii="Arial" w:eastAsia="Times New Roman"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3" w15:restartNumberingAfterBreak="0">
    <w:nsid w:val="514226C0"/>
    <w:multiLevelType w:val="hybridMultilevel"/>
    <w:tmpl w:val="4A32CE5E"/>
    <w:lvl w:ilvl="0" w:tplc="819CA36E">
      <w:start w:val="2"/>
      <w:numFmt w:val="bullet"/>
      <w:lvlText w:val="-"/>
      <w:lvlJc w:val="left"/>
      <w:pPr>
        <w:ind w:left="3195" w:hanging="360"/>
      </w:pPr>
      <w:rPr>
        <w:rFonts w:ascii="Arial" w:eastAsia="Calibri"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4" w15:restartNumberingAfterBreak="0">
    <w:nsid w:val="575C37DB"/>
    <w:multiLevelType w:val="hybridMultilevel"/>
    <w:tmpl w:val="65561D8C"/>
    <w:lvl w:ilvl="0" w:tplc="577227F0">
      <w:start w:val="2"/>
      <w:numFmt w:val="bullet"/>
      <w:lvlText w:val="-"/>
      <w:lvlJc w:val="left"/>
      <w:pPr>
        <w:ind w:left="3195" w:hanging="360"/>
      </w:pPr>
      <w:rPr>
        <w:rFonts w:ascii="Arial" w:eastAsia="Calibri"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2835"/>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62E"/>
    <w:rsid w:val="00051B93"/>
    <w:rsid w:val="00057E76"/>
    <w:rsid w:val="000C7906"/>
    <w:rsid w:val="00366937"/>
    <w:rsid w:val="00424CAC"/>
    <w:rsid w:val="00445283"/>
    <w:rsid w:val="004B2674"/>
    <w:rsid w:val="004B40B8"/>
    <w:rsid w:val="00534AB0"/>
    <w:rsid w:val="005C67A4"/>
    <w:rsid w:val="00632A37"/>
    <w:rsid w:val="006973CD"/>
    <w:rsid w:val="006A197A"/>
    <w:rsid w:val="006E30F4"/>
    <w:rsid w:val="00716F6A"/>
    <w:rsid w:val="0083062E"/>
    <w:rsid w:val="009227F4"/>
    <w:rsid w:val="009323D8"/>
    <w:rsid w:val="00933AB5"/>
    <w:rsid w:val="009D0092"/>
    <w:rsid w:val="00AE09A9"/>
    <w:rsid w:val="00DB7F8F"/>
    <w:rsid w:val="00DC683C"/>
    <w:rsid w:val="00FC7F7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27284"/>
  <w15:chartTrackingRefBased/>
  <w15:docId w15:val="{77794CD0-0FFD-4D27-967C-59513B3C9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83062E"/>
  </w:style>
  <w:style w:type="paragraph" w:customStyle="1" w:styleId="Encabezado1">
    <w:name w:val="Encabezado1"/>
    <w:basedOn w:val="Normal"/>
    <w:next w:val="Encabezado"/>
    <w:link w:val="EncabezadoCar"/>
    <w:uiPriority w:val="99"/>
    <w:semiHidden/>
    <w:unhideWhenUsed/>
    <w:rsid w:val="0083062E"/>
    <w:pPr>
      <w:tabs>
        <w:tab w:val="center" w:pos="4419"/>
        <w:tab w:val="right" w:pos="8838"/>
      </w:tabs>
    </w:pPr>
    <w:rPr>
      <w:rFonts w:ascii="Calibri" w:hAnsi="Calibri"/>
      <w:sz w:val="22"/>
    </w:rPr>
  </w:style>
  <w:style w:type="character" w:customStyle="1" w:styleId="EncabezadoCar">
    <w:name w:val="Encabezado Car"/>
    <w:basedOn w:val="Fuentedeprrafopredeter"/>
    <w:link w:val="Encabezado1"/>
    <w:uiPriority w:val="99"/>
    <w:semiHidden/>
    <w:rsid w:val="0083062E"/>
    <w:rPr>
      <w:rFonts w:ascii="Calibri" w:hAnsi="Calibri"/>
      <w:sz w:val="22"/>
    </w:rPr>
  </w:style>
  <w:style w:type="character" w:styleId="Nmerodepgina">
    <w:name w:val="page number"/>
    <w:basedOn w:val="Fuentedeprrafopredeter"/>
    <w:rsid w:val="0083062E"/>
  </w:style>
  <w:style w:type="paragraph" w:customStyle="1" w:styleId="Piedepgina1">
    <w:name w:val="Pie de página1"/>
    <w:basedOn w:val="Normal"/>
    <w:next w:val="Piedepgina"/>
    <w:link w:val="PiedepginaCar"/>
    <w:uiPriority w:val="99"/>
    <w:unhideWhenUsed/>
    <w:rsid w:val="0083062E"/>
    <w:pPr>
      <w:tabs>
        <w:tab w:val="center" w:pos="4419"/>
        <w:tab w:val="right" w:pos="8838"/>
      </w:tabs>
    </w:pPr>
    <w:rPr>
      <w:rFonts w:ascii="Calibri" w:hAnsi="Calibri"/>
      <w:sz w:val="22"/>
    </w:rPr>
  </w:style>
  <w:style w:type="character" w:customStyle="1" w:styleId="PiedepginaCar">
    <w:name w:val="Pie de página Car"/>
    <w:basedOn w:val="Fuentedeprrafopredeter"/>
    <w:link w:val="Piedepgina1"/>
    <w:uiPriority w:val="99"/>
    <w:rsid w:val="0083062E"/>
    <w:rPr>
      <w:rFonts w:ascii="Calibri" w:hAnsi="Calibri"/>
      <w:sz w:val="22"/>
    </w:rPr>
  </w:style>
  <w:style w:type="paragraph" w:customStyle="1" w:styleId="Textodeglobo1">
    <w:name w:val="Texto de globo1"/>
    <w:basedOn w:val="Normal"/>
    <w:next w:val="Textodeglobo"/>
    <w:link w:val="TextodegloboCar"/>
    <w:uiPriority w:val="99"/>
    <w:semiHidden/>
    <w:unhideWhenUsed/>
    <w:rsid w:val="0083062E"/>
    <w:rPr>
      <w:rFonts w:ascii="Tahoma" w:hAnsi="Tahoma" w:cs="Tahoma"/>
      <w:sz w:val="16"/>
      <w:szCs w:val="16"/>
    </w:rPr>
  </w:style>
  <w:style w:type="character" w:customStyle="1" w:styleId="TextodegloboCar">
    <w:name w:val="Texto de globo Car"/>
    <w:basedOn w:val="Fuentedeprrafopredeter"/>
    <w:link w:val="Textodeglobo1"/>
    <w:uiPriority w:val="99"/>
    <w:semiHidden/>
    <w:rsid w:val="0083062E"/>
    <w:rPr>
      <w:rFonts w:ascii="Tahoma" w:hAnsi="Tahoma" w:cs="Tahoma"/>
      <w:sz w:val="16"/>
      <w:szCs w:val="16"/>
    </w:rPr>
  </w:style>
  <w:style w:type="paragraph" w:customStyle="1" w:styleId="Prrafodelista1">
    <w:name w:val="Párrafo de lista1"/>
    <w:basedOn w:val="Normal"/>
    <w:next w:val="Prrafodelista"/>
    <w:uiPriority w:val="34"/>
    <w:qFormat/>
    <w:rsid w:val="0083062E"/>
    <w:pPr>
      <w:spacing w:after="200" w:line="276" w:lineRule="auto"/>
      <w:ind w:left="720"/>
      <w:contextualSpacing/>
    </w:pPr>
    <w:rPr>
      <w:rFonts w:ascii="Calibri" w:hAnsi="Calibri"/>
      <w:sz w:val="22"/>
    </w:rPr>
  </w:style>
  <w:style w:type="paragraph" w:styleId="Encabezado">
    <w:name w:val="header"/>
    <w:basedOn w:val="Normal"/>
    <w:link w:val="EncabezadoCar1"/>
    <w:uiPriority w:val="99"/>
    <w:semiHidden/>
    <w:unhideWhenUsed/>
    <w:rsid w:val="0083062E"/>
    <w:pPr>
      <w:tabs>
        <w:tab w:val="center" w:pos="4419"/>
        <w:tab w:val="right" w:pos="8838"/>
      </w:tabs>
    </w:pPr>
  </w:style>
  <w:style w:type="character" w:customStyle="1" w:styleId="EncabezadoCar1">
    <w:name w:val="Encabezado Car1"/>
    <w:basedOn w:val="Fuentedeprrafopredeter"/>
    <w:link w:val="Encabezado"/>
    <w:uiPriority w:val="99"/>
    <w:semiHidden/>
    <w:rsid w:val="0083062E"/>
  </w:style>
  <w:style w:type="paragraph" w:styleId="Piedepgina">
    <w:name w:val="footer"/>
    <w:basedOn w:val="Normal"/>
    <w:link w:val="PiedepginaCar1"/>
    <w:uiPriority w:val="99"/>
    <w:semiHidden/>
    <w:unhideWhenUsed/>
    <w:rsid w:val="0083062E"/>
    <w:pPr>
      <w:tabs>
        <w:tab w:val="center" w:pos="4419"/>
        <w:tab w:val="right" w:pos="8838"/>
      </w:tabs>
    </w:pPr>
  </w:style>
  <w:style w:type="character" w:customStyle="1" w:styleId="PiedepginaCar1">
    <w:name w:val="Pie de página Car1"/>
    <w:basedOn w:val="Fuentedeprrafopredeter"/>
    <w:link w:val="Piedepgina"/>
    <w:uiPriority w:val="99"/>
    <w:semiHidden/>
    <w:rsid w:val="0083062E"/>
  </w:style>
  <w:style w:type="paragraph" w:styleId="Textodeglobo">
    <w:name w:val="Balloon Text"/>
    <w:basedOn w:val="Normal"/>
    <w:link w:val="TextodegloboCar1"/>
    <w:uiPriority w:val="99"/>
    <w:semiHidden/>
    <w:unhideWhenUsed/>
    <w:rsid w:val="0083062E"/>
    <w:rPr>
      <w:rFonts w:ascii="Segoe UI" w:hAnsi="Segoe UI" w:cs="Segoe UI"/>
      <w:sz w:val="18"/>
      <w:szCs w:val="18"/>
    </w:rPr>
  </w:style>
  <w:style w:type="character" w:customStyle="1" w:styleId="TextodegloboCar1">
    <w:name w:val="Texto de globo Car1"/>
    <w:basedOn w:val="Fuentedeprrafopredeter"/>
    <w:link w:val="Textodeglobo"/>
    <w:uiPriority w:val="99"/>
    <w:semiHidden/>
    <w:rsid w:val="0083062E"/>
    <w:rPr>
      <w:rFonts w:ascii="Segoe UI" w:hAnsi="Segoe UI" w:cs="Segoe UI"/>
      <w:sz w:val="18"/>
      <w:szCs w:val="18"/>
    </w:rPr>
  </w:style>
  <w:style w:type="paragraph" w:styleId="Prrafodelista">
    <w:name w:val="List Paragraph"/>
    <w:basedOn w:val="Normal"/>
    <w:uiPriority w:val="34"/>
    <w:qFormat/>
    <w:rsid w:val="008306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9</Pages>
  <Words>2459</Words>
  <Characters>13527</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LFIGUEROA</dc:creator>
  <cp:keywords/>
  <dc:description/>
  <cp:lastModifiedBy>LFIGUEROA</cp:lastModifiedBy>
  <cp:revision>2</cp:revision>
  <cp:lastPrinted>2019-06-19T22:00:00Z</cp:lastPrinted>
  <dcterms:created xsi:type="dcterms:W3CDTF">2019-06-18T14:40:00Z</dcterms:created>
  <dcterms:modified xsi:type="dcterms:W3CDTF">2019-06-19T22:01:00Z</dcterms:modified>
</cp:coreProperties>
</file>