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8F6C" w14:textId="77777777" w:rsidR="004A19A5" w:rsidRDefault="00CA205D" w:rsidP="004A19A5">
      <w:pP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r w:rsidRPr="00A231FF">
        <w:rPr>
          <w:rFonts w:ascii="Arial" w:hAnsi="Arial" w:cs="Arial"/>
          <w:b/>
          <w:sz w:val="22"/>
          <w:szCs w:val="22"/>
        </w:rPr>
        <w:t xml:space="preserve">INFORME DE LA COMISIÓN DE HACIENDA </w:t>
      </w:r>
      <w:r w:rsidRPr="00A231FF">
        <w:rPr>
          <w:rFonts w:ascii="Arial" w:hAnsi="Arial" w:cs="Arial"/>
          <w:b/>
          <w:bCs/>
          <w:color w:val="000000"/>
          <w:spacing w:val="-2"/>
          <w:sz w:val="22"/>
          <w:szCs w:val="22"/>
        </w:rPr>
        <w:t xml:space="preserve">SOBRE EL </w:t>
      </w:r>
      <w:r w:rsidR="004A19A5" w:rsidRPr="00705A09">
        <w:rPr>
          <w:rFonts w:ascii="Arial" w:hAnsi="Arial" w:cs="Arial"/>
          <w:b/>
          <w:bCs/>
          <w:color w:val="000000"/>
          <w:spacing w:val="-2"/>
          <w:sz w:val="22"/>
          <w:szCs w:val="22"/>
        </w:rPr>
        <w:t xml:space="preserve">PROYECTO DE ACUERDO QUE </w:t>
      </w:r>
      <w:r w:rsidR="004A19A5" w:rsidRPr="003E76C5">
        <w:rPr>
          <w:rFonts w:ascii="Arial" w:hAnsi="Arial" w:cs="Arial"/>
          <w:b/>
          <w:bCs/>
          <w:color w:val="000000"/>
          <w:spacing w:val="-2"/>
          <w:sz w:val="22"/>
          <w:szCs w:val="22"/>
        </w:rPr>
        <w:t>APRUEBA EL PROTOCOLO DE MODIFICACIÓN DEL TRATADO DE LIBRE COMERCIO Y DEL ACUERDO COMPLEMENTARIO SOBRE COMERCIO DE SERVICIOS ENTRE EL GOBIERNO DE LA REPÚBLICA DE CHILE Y EL GOBIERNO DE LA REPÚBLICA POPULAR CHINA, SUSCRITO EN DA NANG, REPÚBLICA SOCIALISTA DE VIETNAM, EL 11 DE NOVIEMBRE DE 2017</w:t>
      </w:r>
      <w:r w:rsidR="004A19A5" w:rsidRPr="00705A09">
        <w:rPr>
          <w:rFonts w:ascii="Arial" w:hAnsi="Arial" w:cs="Arial"/>
          <w:b/>
          <w:bCs/>
          <w:color w:val="000000"/>
          <w:spacing w:val="-2"/>
          <w:sz w:val="22"/>
          <w:szCs w:val="22"/>
        </w:rPr>
        <w:t xml:space="preserve"> </w:t>
      </w:r>
    </w:p>
    <w:p w14:paraId="6C1B0F7A" w14:textId="77777777" w:rsidR="00A231FF" w:rsidRPr="00A231FF" w:rsidRDefault="00A231FF" w:rsidP="004A19A5">
      <w:pPr>
        <w:shd w:val="clear" w:color="auto" w:fill="FFFFFF"/>
        <w:tabs>
          <w:tab w:val="left" w:pos="-284"/>
          <w:tab w:val="left" w:pos="0"/>
          <w:tab w:val="left" w:pos="1701"/>
        </w:tabs>
        <w:spacing w:line="276" w:lineRule="auto"/>
        <w:jc w:val="both"/>
        <w:rPr>
          <w:rFonts w:ascii="Arial" w:hAnsi="Arial" w:cs="Arial"/>
          <w:b/>
          <w:sz w:val="22"/>
          <w:szCs w:val="22"/>
          <w:shd w:val="clear" w:color="auto" w:fill="F2F4F7"/>
        </w:rPr>
      </w:pPr>
    </w:p>
    <w:p w14:paraId="652DB514" w14:textId="77777777" w:rsidR="008B430E" w:rsidRPr="00FE4ED3" w:rsidRDefault="008B430E" w:rsidP="00CD5CDB">
      <w:pPr>
        <w:shd w:val="clear" w:color="auto" w:fill="FFFFFF"/>
        <w:tabs>
          <w:tab w:val="left" w:pos="-284"/>
          <w:tab w:val="left" w:pos="0"/>
          <w:tab w:val="left" w:pos="1701"/>
        </w:tabs>
        <w:spacing w:before="120" w:line="276" w:lineRule="auto"/>
        <w:jc w:val="right"/>
        <w:rPr>
          <w:rFonts w:ascii="Arial" w:hAnsi="Arial" w:cs="Arial"/>
          <w:b/>
          <w:sz w:val="24"/>
          <w:szCs w:val="24"/>
        </w:rPr>
      </w:pPr>
      <w:r w:rsidRPr="00FE4ED3">
        <w:rPr>
          <w:rFonts w:ascii="Arial" w:hAnsi="Arial" w:cs="Arial"/>
          <w:b/>
          <w:sz w:val="24"/>
          <w:szCs w:val="24"/>
        </w:rPr>
        <w:t xml:space="preserve">BOLETÍN N° </w:t>
      </w:r>
      <w:r w:rsidR="00F26807">
        <w:rPr>
          <w:rFonts w:ascii="Arial" w:hAnsi="Arial" w:cs="Arial"/>
          <w:b/>
          <w:sz w:val="24"/>
          <w:szCs w:val="24"/>
        </w:rPr>
        <w:t>117</w:t>
      </w:r>
      <w:r w:rsidR="00DF2AAD">
        <w:rPr>
          <w:rFonts w:ascii="Arial" w:hAnsi="Arial" w:cs="Arial"/>
          <w:b/>
          <w:sz w:val="24"/>
          <w:szCs w:val="24"/>
        </w:rPr>
        <w:t>49</w:t>
      </w:r>
      <w:r w:rsidR="00F26807">
        <w:rPr>
          <w:rFonts w:ascii="Arial" w:hAnsi="Arial" w:cs="Arial"/>
          <w:b/>
          <w:sz w:val="24"/>
          <w:szCs w:val="24"/>
        </w:rPr>
        <w:t>-</w:t>
      </w:r>
      <w:r w:rsidRPr="00FE4ED3">
        <w:rPr>
          <w:rFonts w:ascii="Arial" w:hAnsi="Arial" w:cs="Arial"/>
          <w:b/>
          <w:sz w:val="24"/>
          <w:szCs w:val="24"/>
        </w:rPr>
        <w:t>10</w:t>
      </w:r>
    </w:p>
    <w:p w14:paraId="2588A08D" w14:textId="77777777" w:rsidR="009B242B" w:rsidRPr="005E429A" w:rsidRDefault="009B242B" w:rsidP="00CD5CDB">
      <w:pPr>
        <w:shd w:val="clear" w:color="auto" w:fill="FFFFFF"/>
        <w:tabs>
          <w:tab w:val="left" w:pos="-284"/>
          <w:tab w:val="left" w:pos="0"/>
        </w:tabs>
        <w:spacing w:before="120" w:line="276" w:lineRule="auto"/>
        <w:rPr>
          <w:rFonts w:ascii="Arial" w:hAnsi="Arial" w:cs="Arial"/>
          <w:sz w:val="24"/>
          <w:szCs w:val="24"/>
        </w:rPr>
      </w:pPr>
      <w:r w:rsidRPr="005E429A">
        <w:rPr>
          <w:rFonts w:ascii="Arial" w:hAnsi="Arial" w:cs="Arial"/>
          <w:sz w:val="24"/>
          <w:szCs w:val="24"/>
        </w:rPr>
        <w:t>HONORABLE CÁMARA:</w:t>
      </w:r>
    </w:p>
    <w:p w14:paraId="0584045D" w14:textId="77777777" w:rsidR="0063120A" w:rsidRDefault="0063120A" w:rsidP="00CD5CDB">
      <w:pPr>
        <w:tabs>
          <w:tab w:val="left" w:pos="-284"/>
          <w:tab w:val="left" w:pos="0"/>
          <w:tab w:val="left" w:pos="1701"/>
        </w:tabs>
        <w:spacing w:line="276" w:lineRule="auto"/>
        <w:ind w:right="51" w:firstLine="1701"/>
        <w:jc w:val="both"/>
        <w:rPr>
          <w:rFonts w:ascii="Arial" w:hAnsi="Arial" w:cs="Arial"/>
          <w:sz w:val="24"/>
          <w:szCs w:val="24"/>
        </w:rPr>
      </w:pPr>
    </w:p>
    <w:p w14:paraId="34A80DAC" w14:textId="77777777" w:rsidR="001A4626" w:rsidRPr="001A4626" w:rsidRDefault="001A4626" w:rsidP="00A319DB">
      <w:pPr>
        <w:shd w:val="clear" w:color="auto" w:fill="FFFFFF"/>
        <w:tabs>
          <w:tab w:val="left" w:pos="-284"/>
          <w:tab w:val="left" w:pos="0"/>
          <w:tab w:val="left" w:pos="1701"/>
        </w:tabs>
        <w:spacing w:line="276" w:lineRule="auto"/>
        <w:ind w:firstLine="1701"/>
        <w:jc w:val="both"/>
        <w:rPr>
          <w:rFonts w:ascii="Arial" w:hAnsi="Arial" w:cs="Arial"/>
          <w:sz w:val="24"/>
          <w:szCs w:val="24"/>
        </w:rPr>
      </w:pPr>
      <w:r w:rsidRPr="001A4626">
        <w:rPr>
          <w:rFonts w:ascii="Arial" w:hAnsi="Arial" w:cs="Arial"/>
          <w:sz w:val="24"/>
          <w:szCs w:val="24"/>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en primer trámite constitucional, originado en Mensaje </w:t>
      </w:r>
      <w:r w:rsidR="008F0D78">
        <w:rPr>
          <w:rFonts w:ascii="Arial" w:hAnsi="Arial" w:cs="Arial"/>
          <w:sz w:val="24"/>
          <w:szCs w:val="24"/>
        </w:rPr>
        <w:t>de S.E. el</w:t>
      </w:r>
      <w:r w:rsidR="008F0D78" w:rsidRPr="00705A09">
        <w:rPr>
          <w:rFonts w:ascii="Arial" w:hAnsi="Arial" w:cs="Arial"/>
          <w:sz w:val="24"/>
          <w:szCs w:val="24"/>
        </w:rPr>
        <w:t xml:space="preserve"> Presidente de la República, </w:t>
      </w:r>
      <w:r w:rsidR="008F0D78">
        <w:rPr>
          <w:rFonts w:ascii="Arial" w:hAnsi="Arial" w:cs="Arial"/>
          <w:sz w:val="24"/>
          <w:szCs w:val="24"/>
        </w:rPr>
        <w:t>señor Sebastián Piñera Echenique, ingresado a tramitación el 1</w:t>
      </w:r>
      <w:r w:rsidR="00AE6896">
        <w:rPr>
          <w:rFonts w:ascii="Arial" w:hAnsi="Arial" w:cs="Arial"/>
          <w:sz w:val="24"/>
          <w:szCs w:val="24"/>
        </w:rPr>
        <w:t>7</w:t>
      </w:r>
      <w:r w:rsidR="008F0D78">
        <w:rPr>
          <w:rFonts w:ascii="Arial" w:hAnsi="Arial" w:cs="Arial"/>
          <w:sz w:val="24"/>
          <w:szCs w:val="24"/>
        </w:rPr>
        <w:t xml:space="preserve"> de mayo de 2018</w:t>
      </w:r>
      <w:r w:rsidR="008F0D78" w:rsidRPr="00705A09">
        <w:rPr>
          <w:rFonts w:ascii="Arial" w:hAnsi="Arial" w:cs="Arial"/>
          <w:sz w:val="24"/>
          <w:szCs w:val="24"/>
        </w:rPr>
        <w:t>.</w:t>
      </w:r>
      <w:r w:rsidR="008F0D78">
        <w:rPr>
          <w:rFonts w:ascii="Arial" w:hAnsi="Arial" w:cs="Arial"/>
          <w:sz w:val="24"/>
          <w:szCs w:val="24"/>
        </w:rPr>
        <w:t xml:space="preserve"> </w:t>
      </w:r>
    </w:p>
    <w:p w14:paraId="2E214791" w14:textId="77777777" w:rsidR="00F26807" w:rsidRDefault="00F26807" w:rsidP="00AB6222">
      <w:pPr>
        <w:tabs>
          <w:tab w:val="left" w:pos="-284"/>
          <w:tab w:val="left" w:pos="0"/>
          <w:tab w:val="left" w:pos="851"/>
        </w:tabs>
        <w:spacing w:line="276" w:lineRule="auto"/>
        <w:ind w:right="51" w:firstLine="1701"/>
        <w:jc w:val="both"/>
        <w:rPr>
          <w:rFonts w:ascii="Arial" w:hAnsi="Arial" w:cs="Arial"/>
          <w:sz w:val="24"/>
          <w:szCs w:val="24"/>
        </w:rPr>
      </w:pPr>
    </w:p>
    <w:p w14:paraId="4DC35579" w14:textId="77777777" w:rsidR="00FE420B" w:rsidRPr="00A319DB" w:rsidRDefault="00AB6222" w:rsidP="00A319DB">
      <w:pPr>
        <w:spacing w:line="276" w:lineRule="auto"/>
        <w:ind w:firstLine="1701"/>
        <w:jc w:val="both"/>
        <w:rPr>
          <w:rFonts w:ascii="Arial" w:hAnsi="Arial" w:cs="Arial"/>
          <w:sz w:val="24"/>
          <w:szCs w:val="24"/>
        </w:rPr>
      </w:pPr>
      <w:r w:rsidRPr="00A319DB">
        <w:rPr>
          <w:rFonts w:ascii="Arial" w:hAnsi="Arial" w:cs="Arial"/>
          <w:sz w:val="24"/>
          <w:szCs w:val="24"/>
        </w:rPr>
        <w:t>Asistieron a la Comisión, durante el estudio del proyecto, en representación de los organismos que se señalan</w:t>
      </w:r>
      <w:r w:rsidR="00A319DB">
        <w:rPr>
          <w:rFonts w:ascii="Arial" w:hAnsi="Arial" w:cs="Arial"/>
          <w:sz w:val="24"/>
          <w:szCs w:val="24"/>
        </w:rPr>
        <w:t xml:space="preserve">, </w:t>
      </w:r>
      <w:r w:rsidR="00FE420B" w:rsidRPr="00A319DB">
        <w:rPr>
          <w:rFonts w:ascii="Arial" w:hAnsi="Arial" w:cs="Arial"/>
          <w:sz w:val="24"/>
          <w:szCs w:val="24"/>
        </w:rPr>
        <w:t>el señor Felipe Lopeandía Wielandt, Director de Asuntos Bilaterales de la Dirección General de Relaciones Económicas Internacionales y el señor José Riquelme González, Coordinador Legislativo del Ministerio de Hacienda.</w:t>
      </w:r>
    </w:p>
    <w:p w14:paraId="59B2EDF4" w14:textId="77777777" w:rsidR="00AB6222" w:rsidRPr="00A319DB" w:rsidRDefault="00AB6222" w:rsidP="00AB6222">
      <w:pPr>
        <w:tabs>
          <w:tab w:val="left" w:pos="-284"/>
          <w:tab w:val="left" w:pos="0"/>
          <w:tab w:val="left" w:pos="851"/>
        </w:tabs>
        <w:spacing w:line="276" w:lineRule="auto"/>
        <w:ind w:right="51" w:firstLine="1701"/>
        <w:jc w:val="both"/>
        <w:rPr>
          <w:rFonts w:ascii="Arial" w:hAnsi="Arial" w:cs="Arial"/>
          <w:sz w:val="24"/>
          <w:szCs w:val="24"/>
        </w:rPr>
      </w:pPr>
    </w:p>
    <w:p w14:paraId="405F922A" w14:textId="77777777" w:rsidR="009B242B" w:rsidRPr="006801B8" w:rsidRDefault="00F774E1" w:rsidP="00CD5CDB">
      <w:pPr>
        <w:pStyle w:val="Ttulo1"/>
        <w:tabs>
          <w:tab w:val="left" w:pos="-284"/>
          <w:tab w:val="left" w:pos="0"/>
        </w:tabs>
        <w:spacing w:line="276" w:lineRule="auto"/>
        <w:rPr>
          <w:rFonts w:cs="Arial"/>
          <w:b/>
          <w:szCs w:val="24"/>
          <w:u w:val="none"/>
        </w:rPr>
      </w:pPr>
      <w:r w:rsidRPr="006801B8">
        <w:rPr>
          <w:rFonts w:cs="Arial"/>
          <w:b/>
          <w:szCs w:val="24"/>
          <w:u w:val="none"/>
        </w:rPr>
        <w:t>I.-</w:t>
      </w:r>
      <w:r w:rsidR="009B242B" w:rsidRPr="006801B8">
        <w:rPr>
          <w:rFonts w:cs="Arial"/>
          <w:b/>
          <w:szCs w:val="24"/>
          <w:u w:val="none"/>
        </w:rPr>
        <w:t>CONSTANCIAS REGLAMENTARIAS PREVIAS</w:t>
      </w:r>
    </w:p>
    <w:p w14:paraId="2D773E02" w14:textId="77777777" w:rsidR="00A04C99" w:rsidRPr="00FE4ED3" w:rsidRDefault="00A04C99" w:rsidP="00CD5CDB">
      <w:pPr>
        <w:tabs>
          <w:tab w:val="left" w:pos="-284"/>
          <w:tab w:val="left" w:pos="0"/>
        </w:tabs>
        <w:spacing w:line="276" w:lineRule="auto"/>
        <w:ind w:firstLine="1701"/>
        <w:rPr>
          <w:rFonts w:ascii="Arial" w:hAnsi="Arial" w:cs="Arial"/>
          <w:sz w:val="24"/>
          <w:szCs w:val="24"/>
        </w:rPr>
      </w:pPr>
    </w:p>
    <w:p w14:paraId="5292AA04" w14:textId="77777777" w:rsidR="00A04C99" w:rsidRPr="00FE4ED3" w:rsidRDefault="00A04C99" w:rsidP="00CD5CDB">
      <w:pPr>
        <w:tabs>
          <w:tab w:val="left" w:pos="-284"/>
          <w:tab w:val="left" w:pos="0"/>
          <w:tab w:val="left" w:pos="1701"/>
        </w:tabs>
        <w:spacing w:line="276" w:lineRule="auto"/>
        <w:ind w:firstLine="1701"/>
        <w:rPr>
          <w:rFonts w:ascii="Arial" w:hAnsi="Arial" w:cs="Arial"/>
          <w:sz w:val="24"/>
          <w:szCs w:val="24"/>
        </w:rPr>
      </w:pPr>
      <w:r w:rsidRPr="00FE4ED3">
        <w:rPr>
          <w:rFonts w:ascii="Arial" w:hAnsi="Arial" w:cs="Arial"/>
          <w:sz w:val="24"/>
          <w:szCs w:val="24"/>
        </w:rPr>
        <w:t>1.-</w:t>
      </w:r>
      <w:r w:rsidRPr="00FE4ED3">
        <w:rPr>
          <w:rFonts w:ascii="Arial" w:hAnsi="Arial" w:cs="Arial"/>
          <w:sz w:val="24"/>
          <w:szCs w:val="24"/>
          <w:u w:val="single"/>
        </w:rPr>
        <w:t xml:space="preserve">Idea matriz o fundamental del </w:t>
      </w:r>
      <w:r w:rsidR="00CA7258" w:rsidRPr="00FE4ED3">
        <w:rPr>
          <w:rFonts w:ascii="Arial" w:hAnsi="Arial" w:cs="Arial"/>
          <w:sz w:val="24"/>
          <w:szCs w:val="24"/>
          <w:u w:val="single"/>
        </w:rPr>
        <w:t>P</w:t>
      </w:r>
      <w:r w:rsidRPr="00FE4ED3">
        <w:rPr>
          <w:rFonts w:ascii="Arial" w:hAnsi="Arial" w:cs="Arial"/>
          <w:sz w:val="24"/>
          <w:szCs w:val="24"/>
          <w:u w:val="single"/>
        </w:rPr>
        <w:t>royecto</w:t>
      </w:r>
      <w:r w:rsidR="00CA7258" w:rsidRPr="00FE4ED3">
        <w:rPr>
          <w:rFonts w:ascii="Arial" w:hAnsi="Arial" w:cs="Arial"/>
          <w:sz w:val="24"/>
          <w:szCs w:val="24"/>
          <w:u w:val="single"/>
        </w:rPr>
        <w:t xml:space="preserve"> de Acuerdo</w:t>
      </w:r>
      <w:r w:rsidR="008036A8" w:rsidRPr="00FE4ED3">
        <w:rPr>
          <w:rFonts w:ascii="Arial" w:hAnsi="Arial" w:cs="Arial"/>
          <w:sz w:val="24"/>
          <w:szCs w:val="24"/>
          <w:u w:val="single"/>
        </w:rPr>
        <w:t>:</w:t>
      </w:r>
    </w:p>
    <w:p w14:paraId="5F914CBE" w14:textId="77777777" w:rsidR="00F26807" w:rsidRDefault="00E626DA" w:rsidP="00CD5CDB">
      <w:pPr>
        <w:spacing w:line="276" w:lineRule="auto"/>
        <w:ind w:firstLine="1701"/>
        <w:jc w:val="both"/>
        <w:rPr>
          <w:rFonts w:ascii="Arial" w:eastAsia="Calibri" w:hAnsi="Arial" w:cs="Arial"/>
          <w:sz w:val="24"/>
          <w:szCs w:val="24"/>
          <w:lang w:val="es-CL" w:eastAsia="en-US"/>
        </w:rPr>
      </w:pPr>
      <w:r w:rsidRPr="00E626DA">
        <w:rPr>
          <w:rFonts w:ascii="Arial" w:eastAsia="Calibri" w:hAnsi="Arial" w:cs="Arial"/>
          <w:sz w:val="24"/>
          <w:szCs w:val="24"/>
          <w:lang w:val="es-CL" w:eastAsia="en-US"/>
        </w:rPr>
        <w:t xml:space="preserve">Perseverar en el proceso de apertura de la economía chilena al mundo asiático, a través de la suscripción de un Protocolo de Modificación </w:t>
      </w:r>
      <w:r w:rsidR="00F71A7E">
        <w:rPr>
          <w:rFonts w:ascii="Arial" w:eastAsia="Calibri" w:hAnsi="Arial" w:cs="Arial"/>
          <w:sz w:val="24"/>
          <w:szCs w:val="24"/>
          <w:lang w:val="es-CL" w:eastAsia="en-US"/>
        </w:rPr>
        <w:t>del</w:t>
      </w:r>
      <w:r w:rsidRPr="00E626DA">
        <w:rPr>
          <w:rFonts w:ascii="Arial" w:eastAsia="Calibri" w:hAnsi="Arial" w:cs="Arial"/>
          <w:sz w:val="24"/>
          <w:szCs w:val="24"/>
          <w:lang w:val="es-CL" w:eastAsia="en-US"/>
        </w:rPr>
        <w:t xml:space="preserve"> TLC vigente con China, principal socio comercial de Chile, que propone mejorar distintas disciplinas que irán en beneficio de los exportadores de bienes y servicios, a través de normas relativas al Trato Nacional y Acceso de Mercancías al Mercado; Reglas de Origen; Procedimientos Aduaneros y Facilitación del Comercio; Comercio Electrónico; Competencia; Medio Ambiente y Comercio; Cooperación Económica y Técnica; y Comercio de Servicios.</w:t>
      </w:r>
    </w:p>
    <w:p w14:paraId="643A0770" w14:textId="77777777" w:rsidR="00E626DA" w:rsidRDefault="00E626DA" w:rsidP="00CD5CDB">
      <w:pPr>
        <w:spacing w:line="276" w:lineRule="auto"/>
        <w:ind w:firstLine="1701"/>
        <w:jc w:val="both"/>
        <w:rPr>
          <w:rFonts w:ascii="Arial" w:hAnsi="Arial" w:cs="Arial"/>
          <w:szCs w:val="24"/>
        </w:rPr>
      </w:pPr>
    </w:p>
    <w:p w14:paraId="213C3B8A" w14:textId="77777777" w:rsidR="00073427" w:rsidRDefault="00A748DD" w:rsidP="00CD5CDB">
      <w:pPr>
        <w:spacing w:line="276" w:lineRule="auto"/>
        <w:ind w:firstLine="1701"/>
        <w:jc w:val="both"/>
        <w:rPr>
          <w:rFonts w:ascii="Arial" w:hAnsi="Arial" w:cs="Arial"/>
          <w:szCs w:val="24"/>
        </w:rPr>
      </w:pPr>
      <w:r w:rsidRPr="00FE4ED3">
        <w:rPr>
          <w:rFonts w:ascii="Arial" w:hAnsi="Arial" w:cs="Arial"/>
          <w:szCs w:val="24"/>
        </w:rPr>
        <w:t>2</w:t>
      </w:r>
      <w:r w:rsidRPr="00CD5CDB">
        <w:rPr>
          <w:rFonts w:ascii="Arial" w:hAnsi="Arial" w:cs="Arial"/>
          <w:sz w:val="24"/>
          <w:szCs w:val="24"/>
        </w:rPr>
        <w:t>.-</w:t>
      </w:r>
      <w:r w:rsidRPr="00CD5CDB">
        <w:rPr>
          <w:rFonts w:ascii="Arial" w:hAnsi="Arial" w:cs="Arial"/>
          <w:sz w:val="24"/>
          <w:szCs w:val="24"/>
          <w:u w:val="single"/>
        </w:rPr>
        <w:t>Comisión técnica</w:t>
      </w:r>
      <w:r w:rsidRPr="00FE4ED3">
        <w:rPr>
          <w:rFonts w:ascii="Arial" w:hAnsi="Arial" w:cs="Arial"/>
          <w:szCs w:val="24"/>
        </w:rPr>
        <w:t>:</w:t>
      </w:r>
    </w:p>
    <w:p w14:paraId="1EC4ED89" w14:textId="77777777" w:rsidR="00A748DD" w:rsidRPr="00FE4ED3" w:rsidRDefault="00073427" w:rsidP="00CD5CDB">
      <w:pPr>
        <w:tabs>
          <w:tab w:val="left" w:pos="-284"/>
          <w:tab w:val="left" w:pos="0"/>
          <w:tab w:val="left" w:pos="1701"/>
        </w:tabs>
        <w:spacing w:line="276" w:lineRule="auto"/>
        <w:ind w:firstLine="1701"/>
        <w:jc w:val="both"/>
        <w:rPr>
          <w:rFonts w:ascii="Arial" w:hAnsi="Arial" w:cs="Arial"/>
          <w:sz w:val="24"/>
          <w:szCs w:val="24"/>
        </w:rPr>
      </w:pPr>
      <w:r>
        <w:rPr>
          <w:rFonts w:ascii="Arial" w:hAnsi="Arial" w:cs="Arial"/>
          <w:sz w:val="24"/>
          <w:szCs w:val="24"/>
        </w:rPr>
        <w:t>Comisión d</w:t>
      </w:r>
      <w:r w:rsidR="007E0867" w:rsidRPr="00FE4ED3">
        <w:rPr>
          <w:rFonts w:ascii="Arial" w:hAnsi="Arial" w:cs="Arial"/>
          <w:sz w:val="24"/>
          <w:szCs w:val="24"/>
        </w:rPr>
        <w:t xml:space="preserve">e </w:t>
      </w:r>
      <w:r w:rsidR="008036A8" w:rsidRPr="00FE4ED3">
        <w:rPr>
          <w:rFonts w:ascii="Arial" w:hAnsi="Arial" w:cs="Arial"/>
          <w:sz w:val="24"/>
          <w:szCs w:val="24"/>
        </w:rPr>
        <w:t xml:space="preserve">Relaciones Exteriores, Asuntos Interparlamentarios e Integración Latinoamericana. </w:t>
      </w:r>
    </w:p>
    <w:p w14:paraId="03D9506E" w14:textId="77777777" w:rsidR="009B242B" w:rsidRPr="00FE4ED3" w:rsidRDefault="009B242B" w:rsidP="00CD5CDB">
      <w:pPr>
        <w:tabs>
          <w:tab w:val="left" w:pos="-284"/>
          <w:tab w:val="left" w:pos="0"/>
          <w:tab w:val="left" w:pos="3402"/>
          <w:tab w:val="left" w:pos="4751"/>
        </w:tabs>
        <w:spacing w:line="276" w:lineRule="auto"/>
        <w:ind w:right="51" w:firstLine="1701"/>
        <w:jc w:val="both"/>
        <w:rPr>
          <w:rFonts w:ascii="Arial" w:hAnsi="Arial" w:cs="Arial"/>
          <w:sz w:val="24"/>
          <w:szCs w:val="24"/>
        </w:rPr>
      </w:pPr>
    </w:p>
    <w:p w14:paraId="42EF2D28" w14:textId="77777777" w:rsidR="006F6F8D" w:rsidRPr="00FE4ED3" w:rsidRDefault="00D41BF2" w:rsidP="00CD5CDB">
      <w:pPr>
        <w:tabs>
          <w:tab w:val="left" w:pos="-284"/>
          <w:tab w:val="left" w:pos="0"/>
          <w:tab w:val="left" w:pos="851"/>
          <w:tab w:val="left" w:pos="4751"/>
        </w:tabs>
        <w:spacing w:line="276" w:lineRule="auto"/>
        <w:ind w:right="51" w:firstLine="1701"/>
        <w:jc w:val="both"/>
        <w:rPr>
          <w:rFonts w:ascii="Arial" w:hAnsi="Arial" w:cs="Arial"/>
          <w:sz w:val="24"/>
          <w:szCs w:val="24"/>
          <w:u w:val="single"/>
        </w:rPr>
      </w:pPr>
      <w:r w:rsidRPr="00FE4ED3">
        <w:rPr>
          <w:rFonts w:ascii="Arial" w:hAnsi="Arial" w:cs="Arial"/>
          <w:sz w:val="24"/>
          <w:szCs w:val="24"/>
        </w:rPr>
        <w:t>3.-</w:t>
      </w:r>
      <w:r w:rsidR="006F6F8D" w:rsidRPr="00FE4ED3">
        <w:rPr>
          <w:rFonts w:ascii="Arial" w:hAnsi="Arial" w:cs="Arial"/>
          <w:sz w:val="24"/>
          <w:szCs w:val="24"/>
          <w:u w:val="single"/>
        </w:rPr>
        <w:t xml:space="preserve">Artículos que la Comisión </w:t>
      </w:r>
      <w:r w:rsidR="00073427">
        <w:rPr>
          <w:rFonts w:ascii="Arial" w:hAnsi="Arial" w:cs="Arial"/>
          <w:sz w:val="24"/>
          <w:szCs w:val="24"/>
          <w:u w:val="single"/>
        </w:rPr>
        <w:t>t</w:t>
      </w:r>
      <w:r w:rsidR="006F6F8D" w:rsidRPr="00FE4ED3">
        <w:rPr>
          <w:rFonts w:ascii="Arial" w:hAnsi="Arial" w:cs="Arial"/>
          <w:sz w:val="24"/>
          <w:szCs w:val="24"/>
          <w:u w:val="single"/>
        </w:rPr>
        <w:t xml:space="preserve">écnica dispuso que fueran conocidas por </w:t>
      </w:r>
      <w:r w:rsidR="007E0867" w:rsidRPr="00FE4ED3">
        <w:rPr>
          <w:rFonts w:ascii="Arial" w:hAnsi="Arial" w:cs="Arial"/>
          <w:sz w:val="24"/>
          <w:szCs w:val="24"/>
          <w:u w:val="single"/>
        </w:rPr>
        <w:t>esta Comisión de Hacienda</w:t>
      </w:r>
      <w:r w:rsidR="001A68AE" w:rsidRPr="00FE4ED3">
        <w:rPr>
          <w:rFonts w:ascii="Arial" w:hAnsi="Arial" w:cs="Arial"/>
          <w:sz w:val="24"/>
          <w:szCs w:val="24"/>
          <w:u w:val="single"/>
        </w:rPr>
        <w:t>.</w:t>
      </w:r>
    </w:p>
    <w:p w14:paraId="6CA41CEA" w14:textId="77777777" w:rsidR="008F0D78" w:rsidRDefault="008F0D78" w:rsidP="008F0D78">
      <w:pPr>
        <w:pStyle w:val="Prrafodelista"/>
        <w:spacing w:after="0" w:line="276" w:lineRule="auto"/>
        <w:ind w:left="0" w:firstLine="1701"/>
        <w:jc w:val="both"/>
        <w:rPr>
          <w:rFonts w:ascii="Arial" w:hAnsi="Arial" w:cs="Arial"/>
          <w:sz w:val="24"/>
          <w:szCs w:val="24"/>
        </w:rPr>
      </w:pPr>
      <w:r>
        <w:rPr>
          <w:rFonts w:ascii="Arial" w:hAnsi="Arial" w:cs="Arial"/>
          <w:sz w:val="24"/>
          <w:szCs w:val="24"/>
        </w:rPr>
        <w:t xml:space="preserve">La Comisión de </w:t>
      </w:r>
      <w:r w:rsidRPr="00705A09">
        <w:rPr>
          <w:rFonts w:ascii="Arial" w:hAnsi="Arial" w:cs="Arial"/>
          <w:sz w:val="24"/>
          <w:szCs w:val="24"/>
        </w:rPr>
        <w:t>Relaciones Exteriores, Asuntos Interparlamentarios e Integración Latinoamericana</w:t>
      </w:r>
      <w:r>
        <w:rPr>
          <w:rFonts w:ascii="Arial" w:hAnsi="Arial" w:cs="Arial"/>
          <w:sz w:val="24"/>
          <w:szCs w:val="24"/>
        </w:rPr>
        <w:t xml:space="preserve"> </w:t>
      </w:r>
      <w:r w:rsidRPr="00CA02AC">
        <w:rPr>
          <w:rFonts w:ascii="Arial" w:hAnsi="Arial" w:cs="Arial"/>
          <w:sz w:val="24"/>
          <w:szCs w:val="24"/>
        </w:rPr>
        <w:t xml:space="preserve">determinó que sus preceptos deben ser conocidos </w:t>
      </w:r>
      <w:r w:rsidRPr="00CA02AC">
        <w:rPr>
          <w:rFonts w:ascii="Arial" w:hAnsi="Arial" w:cs="Arial"/>
          <w:sz w:val="24"/>
          <w:szCs w:val="24"/>
        </w:rPr>
        <w:lastRenderedPageBreak/>
        <w:t>por la Comisión de Hacienda por tener incidencia en materia presupuestaria o financiera del Estado, según Informe Financiero acompañado al Mensaje.</w:t>
      </w:r>
    </w:p>
    <w:p w14:paraId="6EF61E7D" w14:textId="77777777" w:rsidR="00664C1C" w:rsidRPr="008F0D78" w:rsidRDefault="00664C1C" w:rsidP="00CD5CDB">
      <w:pPr>
        <w:tabs>
          <w:tab w:val="left" w:pos="-284"/>
          <w:tab w:val="left" w:pos="0"/>
          <w:tab w:val="left" w:pos="851"/>
          <w:tab w:val="left" w:pos="4751"/>
        </w:tabs>
        <w:spacing w:line="276" w:lineRule="auto"/>
        <w:ind w:right="51" w:firstLine="1701"/>
        <w:jc w:val="both"/>
        <w:rPr>
          <w:rFonts w:ascii="Arial" w:hAnsi="Arial" w:cs="Arial"/>
          <w:sz w:val="24"/>
          <w:szCs w:val="24"/>
          <w:lang w:val="es-CL"/>
        </w:rPr>
      </w:pPr>
    </w:p>
    <w:p w14:paraId="72FC8763" w14:textId="77777777" w:rsidR="006719FD" w:rsidRDefault="006719FD" w:rsidP="00CD5CDB">
      <w:pPr>
        <w:tabs>
          <w:tab w:val="left" w:pos="-284"/>
          <w:tab w:val="left" w:pos="0"/>
          <w:tab w:val="left" w:pos="851"/>
          <w:tab w:val="left" w:pos="4751"/>
        </w:tabs>
        <w:spacing w:line="276" w:lineRule="auto"/>
        <w:ind w:right="51" w:firstLine="1701"/>
        <w:jc w:val="both"/>
        <w:rPr>
          <w:rFonts w:ascii="Arial" w:hAnsi="Arial" w:cs="Arial"/>
          <w:sz w:val="24"/>
          <w:szCs w:val="24"/>
          <w:u w:val="single"/>
        </w:rPr>
      </w:pPr>
      <w:r>
        <w:rPr>
          <w:rFonts w:ascii="Arial" w:hAnsi="Arial" w:cs="Arial"/>
          <w:sz w:val="24"/>
          <w:szCs w:val="24"/>
        </w:rPr>
        <w:t>4.-</w:t>
      </w:r>
      <w:r w:rsidRPr="006719FD">
        <w:rPr>
          <w:rFonts w:ascii="Arial" w:hAnsi="Arial" w:cs="Arial"/>
          <w:sz w:val="24"/>
          <w:szCs w:val="24"/>
          <w:u w:val="single"/>
        </w:rPr>
        <w:t>Reservas y declaraciones interpretativas</w:t>
      </w:r>
    </w:p>
    <w:p w14:paraId="5CE2C30B" w14:textId="0D6EE7EF" w:rsidR="006719FD" w:rsidRPr="006719FD" w:rsidRDefault="006719FD" w:rsidP="00CD5CDB">
      <w:pPr>
        <w:tabs>
          <w:tab w:val="left" w:pos="-284"/>
          <w:tab w:val="left" w:pos="0"/>
          <w:tab w:val="left" w:pos="851"/>
          <w:tab w:val="left" w:pos="4751"/>
        </w:tabs>
        <w:spacing w:line="276" w:lineRule="auto"/>
        <w:ind w:right="51" w:firstLine="1701"/>
        <w:jc w:val="both"/>
        <w:rPr>
          <w:rFonts w:ascii="Arial" w:hAnsi="Arial" w:cs="Arial"/>
          <w:sz w:val="24"/>
          <w:szCs w:val="24"/>
        </w:rPr>
      </w:pPr>
      <w:r w:rsidRPr="006719FD">
        <w:rPr>
          <w:rFonts w:ascii="Arial" w:hAnsi="Arial" w:cs="Arial"/>
          <w:sz w:val="24"/>
          <w:szCs w:val="24"/>
        </w:rPr>
        <w:t xml:space="preserve">Esta Comisión </w:t>
      </w:r>
      <w:r>
        <w:rPr>
          <w:rFonts w:ascii="Arial" w:hAnsi="Arial" w:cs="Arial"/>
          <w:sz w:val="24"/>
          <w:szCs w:val="24"/>
        </w:rPr>
        <w:t>no sugerió</w:t>
      </w:r>
      <w:r w:rsidR="00613EDC">
        <w:rPr>
          <w:rFonts w:ascii="Arial" w:hAnsi="Arial" w:cs="Arial"/>
          <w:sz w:val="24"/>
          <w:szCs w:val="24"/>
        </w:rPr>
        <w:t>, en el marco de sus competencias,</w:t>
      </w:r>
      <w:r>
        <w:rPr>
          <w:rFonts w:ascii="Arial" w:hAnsi="Arial" w:cs="Arial"/>
          <w:sz w:val="24"/>
          <w:szCs w:val="24"/>
        </w:rPr>
        <w:t xml:space="preserve"> la formulación</w:t>
      </w:r>
      <w:r w:rsidR="00613EDC">
        <w:rPr>
          <w:rFonts w:ascii="Arial" w:hAnsi="Arial" w:cs="Arial"/>
          <w:sz w:val="24"/>
          <w:szCs w:val="24"/>
        </w:rPr>
        <w:t xml:space="preserve"> de reservas ni declaraciones interpretativas, conforme lo autoriza el inciso tercero N°1, del artículo 54</w:t>
      </w:r>
      <w:r w:rsidR="008E0851">
        <w:rPr>
          <w:rStyle w:val="Refdenotaalpie"/>
          <w:rFonts w:ascii="Arial" w:hAnsi="Arial" w:cs="Arial"/>
          <w:sz w:val="24"/>
          <w:szCs w:val="24"/>
        </w:rPr>
        <w:footnoteReference w:id="1"/>
      </w:r>
      <w:r w:rsidR="00613EDC">
        <w:rPr>
          <w:rFonts w:ascii="Arial" w:hAnsi="Arial" w:cs="Arial"/>
          <w:sz w:val="24"/>
          <w:szCs w:val="24"/>
        </w:rPr>
        <w:t xml:space="preserve"> de la Co</w:t>
      </w:r>
      <w:r w:rsidR="00522F4C">
        <w:rPr>
          <w:rFonts w:ascii="Arial" w:hAnsi="Arial" w:cs="Arial"/>
          <w:sz w:val="24"/>
          <w:szCs w:val="24"/>
        </w:rPr>
        <w:t>n</w:t>
      </w:r>
      <w:r w:rsidR="00613EDC">
        <w:rPr>
          <w:rFonts w:ascii="Arial" w:hAnsi="Arial" w:cs="Arial"/>
          <w:sz w:val="24"/>
          <w:szCs w:val="24"/>
        </w:rPr>
        <w:t xml:space="preserve">stitución Política de la República. </w:t>
      </w:r>
    </w:p>
    <w:p w14:paraId="0261745C" w14:textId="77777777" w:rsidR="006F7AF1" w:rsidRPr="006719FD" w:rsidRDefault="006F7AF1" w:rsidP="00CD5CDB">
      <w:pPr>
        <w:tabs>
          <w:tab w:val="left" w:pos="-284"/>
          <w:tab w:val="left" w:pos="0"/>
          <w:tab w:val="left" w:pos="851"/>
          <w:tab w:val="left" w:pos="4751"/>
        </w:tabs>
        <w:spacing w:line="276" w:lineRule="auto"/>
        <w:ind w:right="51" w:firstLine="1701"/>
        <w:jc w:val="both"/>
        <w:rPr>
          <w:rFonts w:ascii="Arial" w:hAnsi="Arial" w:cs="Arial"/>
          <w:sz w:val="24"/>
          <w:szCs w:val="24"/>
        </w:rPr>
      </w:pPr>
    </w:p>
    <w:p w14:paraId="6FB9AE75" w14:textId="77777777" w:rsidR="007E6FB8" w:rsidRPr="00FE4ED3" w:rsidRDefault="00613EDC" w:rsidP="00CD5CDB">
      <w:pPr>
        <w:tabs>
          <w:tab w:val="left" w:pos="-284"/>
          <w:tab w:val="left" w:pos="0"/>
          <w:tab w:val="left" w:pos="851"/>
          <w:tab w:val="left" w:pos="4751"/>
        </w:tabs>
        <w:spacing w:line="276" w:lineRule="auto"/>
        <w:ind w:right="51" w:firstLine="1701"/>
        <w:jc w:val="both"/>
        <w:rPr>
          <w:rFonts w:ascii="Arial" w:hAnsi="Arial" w:cs="Arial"/>
          <w:sz w:val="24"/>
          <w:szCs w:val="24"/>
          <w:u w:val="single"/>
        </w:rPr>
      </w:pPr>
      <w:r>
        <w:rPr>
          <w:rFonts w:ascii="Arial" w:hAnsi="Arial" w:cs="Arial"/>
          <w:sz w:val="24"/>
          <w:szCs w:val="24"/>
        </w:rPr>
        <w:t>5</w:t>
      </w:r>
      <w:r w:rsidR="009B242B" w:rsidRPr="00FE4ED3">
        <w:rPr>
          <w:rFonts w:ascii="Arial" w:hAnsi="Arial" w:cs="Arial"/>
          <w:sz w:val="24"/>
          <w:szCs w:val="24"/>
        </w:rPr>
        <w:t xml:space="preserve">- </w:t>
      </w:r>
      <w:r w:rsidR="006F6F8D" w:rsidRPr="00FE4ED3">
        <w:rPr>
          <w:rFonts w:ascii="Arial" w:hAnsi="Arial" w:cs="Arial"/>
          <w:sz w:val="24"/>
          <w:szCs w:val="24"/>
          <w:u w:val="single"/>
        </w:rPr>
        <w:t xml:space="preserve">Modificaciones introducidas al texto aprobado por la Comisión </w:t>
      </w:r>
      <w:r w:rsidR="00073427">
        <w:rPr>
          <w:rFonts w:ascii="Arial" w:hAnsi="Arial" w:cs="Arial"/>
          <w:sz w:val="24"/>
          <w:szCs w:val="24"/>
          <w:u w:val="single"/>
        </w:rPr>
        <w:t>t</w:t>
      </w:r>
      <w:r w:rsidR="006F6F8D" w:rsidRPr="00FE4ED3">
        <w:rPr>
          <w:rFonts w:ascii="Arial" w:hAnsi="Arial" w:cs="Arial"/>
          <w:sz w:val="24"/>
          <w:szCs w:val="24"/>
          <w:u w:val="single"/>
        </w:rPr>
        <w:t xml:space="preserve">écnica </w:t>
      </w:r>
    </w:p>
    <w:p w14:paraId="4166B1D2" w14:textId="77777777" w:rsidR="00EA4A98" w:rsidRDefault="00454067" w:rsidP="00CD5CDB">
      <w:pPr>
        <w:tabs>
          <w:tab w:val="left" w:pos="-284"/>
          <w:tab w:val="left" w:pos="0"/>
          <w:tab w:val="left" w:pos="851"/>
          <w:tab w:val="left" w:pos="4751"/>
        </w:tabs>
        <w:spacing w:line="276" w:lineRule="auto"/>
        <w:ind w:right="51" w:firstLine="1701"/>
        <w:jc w:val="both"/>
        <w:rPr>
          <w:rFonts w:ascii="Arial" w:hAnsi="Arial" w:cs="Arial"/>
          <w:sz w:val="24"/>
          <w:szCs w:val="24"/>
        </w:rPr>
      </w:pPr>
      <w:r w:rsidRPr="00FE4ED3">
        <w:rPr>
          <w:rFonts w:ascii="Arial" w:hAnsi="Arial" w:cs="Arial"/>
          <w:sz w:val="24"/>
          <w:szCs w:val="24"/>
        </w:rPr>
        <w:t>No corresponde</w:t>
      </w:r>
      <w:r w:rsidR="00EA4A98">
        <w:rPr>
          <w:rFonts w:ascii="Arial" w:hAnsi="Arial" w:cs="Arial"/>
          <w:sz w:val="24"/>
          <w:szCs w:val="24"/>
        </w:rPr>
        <w:t>n</w:t>
      </w:r>
      <w:r w:rsidRPr="00FE4ED3">
        <w:rPr>
          <w:rFonts w:ascii="Arial" w:hAnsi="Arial" w:cs="Arial"/>
          <w:sz w:val="24"/>
          <w:szCs w:val="24"/>
        </w:rPr>
        <w:t xml:space="preserve">, en virtud del </w:t>
      </w:r>
      <w:r w:rsidR="00613EDC">
        <w:rPr>
          <w:rFonts w:ascii="Arial" w:hAnsi="Arial" w:cs="Arial"/>
          <w:sz w:val="24"/>
          <w:szCs w:val="24"/>
        </w:rPr>
        <w:t xml:space="preserve">inciso primero N°1, del </w:t>
      </w:r>
      <w:r w:rsidRPr="00FE4ED3">
        <w:rPr>
          <w:rFonts w:ascii="Arial" w:hAnsi="Arial" w:cs="Arial"/>
          <w:sz w:val="24"/>
          <w:szCs w:val="24"/>
        </w:rPr>
        <w:t>artículo 54 de la Constitución Política de la República</w:t>
      </w:r>
      <w:r w:rsidR="0063211A" w:rsidRPr="00FE4ED3">
        <w:rPr>
          <w:rFonts w:ascii="Arial" w:hAnsi="Arial" w:cs="Arial"/>
          <w:sz w:val="24"/>
          <w:szCs w:val="24"/>
        </w:rPr>
        <w:t>.</w:t>
      </w:r>
    </w:p>
    <w:p w14:paraId="1BC0A4AD" w14:textId="77777777" w:rsidR="00BF7527" w:rsidRPr="00EA4A98" w:rsidRDefault="00BF7527" w:rsidP="00CD5CDB">
      <w:pPr>
        <w:tabs>
          <w:tab w:val="left" w:pos="-284"/>
          <w:tab w:val="left" w:pos="0"/>
          <w:tab w:val="left" w:pos="851"/>
          <w:tab w:val="left" w:pos="4751"/>
        </w:tabs>
        <w:spacing w:line="276" w:lineRule="auto"/>
        <w:ind w:right="51" w:firstLine="1701"/>
        <w:jc w:val="both"/>
        <w:rPr>
          <w:rFonts w:ascii="Arial" w:hAnsi="Arial" w:cs="Arial"/>
          <w:color w:val="FF0000"/>
          <w:sz w:val="24"/>
          <w:szCs w:val="24"/>
        </w:rPr>
      </w:pPr>
    </w:p>
    <w:p w14:paraId="487A3D17" w14:textId="77777777" w:rsidR="0068572F" w:rsidRDefault="00613EDC" w:rsidP="00CD5CDB">
      <w:pPr>
        <w:tabs>
          <w:tab w:val="left" w:pos="-284"/>
          <w:tab w:val="left" w:pos="0"/>
          <w:tab w:val="left" w:pos="851"/>
          <w:tab w:val="left" w:pos="4751"/>
        </w:tabs>
        <w:spacing w:line="276" w:lineRule="auto"/>
        <w:ind w:right="51" w:firstLine="1701"/>
        <w:jc w:val="both"/>
        <w:rPr>
          <w:rFonts w:ascii="Arial" w:hAnsi="Arial" w:cs="Arial"/>
          <w:sz w:val="24"/>
          <w:szCs w:val="24"/>
        </w:rPr>
      </w:pPr>
      <w:r>
        <w:rPr>
          <w:rFonts w:ascii="Arial" w:hAnsi="Arial" w:cs="Arial"/>
          <w:sz w:val="24"/>
          <w:szCs w:val="24"/>
        </w:rPr>
        <w:t>6</w:t>
      </w:r>
      <w:r w:rsidR="006F7AF1" w:rsidRPr="00FE4ED3">
        <w:rPr>
          <w:rFonts w:ascii="Arial" w:hAnsi="Arial" w:cs="Arial"/>
          <w:sz w:val="24"/>
          <w:szCs w:val="24"/>
        </w:rPr>
        <w:t>.-</w:t>
      </w:r>
      <w:r w:rsidR="006F7AF1" w:rsidRPr="00073427">
        <w:rPr>
          <w:rFonts w:ascii="Arial" w:hAnsi="Arial" w:cs="Arial"/>
          <w:sz w:val="24"/>
          <w:szCs w:val="24"/>
          <w:u w:val="single"/>
        </w:rPr>
        <w:t>Normas</w:t>
      </w:r>
      <w:r w:rsidR="005065C1" w:rsidRPr="00073427">
        <w:rPr>
          <w:rFonts w:ascii="Arial" w:hAnsi="Arial" w:cs="Arial"/>
          <w:sz w:val="24"/>
          <w:szCs w:val="24"/>
          <w:u w:val="single"/>
        </w:rPr>
        <w:t xml:space="preserve"> de quórum especial</w:t>
      </w:r>
    </w:p>
    <w:p w14:paraId="148676B2" w14:textId="18A919E8" w:rsidR="00EA4A98" w:rsidRDefault="00EA4A98" w:rsidP="00CD5CDB">
      <w:pPr>
        <w:tabs>
          <w:tab w:val="left" w:pos="-284"/>
          <w:tab w:val="left" w:pos="0"/>
          <w:tab w:val="left" w:pos="851"/>
          <w:tab w:val="left" w:pos="4751"/>
        </w:tabs>
        <w:spacing w:line="276" w:lineRule="auto"/>
        <w:ind w:right="51" w:firstLine="1701"/>
        <w:jc w:val="both"/>
        <w:rPr>
          <w:rFonts w:ascii="Arial" w:hAnsi="Arial" w:cs="Arial"/>
          <w:sz w:val="24"/>
          <w:szCs w:val="24"/>
        </w:rPr>
      </w:pPr>
      <w:r>
        <w:rPr>
          <w:rFonts w:ascii="Arial" w:hAnsi="Arial" w:cs="Arial"/>
          <w:sz w:val="24"/>
          <w:szCs w:val="24"/>
        </w:rPr>
        <w:t xml:space="preserve">El artículo único no contiene normas que deban </w:t>
      </w:r>
      <w:r w:rsidR="00522F4C">
        <w:rPr>
          <w:rFonts w:ascii="Arial" w:hAnsi="Arial" w:cs="Arial"/>
          <w:sz w:val="24"/>
          <w:szCs w:val="24"/>
        </w:rPr>
        <w:t>aprobarse</w:t>
      </w:r>
      <w:r>
        <w:rPr>
          <w:rFonts w:ascii="Arial" w:hAnsi="Arial" w:cs="Arial"/>
          <w:sz w:val="24"/>
          <w:szCs w:val="24"/>
        </w:rPr>
        <w:t xml:space="preserve"> con quórum especi</w:t>
      </w:r>
      <w:r w:rsidR="00073427">
        <w:rPr>
          <w:rFonts w:ascii="Arial" w:hAnsi="Arial" w:cs="Arial"/>
          <w:sz w:val="24"/>
          <w:szCs w:val="24"/>
        </w:rPr>
        <w:t>a</w:t>
      </w:r>
      <w:r>
        <w:rPr>
          <w:rFonts w:ascii="Arial" w:hAnsi="Arial" w:cs="Arial"/>
          <w:sz w:val="24"/>
          <w:szCs w:val="24"/>
        </w:rPr>
        <w:t>l</w:t>
      </w:r>
      <w:r w:rsidR="00073427">
        <w:rPr>
          <w:rFonts w:ascii="Arial" w:hAnsi="Arial" w:cs="Arial"/>
          <w:sz w:val="24"/>
          <w:szCs w:val="24"/>
        </w:rPr>
        <w:t>.</w:t>
      </w:r>
    </w:p>
    <w:p w14:paraId="05844E41" w14:textId="77777777" w:rsidR="00613EDC" w:rsidRDefault="00613EDC" w:rsidP="00CD5CDB">
      <w:pPr>
        <w:tabs>
          <w:tab w:val="left" w:pos="-284"/>
          <w:tab w:val="left" w:pos="0"/>
          <w:tab w:val="left" w:pos="851"/>
          <w:tab w:val="left" w:pos="4751"/>
        </w:tabs>
        <w:spacing w:line="276" w:lineRule="auto"/>
        <w:ind w:right="51" w:firstLine="1701"/>
        <w:jc w:val="both"/>
        <w:rPr>
          <w:rFonts w:ascii="Arial" w:hAnsi="Arial" w:cs="Arial"/>
          <w:sz w:val="24"/>
          <w:szCs w:val="24"/>
        </w:rPr>
      </w:pPr>
    </w:p>
    <w:p w14:paraId="3FBAC0F2" w14:textId="77777777" w:rsidR="008E0851" w:rsidRDefault="00613EDC" w:rsidP="00CD5CDB">
      <w:pPr>
        <w:spacing w:line="276" w:lineRule="auto"/>
        <w:ind w:firstLine="1701"/>
        <w:jc w:val="both"/>
        <w:rPr>
          <w:rFonts w:ascii="Arial" w:hAnsi="Arial" w:cs="Arial"/>
          <w:sz w:val="24"/>
          <w:szCs w:val="24"/>
        </w:rPr>
      </w:pPr>
      <w:r>
        <w:rPr>
          <w:rFonts w:ascii="Arial" w:hAnsi="Arial" w:cs="Arial"/>
          <w:sz w:val="24"/>
          <w:szCs w:val="24"/>
        </w:rPr>
        <w:t>7.-</w:t>
      </w:r>
      <w:r w:rsidR="008E0851">
        <w:rPr>
          <w:rFonts w:ascii="Arial" w:hAnsi="Arial" w:cs="Arial"/>
          <w:sz w:val="24"/>
          <w:szCs w:val="24"/>
        </w:rPr>
        <w:t xml:space="preserve"> </w:t>
      </w:r>
      <w:r w:rsidR="008E0851" w:rsidRPr="008E0851">
        <w:rPr>
          <w:rFonts w:ascii="Arial" w:hAnsi="Arial" w:cs="Arial"/>
          <w:sz w:val="24"/>
          <w:szCs w:val="24"/>
          <w:u w:val="single"/>
        </w:rPr>
        <w:t>Votación</w:t>
      </w:r>
    </w:p>
    <w:p w14:paraId="7A88D9A1" w14:textId="77777777" w:rsidR="000B1704" w:rsidRPr="000B1704" w:rsidRDefault="00613EDC" w:rsidP="000B1704">
      <w:pPr>
        <w:spacing w:line="276" w:lineRule="auto"/>
        <w:ind w:firstLine="1701"/>
        <w:jc w:val="both"/>
        <w:rPr>
          <w:rFonts w:ascii="Arial" w:hAnsi="Arial" w:cs="Arial"/>
          <w:sz w:val="24"/>
          <w:szCs w:val="24"/>
        </w:rPr>
      </w:pPr>
      <w:r w:rsidRPr="000B1704">
        <w:rPr>
          <w:rFonts w:ascii="Arial" w:hAnsi="Arial" w:cs="Arial"/>
          <w:sz w:val="24"/>
          <w:szCs w:val="24"/>
        </w:rPr>
        <w:t xml:space="preserve"> El artículo único fue aprobado, en los mismos términos</w:t>
      </w:r>
      <w:r w:rsidR="008E0851" w:rsidRPr="000B1704">
        <w:rPr>
          <w:rFonts w:ascii="Arial" w:hAnsi="Arial" w:cs="Arial"/>
          <w:sz w:val="24"/>
          <w:szCs w:val="24"/>
        </w:rPr>
        <w:t xml:space="preserve"> propuestos</w:t>
      </w:r>
      <w:r w:rsidRPr="000B1704">
        <w:rPr>
          <w:rFonts w:ascii="Arial" w:hAnsi="Arial" w:cs="Arial"/>
          <w:sz w:val="24"/>
          <w:szCs w:val="24"/>
        </w:rPr>
        <w:t xml:space="preserve">, </w:t>
      </w:r>
      <w:r w:rsidR="000B1704" w:rsidRPr="000B1704">
        <w:rPr>
          <w:rFonts w:ascii="Arial" w:hAnsi="Arial" w:cs="Arial"/>
          <w:sz w:val="24"/>
          <w:szCs w:val="24"/>
        </w:rPr>
        <w:t>por la mayoría de ocho de los integrantes presentes señores Kuschel, Lorenzini (Presidente), Melero, Monsalve, Ortiz, Pérez,</w:t>
      </w:r>
      <w:r w:rsidR="000B1704">
        <w:rPr>
          <w:rFonts w:ascii="Arial" w:hAnsi="Arial" w:cs="Arial"/>
          <w:sz w:val="24"/>
          <w:szCs w:val="24"/>
        </w:rPr>
        <w:t xml:space="preserve"> don Leopoldo,</w:t>
      </w:r>
      <w:r w:rsidR="000B1704" w:rsidRPr="000B1704">
        <w:rPr>
          <w:rFonts w:ascii="Arial" w:hAnsi="Arial" w:cs="Arial"/>
          <w:sz w:val="24"/>
          <w:szCs w:val="24"/>
        </w:rPr>
        <w:t xml:space="preserve"> Santana y Von Mühlenbrock. El diputado Jackson se abstuvo. </w:t>
      </w:r>
    </w:p>
    <w:p w14:paraId="6F11EDE5" w14:textId="77777777" w:rsidR="001A4626" w:rsidRDefault="001A4626" w:rsidP="000B1704">
      <w:pPr>
        <w:spacing w:line="276" w:lineRule="auto"/>
        <w:ind w:firstLine="1701"/>
        <w:jc w:val="both"/>
        <w:rPr>
          <w:rFonts w:ascii="Arial" w:hAnsi="Arial" w:cs="Arial"/>
          <w:sz w:val="24"/>
          <w:szCs w:val="24"/>
        </w:rPr>
      </w:pPr>
    </w:p>
    <w:p w14:paraId="1DE06680" w14:textId="77777777" w:rsidR="00073427" w:rsidRDefault="001A4626" w:rsidP="00CD5CDB">
      <w:pPr>
        <w:tabs>
          <w:tab w:val="left" w:pos="-284"/>
          <w:tab w:val="left" w:pos="0"/>
          <w:tab w:val="left" w:pos="851"/>
          <w:tab w:val="left" w:pos="4751"/>
        </w:tabs>
        <w:spacing w:line="276" w:lineRule="auto"/>
        <w:ind w:right="51" w:firstLine="1701"/>
        <w:jc w:val="both"/>
        <w:rPr>
          <w:rFonts w:ascii="Arial" w:hAnsi="Arial" w:cs="Arial"/>
          <w:sz w:val="24"/>
          <w:szCs w:val="24"/>
        </w:rPr>
      </w:pPr>
      <w:r>
        <w:rPr>
          <w:rFonts w:ascii="Arial" w:hAnsi="Arial" w:cs="Arial"/>
          <w:sz w:val="24"/>
          <w:szCs w:val="24"/>
        </w:rPr>
        <w:t>8</w:t>
      </w:r>
      <w:r w:rsidRPr="00FE4ED3">
        <w:rPr>
          <w:rFonts w:ascii="Arial" w:hAnsi="Arial" w:cs="Arial"/>
          <w:sz w:val="24"/>
          <w:szCs w:val="24"/>
        </w:rPr>
        <w:t xml:space="preserve">- </w:t>
      </w:r>
      <w:r w:rsidRPr="00073427">
        <w:rPr>
          <w:rFonts w:ascii="Arial" w:hAnsi="Arial" w:cs="Arial"/>
          <w:sz w:val="24"/>
          <w:szCs w:val="24"/>
          <w:u w:val="single"/>
        </w:rPr>
        <w:t>Diputado Informante</w:t>
      </w:r>
      <w:r>
        <w:rPr>
          <w:rFonts w:ascii="Arial" w:hAnsi="Arial" w:cs="Arial"/>
          <w:sz w:val="24"/>
          <w:szCs w:val="24"/>
        </w:rPr>
        <w:t xml:space="preserve">: </w:t>
      </w:r>
      <w:r w:rsidRPr="00FE4ED3">
        <w:rPr>
          <w:rFonts w:ascii="Arial" w:hAnsi="Arial" w:cs="Arial"/>
          <w:sz w:val="24"/>
          <w:szCs w:val="24"/>
        </w:rPr>
        <w:t xml:space="preserve">Se designó </w:t>
      </w:r>
      <w:r w:rsidR="00DA76C2">
        <w:rPr>
          <w:rFonts w:ascii="Arial" w:hAnsi="Arial" w:cs="Arial"/>
          <w:sz w:val="24"/>
          <w:szCs w:val="24"/>
        </w:rPr>
        <w:t>al señor Daniel Núñez Arancibia.</w:t>
      </w:r>
    </w:p>
    <w:p w14:paraId="44C8FD2A" w14:textId="77777777" w:rsidR="00FC6FAC" w:rsidRPr="00FE4ED3" w:rsidRDefault="00FC6FAC" w:rsidP="00CD5CDB">
      <w:pPr>
        <w:tabs>
          <w:tab w:val="left" w:pos="-284"/>
          <w:tab w:val="left" w:pos="0"/>
          <w:tab w:val="left" w:pos="851"/>
        </w:tabs>
        <w:spacing w:line="276" w:lineRule="auto"/>
        <w:ind w:right="51" w:firstLine="1701"/>
        <w:jc w:val="both"/>
        <w:rPr>
          <w:rFonts w:ascii="Arial" w:hAnsi="Arial" w:cs="Arial"/>
          <w:sz w:val="24"/>
          <w:szCs w:val="24"/>
        </w:rPr>
      </w:pPr>
    </w:p>
    <w:p w14:paraId="6DA504BA" w14:textId="77777777" w:rsidR="004856E5" w:rsidRPr="00147C92" w:rsidRDefault="004856E5" w:rsidP="00CD5CDB">
      <w:pPr>
        <w:spacing w:line="276" w:lineRule="auto"/>
        <w:jc w:val="both"/>
        <w:rPr>
          <w:rFonts w:ascii="Arial" w:hAnsi="Arial" w:cs="Arial"/>
          <w:b/>
          <w:sz w:val="24"/>
          <w:szCs w:val="24"/>
          <w:lang w:val="es-MX"/>
        </w:rPr>
      </w:pPr>
    </w:p>
    <w:p w14:paraId="6EB356EB" w14:textId="77777777" w:rsidR="002408A6" w:rsidRDefault="002408A6" w:rsidP="002408A6">
      <w:pPr>
        <w:spacing w:line="276" w:lineRule="auto"/>
        <w:jc w:val="both"/>
        <w:rPr>
          <w:rFonts w:ascii="Arial" w:hAnsi="Arial" w:cs="Arial"/>
          <w:b/>
          <w:sz w:val="24"/>
          <w:szCs w:val="24"/>
          <w:lang w:val="es-MX"/>
        </w:rPr>
      </w:pPr>
      <w:r>
        <w:rPr>
          <w:rFonts w:ascii="Arial" w:hAnsi="Arial" w:cs="Arial"/>
          <w:b/>
          <w:sz w:val="24"/>
          <w:szCs w:val="24"/>
          <w:lang w:val="es-MX"/>
        </w:rPr>
        <w:t>II.-</w:t>
      </w:r>
      <w:r w:rsidRPr="0063120A">
        <w:rPr>
          <w:rFonts w:ascii="Arial" w:hAnsi="Arial" w:cs="Arial"/>
          <w:b/>
          <w:sz w:val="24"/>
          <w:szCs w:val="24"/>
          <w:lang w:val="es-MX"/>
        </w:rPr>
        <w:t>-</w:t>
      </w:r>
      <w:r>
        <w:rPr>
          <w:rFonts w:ascii="Arial" w:hAnsi="Arial" w:cs="Arial"/>
          <w:b/>
          <w:sz w:val="24"/>
          <w:szCs w:val="24"/>
          <w:lang w:val="es-MX"/>
        </w:rPr>
        <w:t>ANTECEDENTES TENIDOS A LA VISTA</w:t>
      </w:r>
    </w:p>
    <w:p w14:paraId="711A5F3E" w14:textId="77777777" w:rsidR="00593890" w:rsidRDefault="00593890" w:rsidP="00593890">
      <w:pPr>
        <w:jc w:val="both"/>
        <w:rPr>
          <w:rFonts w:ascii="Arial" w:hAnsi="Arial" w:cs="Arial"/>
          <w:b/>
          <w:sz w:val="24"/>
        </w:rPr>
      </w:pPr>
    </w:p>
    <w:p w14:paraId="1BC4C0B1" w14:textId="77777777" w:rsidR="000B1A1B" w:rsidRDefault="00593890" w:rsidP="00593890">
      <w:pPr>
        <w:jc w:val="both"/>
        <w:rPr>
          <w:b/>
          <w:sz w:val="24"/>
        </w:rPr>
      </w:pPr>
      <w:r w:rsidRPr="00593890">
        <w:rPr>
          <w:rFonts w:ascii="Arial" w:hAnsi="Arial" w:cs="Arial"/>
          <w:b/>
          <w:sz w:val="24"/>
        </w:rPr>
        <w:t>Informe de la Biblioteca del Congreso Nacional</w:t>
      </w:r>
      <w:r>
        <w:rPr>
          <w:rStyle w:val="Refdenotaalpie"/>
          <w:rFonts w:ascii="Arial" w:hAnsi="Arial" w:cs="Arial"/>
          <w:b/>
          <w:sz w:val="24"/>
          <w:szCs w:val="24"/>
          <w:lang w:val="es-MX"/>
        </w:rPr>
        <w:footnoteReference w:id="2"/>
      </w:r>
    </w:p>
    <w:p w14:paraId="662100D1" w14:textId="77777777" w:rsidR="00593890" w:rsidRDefault="00593890" w:rsidP="00593890">
      <w:pPr>
        <w:spacing w:line="276" w:lineRule="auto"/>
        <w:ind w:firstLine="1701"/>
        <w:jc w:val="both"/>
        <w:rPr>
          <w:rFonts w:ascii="Arial" w:hAnsi="Arial" w:cs="Arial"/>
          <w:bCs/>
          <w:color w:val="000000"/>
          <w:spacing w:val="4"/>
          <w:sz w:val="24"/>
          <w:szCs w:val="24"/>
        </w:rPr>
      </w:pPr>
    </w:p>
    <w:p w14:paraId="1B294CD0"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El Tratado de Libre Comercio (TLC) entre ambos países fue una negociación</w:t>
      </w:r>
      <w:r>
        <w:rPr>
          <w:rFonts w:ascii="Arial" w:hAnsi="Arial" w:cs="Arial"/>
          <w:bCs/>
          <w:color w:val="000000"/>
          <w:spacing w:val="4"/>
          <w:sz w:val="24"/>
          <w:szCs w:val="24"/>
        </w:rPr>
        <w:t xml:space="preserve"> </w:t>
      </w:r>
      <w:r w:rsidRPr="00593890">
        <w:rPr>
          <w:rFonts w:ascii="Arial" w:hAnsi="Arial" w:cs="Arial"/>
          <w:bCs/>
          <w:color w:val="000000"/>
          <w:spacing w:val="4"/>
          <w:sz w:val="24"/>
          <w:szCs w:val="24"/>
        </w:rPr>
        <w:t>rápida y efectiva. En junio de 2002, China propuso a Chile comenzar las negociaciones de un acuerdo comercial y el lanzamiento de las tratativas se llevó a cabo en la Cumbre de Líderes APEC, celebrada en Santiago de Chile, en noviembre de 2004.</w:t>
      </w:r>
    </w:p>
    <w:p w14:paraId="1A7476D8" w14:textId="77777777" w:rsid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 xml:space="preserve">Las negociaciones comenzaron en Beijing en enero del 2005 y luego de cinco rondas, culminaron en noviembre del mismo año. A partir de la entrada en vigencia del TLC, el 1° de octubre de 2006, China fue aumentando su </w:t>
      </w:r>
      <w:r w:rsidRPr="00593890">
        <w:rPr>
          <w:rFonts w:ascii="Arial" w:hAnsi="Arial" w:cs="Arial"/>
          <w:bCs/>
          <w:color w:val="000000"/>
          <w:spacing w:val="4"/>
          <w:sz w:val="24"/>
          <w:szCs w:val="24"/>
        </w:rPr>
        <w:lastRenderedPageBreak/>
        <w:t>presencia en el comercio nacional hasta convertirse el 2015 en el primer socio comercial de Chile y receptor del 28,48% de las exportaciones totales de Chile al mundo.</w:t>
      </w:r>
    </w:p>
    <w:p w14:paraId="0100078D"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El TLC consta de una negociación progresiva con tres etapas:</w:t>
      </w:r>
    </w:p>
    <w:p w14:paraId="792E5FD8" w14:textId="77777777" w:rsidR="00593890" w:rsidRPr="00593890" w:rsidRDefault="00593890" w:rsidP="00593890">
      <w:pPr>
        <w:spacing w:line="276" w:lineRule="auto"/>
        <w:ind w:firstLine="1701"/>
        <w:jc w:val="both"/>
        <w:rPr>
          <w:rFonts w:ascii="Arial" w:hAnsi="Arial" w:cs="Arial"/>
          <w:bCs/>
          <w:color w:val="000000"/>
          <w:spacing w:val="4"/>
          <w:sz w:val="24"/>
          <w:szCs w:val="24"/>
        </w:rPr>
      </w:pPr>
    </w:p>
    <w:p w14:paraId="031FE772" w14:textId="6F52C9FE"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I)</w:t>
      </w:r>
      <w:r w:rsidRPr="00593890">
        <w:rPr>
          <w:rFonts w:ascii="Arial" w:hAnsi="Arial" w:cs="Arial"/>
          <w:bCs/>
          <w:color w:val="000000"/>
          <w:spacing w:val="4"/>
          <w:sz w:val="24"/>
          <w:szCs w:val="24"/>
        </w:rPr>
        <w:tab/>
        <w:t xml:space="preserve">Tratado de Libre Comercio en Bienes, suscrito en noviembre de 2005 en </w:t>
      </w:r>
      <w:r w:rsidR="00522F4C" w:rsidRPr="00593890">
        <w:rPr>
          <w:rFonts w:ascii="Arial" w:hAnsi="Arial" w:cs="Arial"/>
          <w:bCs/>
          <w:color w:val="000000"/>
          <w:spacing w:val="4"/>
          <w:sz w:val="24"/>
          <w:szCs w:val="24"/>
        </w:rPr>
        <w:t>Bausán</w:t>
      </w:r>
      <w:r w:rsidRPr="00593890">
        <w:rPr>
          <w:rFonts w:ascii="Arial" w:hAnsi="Arial" w:cs="Arial"/>
          <w:bCs/>
          <w:color w:val="000000"/>
          <w:spacing w:val="4"/>
          <w:sz w:val="24"/>
          <w:szCs w:val="24"/>
        </w:rPr>
        <w:t>, Corea del Sur, en el contexto de la Cumbre de Líderes APEC de ese año, entrando plenamente en vigencia en octubre de 2006.</w:t>
      </w:r>
    </w:p>
    <w:p w14:paraId="79FEB6BC"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II)</w:t>
      </w:r>
      <w:r w:rsidRPr="00593890">
        <w:rPr>
          <w:rFonts w:ascii="Arial" w:hAnsi="Arial" w:cs="Arial"/>
          <w:bCs/>
          <w:color w:val="000000"/>
          <w:spacing w:val="4"/>
          <w:sz w:val="24"/>
          <w:szCs w:val="24"/>
        </w:rPr>
        <w:tab/>
        <w:t>Acuerdo Suplementario de Comercio de Servicios, suscrito en abril de 2008, y en vigencia desde agosto de 2010.</w:t>
      </w:r>
    </w:p>
    <w:p w14:paraId="3BB53E97"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III)</w:t>
      </w:r>
      <w:r w:rsidRPr="00593890">
        <w:rPr>
          <w:rFonts w:ascii="Arial" w:hAnsi="Arial" w:cs="Arial"/>
          <w:bCs/>
          <w:color w:val="000000"/>
          <w:spacing w:val="4"/>
          <w:sz w:val="24"/>
          <w:szCs w:val="24"/>
        </w:rPr>
        <w:tab/>
        <w:t>Acuerdo Suplementario de Inversiones, suscrito en septiembre de 2012, durante la Cumbre de Líderes de APEC, en Vladivostok Federación Rusa. Entró en vigencia el 8 de febrero de 2014.</w:t>
      </w:r>
    </w:p>
    <w:p w14:paraId="332EEDD0"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En lo que respecta a las condiciones de acceso al mercado para los productos chilenos, desde el 1 de enero de 2015, el 97,2% de las mercancías chilenas (7.336 categorías de productos) pueden ingresar al mercado chino libres de arancel. En tanto, desde la misma fecha, los productos originarios de China ingresan libre de derechos aduaneros, a excepción del 2% de los productos contenidos en la Lista de Exclusión del TLC.</w:t>
      </w:r>
    </w:p>
    <w:p w14:paraId="2A661EED"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Tras tres rondas de negociaciones, el 30 de Agosto del 2017, en Santiago, se dieron por concluidas las negociaciones técnicas del proceso de profundización. El día 11 de noviembre en Da Nang, Vietnam, el instrumento que profundiza el acuerdo fue firmado en presencia de los presidentes de ambos países.</w:t>
      </w:r>
    </w:p>
    <w:p w14:paraId="2ABD4630" w14:textId="77777777" w:rsid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Los principales logros de esta profundización se resumen a continuación:</w:t>
      </w:r>
    </w:p>
    <w:p w14:paraId="3A3A5BFB"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Capítulo Comercio de Bienes: Incorpora acceso preferencial para un número de productos que no fue considerado en el Acuerdo Original. Con esto, China rebajará en un periodo de 3 años, 30 ítems arancelarios del sector forestal (tableros de madera, algunas maderas estratificadas y contrachapadas, y ciertos productos de pino radiata, tales como marcos, paletas, barriles). Por su parte, Chile otorgará el acceso libre de aranceles para 24 ítems arancelarios originarios de China, entre ellos azúcares (glucosa, fructosa), textiles (algunos tejidos de lana, hilados y tejidos de fibras sintéticas, ropa de algodón, de lana, pelo fino y de fibras sintéticas), y ciertos productos industriales (algunos tipos de refrigerador y secadoras entre otros).</w:t>
      </w:r>
    </w:p>
    <w:p w14:paraId="6BE77D07"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Capítulo Comercio de Servicios: Reemplaza la lista de compromisos establecida en el acuerdo original. En este sentido, la mejora de acuerdo asume nuevos compromisos que China había concedido previamente en sus acuerdos bilaterales (Australia y a Corea del Sur)</w:t>
      </w:r>
    </w:p>
    <w:p w14:paraId="2AB4755F"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Capítulo de Comercio Electrónico: Se establecen obligaciones sobre el marco que rige para las transacciones electrónicas, la autentificación electrónica, la protección al consumidor en línea y un marco de protección a la información personal.</w:t>
      </w:r>
    </w:p>
    <w:p w14:paraId="680792DA"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lastRenderedPageBreak/>
        <w:t>Capítulo Reglas de origen: Se realizaron mejoras al Capitulo Original, básicamente en torno a la adopción de medidas de facilitación del comercio: a) De Minimis, el criterio fue flexibilizado, subiendo la tolerancia de productos no originarios de un 8% a un 10%; b) Transporte Directo, aumentó de 30 días a 12 meses, el periodo de permanencia de las mercancías en un país No Parte mientras se encuentre en un país en tránsito o transbordo; c) Certificación de Origen, se podrá delegar la emisión de certificados a entidades públicas o privadas, además el certificado podrá ser llenado no solo por el exportador, sino que también por el productor; d) Devolución de derechos, ya no existen restricciones de tiempo para solicitar el Certificado de Origen en caso de reembolso, eliminando el tope de 30 días posterior a la exportación; y e) Excepciones al Certificado de Origen, en el acuerdo original las importaciones menores a U$S600 se eximían de presentar certificado, ahora la excepción se ha elevado a U$S1.000.</w:t>
      </w:r>
    </w:p>
    <w:p w14:paraId="0599B121"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Capítulo de Procedimientos Aduaneros y Facilitación de Comercio: El acuerdo original no incluía un capítulo de facilitación de comercio propiamente tal. Las nuevas disposiciones han establecido disciplinas que tienen por finalidad dotar al comercio bilateral de un marco jurídico vinculante, estableciendo mecanismos que ayuden a exportadores e importadores dar cumplimento oportuno a sus obligaciones, disponiendo de instrumentos que faciliten las operaciones de comercio exterior legitimas.</w:t>
      </w:r>
    </w:p>
    <w:p w14:paraId="742D0318" w14:textId="77777777" w:rsidR="00593890" w:rsidRP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Capítulo de Cooperación Técnica y Económica: Involucra artículos de cooperación en: Agricultura, Protección de los Intereses y Derechos de los Consumidores Financieros, Cooperación en Pagos Transfronterizos y asuntos de supervisión, y Cadenas Globales de Valor.</w:t>
      </w:r>
    </w:p>
    <w:p w14:paraId="7DDCB430" w14:textId="77777777" w:rsid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Capítulo de Reglas Relativas al Comercio: Se han establecido subcapítulos de: a) Política de Competencia, el cual incorpora al acuerdo materias relativas al establecimiento y/o mantención de leyes y autoridades dedicadas a promover principios básicos como no discriminación, transparencia, cooperación y consultas; b) Comercio y Medioambiente, el cual contiene prescripciones que reafirman el desarrollo económico, social ambiental en su carácter de interdependencia. Con él las partes asegurarán altos niveles de protección medioambiental, acordando que las leyes y regulaciones de ambas no serán utilizadas con propósitos proteccionistas.</w:t>
      </w:r>
    </w:p>
    <w:p w14:paraId="16F99B0A" w14:textId="77777777" w:rsidR="00593890" w:rsidRDefault="00593890" w:rsidP="00593890">
      <w:pPr>
        <w:spacing w:line="276" w:lineRule="auto"/>
        <w:ind w:firstLine="1701"/>
        <w:jc w:val="both"/>
        <w:rPr>
          <w:rFonts w:ascii="Arial" w:hAnsi="Arial" w:cs="Arial"/>
          <w:bCs/>
          <w:color w:val="000000"/>
          <w:spacing w:val="4"/>
          <w:sz w:val="24"/>
          <w:szCs w:val="24"/>
        </w:rPr>
      </w:pPr>
      <w:r w:rsidRPr="00593890">
        <w:rPr>
          <w:rFonts w:ascii="Arial" w:hAnsi="Arial" w:cs="Arial"/>
          <w:bCs/>
          <w:color w:val="000000"/>
          <w:spacing w:val="4"/>
          <w:sz w:val="24"/>
          <w:szCs w:val="24"/>
        </w:rPr>
        <w:t>Se presenta a continuación la ficha de mercado elaborada por la DIRECON, que contiene información actualizada sobre indicadores macroeconómicos y comercio bilateral entre Chi</w:t>
      </w:r>
      <w:r>
        <w:rPr>
          <w:rFonts w:ascii="Arial" w:hAnsi="Arial" w:cs="Arial"/>
          <w:bCs/>
          <w:color w:val="000000"/>
          <w:spacing w:val="4"/>
          <w:sz w:val="24"/>
          <w:szCs w:val="24"/>
        </w:rPr>
        <w:t>le y la República Popular China:</w:t>
      </w:r>
    </w:p>
    <w:p w14:paraId="00BD7D05" w14:textId="1F88C891" w:rsidR="00593890" w:rsidRDefault="00593890" w:rsidP="00863503">
      <w:pPr>
        <w:spacing w:line="276" w:lineRule="auto"/>
        <w:jc w:val="both"/>
        <w:rPr>
          <w:rFonts w:ascii="Arial" w:hAnsi="Arial" w:cs="Arial"/>
          <w:bCs/>
          <w:color w:val="000000"/>
          <w:spacing w:val="4"/>
          <w:sz w:val="24"/>
          <w:szCs w:val="24"/>
        </w:rPr>
      </w:pPr>
    </w:p>
    <w:p w14:paraId="0071C6A4" w14:textId="77777777" w:rsidR="00593890" w:rsidRDefault="00593890" w:rsidP="00593890">
      <w:pPr>
        <w:spacing w:line="276" w:lineRule="auto"/>
        <w:ind w:firstLine="1701"/>
        <w:jc w:val="both"/>
        <w:rPr>
          <w:rFonts w:ascii="Arial" w:hAnsi="Arial" w:cs="Arial"/>
          <w:bCs/>
          <w:color w:val="000000"/>
          <w:spacing w:val="4"/>
          <w:sz w:val="24"/>
          <w:szCs w:val="24"/>
        </w:rPr>
      </w:pPr>
    </w:p>
    <w:p w14:paraId="27DE404C" w14:textId="77777777" w:rsidR="00593890" w:rsidRDefault="00593890" w:rsidP="00593890">
      <w:pPr>
        <w:spacing w:line="276" w:lineRule="auto"/>
        <w:ind w:firstLine="1701"/>
        <w:jc w:val="both"/>
        <w:rPr>
          <w:rFonts w:ascii="Arial" w:hAnsi="Arial" w:cs="Arial"/>
          <w:bCs/>
          <w:color w:val="000000"/>
          <w:spacing w:val="4"/>
          <w:sz w:val="24"/>
          <w:szCs w:val="24"/>
        </w:rPr>
      </w:pPr>
    </w:p>
    <w:p w14:paraId="145563DC" w14:textId="77777777" w:rsidR="00593890" w:rsidRDefault="00593890" w:rsidP="00593890">
      <w:pPr>
        <w:spacing w:line="276" w:lineRule="auto"/>
        <w:ind w:firstLine="1701"/>
        <w:jc w:val="both"/>
        <w:rPr>
          <w:rFonts w:ascii="Arial" w:hAnsi="Arial" w:cs="Arial"/>
          <w:bCs/>
          <w:color w:val="000000"/>
          <w:spacing w:val="4"/>
          <w:sz w:val="24"/>
          <w:szCs w:val="24"/>
        </w:rPr>
      </w:pPr>
    </w:p>
    <w:p w14:paraId="6EE1C090" w14:textId="629A1E0A" w:rsidR="00ED4598" w:rsidRDefault="00ED4598" w:rsidP="00593890">
      <w:pPr>
        <w:spacing w:line="276" w:lineRule="auto"/>
        <w:ind w:firstLine="1701"/>
        <w:jc w:val="both"/>
        <w:rPr>
          <w:rFonts w:ascii="Arial" w:hAnsi="Arial" w:cs="Arial"/>
          <w:bCs/>
          <w:color w:val="000000"/>
          <w:spacing w:val="4"/>
          <w:sz w:val="24"/>
          <w:szCs w:val="24"/>
        </w:rPr>
      </w:pPr>
    </w:p>
    <w:p w14:paraId="6FC1384F" w14:textId="77777777" w:rsidR="00ED4598" w:rsidRDefault="00ED4598" w:rsidP="00593890">
      <w:pPr>
        <w:spacing w:line="276" w:lineRule="auto"/>
        <w:ind w:firstLine="1701"/>
        <w:jc w:val="both"/>
        <w:rPr>
          <w:rFonts w:ascii="Arial" w:hAnsi="Arial" w:cs="Arial"/>
          <w:bCs/>
          <w:color w:val="000000"/>
          <w:spacing w:val="4"/>
          <w:sz w:val="24"/>
          <w:szCs w:val="24"/>
        </w:rPr>
      </w:pPr>
    </w:p>
    <w:p w14:paraId="54AEE0AB" w14:textId="77777777" w:rsidR="00ED4598" w:rsidRDefault="00ED4598" w:rsidP="00593890">
      <w:pPr>
        <w:spacing w:line="276" w:lineRule="auto"/>
        <w:ind w:firstLine="1701"/>
        <w:jc w:val="both"/>
        <w:rPr>
          <w:rFonts w:ascii="Arial" w:hAnsi="Arial" w:cs="Arial"/>
          <w:bCs/>
          <w:color w:val="000000"/>
          <w:spacing w:val="4"/>
          <w:sz w:val="24"/>
          <w:szCs w:val="24"/>
        </w:rPr>
      </w:pPr>
    </w:p>
    <w:p w14:paraId="2BF87819" w14:textId="77777777" w:rsidR="00ED4598" w:rsidRDefault="00ED4598" w:rsidP="00593890">
      <w:pPr>
        <w:spacing w:line="276" w:lineRule="auto"/>
        <w:ind w:firstLine="1701"/>
        <w:jc w:val="both"/>
        <w:rPr>
          <w:rFonts w:ascii="Arial" w:hAnsi="Arial" w:cs="Arial"/>
          <w:bCs/>
          <w:color w:val="000000"/>
          <w:spacing w:val="4"/>
          <w:sz w:val="24"/>
          <w:szCs w:val="24"/>
        </w:rPr>
      </w:pPr>
    </w:p>
    <w:p w14:paraId="3BDC171C" w14:textId="450CA7DA" w:rsidR="00ED4598" w:rsidRDefault="00ED4598" w:rsidP="00593890">
      <w:pPr>
        <w:spacing w:line="276" w:lineRule="auto"/>
        <w:ind w:firstLine="1701"/>
        <w:jc w:val="both"/>
        <w:rPr>
          <w:rFonts w:ascii="Arial" w:hAnsi="Arial" w:cs="Arial"/>
          <w:bCs/>
          <w:color w:val="000000"/>
          <w:spacing w:val="4"/>
          <w:sz w:val="24"/>
          <w:szCs w:val="24"/>
        </w:rPr>
      </w:pPr>
      <w:bookmarkStart w:id="0" w:name="_GoBack"/>
      <w:r w:rsidRPr="00C4073C">
        <w:rPr>
          <w:rFonts w:ascii="Verdana" w:hAnsi="Verdana"/>
          <w:noProof/>
          <w:sz w:val="24"/>
          <w:szCs w:val="24"/>
          <w:lang w:val="es-CL" w:eastAsia="es-CL"/>
        </w:rPr>
        <w:lastRenderedPageBreak/>
        <w:drawing>
          <wp:anchor distT="0" distB="0" distL="114300" distR="114300" simplePos="0" relativeHeight="251658240" behindDoc="1" locked="0" layoutInCell="1" allowOverlap="1" wp14:anchorId="4EDE5EEA" wp14:editId="73D2B319">
            <wp:simplePos x="0" y="0"/>
            <wp:positionH relativeFrom="margin">
              <wp:posOffset>-638008</wp:posOffset>
            </wp:positionH>
            <wp:positionV relativeFrom="paragraph">
              <wp:posOffset>-1358098</wp:posOffset>
            </wp:positionV>
            <wp:extent cx="6144693" cy="8947279"/>
            <wp:effectExtent l="0" t="0" r="889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662" cy="89501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2D8FDA1" w14:textId="77777777" w:rsidR="00ED4598" w:rsidRDefault="00ED4598" w:rsidP="00593890">
      <w:pPr>
        <w:spacing w:line="276" w:lineRule="auto"/>
        <w:ind w:firstLine="1701"/>
        <w:jc w:val="both"/>
        <w:rPr>
          <w:rFonts w:ascii="Arial" w:hAnsi="Arial" w:cs="Arial"/>
          <w:bCs/>
          <w:color w:val="000000"/>
          <w:spacing w:val="4"/>
          <w:sz w:val="24"/>
          <w:szCs w:val="24"/>
        </w:rPr>
      </w:pPr>
    </w:p>
    <w:p w14:paraId="4B5CF9FD" w14:textId="63015452" w:rsidR="00ED4598" w:rsidRDefault="00ED4598" w:rsidP="00593890">
      <w:pPr>
        <w:spacing w:line="276" w:lineRule="auto"/>
        <w:ind w:firstLine="1701"/>
        <w:jc w:val="both"/>
        <w:rPr>
          <w:rFonts w:ascii="Arial" w:hAnsi="Arial" w:cs="Arial"/>
          <w:bCs/>
          <w:color w:val="000000"/>
          <w:spacing w:val="4"/>
          <w:sz w:val="24"/>
          <w:szCs w:val="24"/>
        </w:rPr>
      </w:pPr>
    </w:p>
    <w:p w14:paraId="4EB2C689" w14:textId="589D045A" w:rsidR="00ED4598" w:rsidRDefault="00ED4598" w:rsidP="00593890">
      <w:pPr>
        <w:spacing w:line="276" w:lineRule="auto"/>
        <w:ind w:firstLine="1701"/>
        <w:jc w:val="both"/>
        <w:rPr>
          <w:rFonts w:ascii="Arial" w:hAnsi="Arial" w:cs="Arial"/>
          <w:bCs/>
          <w:color w:val="000000"/>
          <w:spacing w:val="4"/>
          <w:sz w:val="24"/>
          <w:szCs w:val="24"/>
        </w:rPr>
      </w:pPr>
    </w:p>
    <w:p w14:paraId="69B5DDB8" w14:textId="77777777" w:rsidR="00ED4598" w:rsidRDefault="00ED4598" w:rsidP="00593890">
      <w:pPr>
        <w:spacing w:line="276" w:lineRule="auto"/>
        <w:ind w:firstLine="1701"/>
        <w:jc w:val="both"/>
        <w:rPr>
          <w:rFonts w:ascii="Arial" w:hAnsi="Arial" w:cs="Arial"/>
          <w:bCs/>
          <w:color w:val="000000"/>
          <w:spacing w:val="4"/>
          <w:sz w:val="24"/>
          <w:szCs w:val="24"/>
        </w:rPr>
      </w:pPr>
    </w:p>
    <w:p w14:paraId="2FFDA72B" w14:textId="77777777" w:rsidR="00ED4598" w:rsidRDefault="00ED4598" w:rsidP="00593890">
      <w:pPr>
        <w:spacing w:line="276" w:lineRule="auto"/>
        <w:ind w:firstLine="1701"/>
        <w:jc w:val="both"/>
        <w:rPr>
          <w:rFonts w:ascii="Arial" w:hAnsi="Arial" w:cs="Arial"/>
          <w:bCs/>
          <w:color w:val="000000"/>
          <w:spacing w:val="4"/>
          <w:sz w:val="24"/>
          <w:szCs w:val="24"/>
        </w:rPr>
      </w:pPr>
    </w:p>
    <w:p w14:paraId="43F25807" w14:textId="77777777" w:rsidR="00ED4598" w:rsidRDefault="00ED4598" w:rsidP="00593890">
      <w:pPr>
        <w:spacing w:line="276" w:lineRule="auto"/>
        <w:ind w:firstLine="1701"/>
        <w:jc w:val="both"/>
        <w:rPr>
          <w:rFonts w:ascii="Arial" w:hAnsi="Arial" w:cs="Arial"/>
          <w:bCs/>
          <w:color w:val="000000"/>
          <w:spacing w:val="4"/>
          <w:sz w:val="24"/>
          <w:szCs w:val="24"/>
        </w:rPr>
      </w:pPr>
    </w:p>
    <w:p w14:paraId="2AE4BB9D" w14:textId="77777777" w:rsidR="00593890" w:rsidRDefault="00593890" w:rsidP="00593890">
      <w:pPr>
        <w:spacing w:line="276" w:lineRule="auto"/>
        <w:ind w:firstLine="1701"/>
        <w:jc w:val="both"/>
        <w:rPr>
          <w:rFonts w:ascii="Arial" w:hAnsi="Arial" w:cs="Arial"/>
          <w:bCs/>
          <w:color w:val="000000"/>
          <w:spacing w:val="4"/>
          <w:sz w:val="24"/>
          <w:szCs w:val="24"/>
        </w:rPr>
      </w:pPr>
    </w:p>
    <w:p w14:paraId="23FE3936" w14:textId="77777777" w:rsidR="00593890" w:rsidRDefault="00593890" w:rsidP="00593890">
      <w:pPr>
        <w:spacing w:line="276" w:lineRule="auto"/>
        <w:ind w:firstLine="1701"/>
        <w:jc w:val="both"/>
        <w:rPr>
          <w:rFonts w:ascii="Arial" w:hAnsi="Arial" w:cs="Arial"/>
          <w:bCs/>
          <w:color w:val="000000"/>
          <w:spacing w:val="4"/>
          <w:sz w:val="24"/>
          <w:szCs w:val="24"/>
        </w:rPr>
      </w:pPr>
    </w:p>
    <w:p w14:paraId="70AD56C5" w14:textId="040A3969" w:rsidR="00ED4598" w:rsidRDefault="00ED4598" w:rsidP="00593890">
      <w:pPr>
        <w:spacing w:line="276" w:lineRule="auto"/>
        <w:ind w:firstLine="1701"/>
        <w:jc w:val="both"/>
        <w:rPr>
          <w:rFonts w:ascii="Arial" w:hAnsi="Arial" w:cs="Arial"/>
          <w:bCs/>
          <w:color w:val="000000"/>
          <w:spacing w:val="4"/>
          <w:sz w:val="24"/>
          <w:szCs w:val="24"/>
        </w:rPr>
      </w:pPr>
    </w:p>
    <w:p w14:paraId="01BB286B" w14:textId="77777777" w:rsidR="00ED4598" w:rsidRDefault="00ED4598" w:rsidP="00593890">
      <w:pPr>
        <w:spacing w:line="276" w:lineRule="auto"/>
        <w:ind w:firstLine="1701"/>
        <w:jc w:val="both"/>
        <w:rPr>
          <w:rFonts w:ascii="Arial" w:hAnsi="Arial" w:cs="Arial"/>
          <w:bCs/>
          <w:color w:val="000000"/>
          <w:spacing w:val="4"/>
          <w:sz w:val="24"/>
          <w:szCs w:val="24"/>
        </w:rPr>
      </w:pPr>
    </w:p>
    <w:p w14:paraId="06C3A1B5" w14:textId="6878EF87" w:rsidR="00ED4598" w:rsidRDefault="00ED4598" w:rsidP="00593890">
      <w:pPr>
        <w:spacing w:line="276" w:lineRule="auto"/>
        <w:ind w:firstLine="1701"/>
        <w:jc w:val="both"/>
        <w:rPr>
          <w:rFonts w:ascii="Arial" w:hAnsi="Arial" w:cs="Arial"/>
          <w:bCs/>
          <w:color w:val="000000"/>
          <w:spacing w:val="4"/>
          <w:sz w:val="24"/>
          <w:szCs w:val="24"/>
        </w:rPr>
      </w:pPr>
    </w:p>
    <w:p w14:paraId="4DEF11F9" w14:textId="77777777" w:rsidR="00ED4598" w:rsidRDefault="00ED4598" w:rsidP="00593890">
      <w:pPr>
        <w:spacing w:line="276" w:lineRule="auto"/>
        <w:ind w:firstLine="1701"/>
        <w:jc w:val="both"/>
        <w:rPr>
          <w:rFonts w:ascii="Arial" w:hAnsi="Arial" w:cs="Arial"/>
          <w:bCs/>
          <w:color w:val="000000"/>
          <w:spacing w:val="4"/>
          <w:sz w:val="24"/>
          <w:szCs w:val="24"/>
        </w:rPr>
      </w:pPr>
    </w:p>
    <w:p w14:paraId="3467EEE9" w14:textId="4E933624" w:rsidR="00ED4598" w:rsidRDefault="00ED4598" w:rsidP="00593890">
      <w:pPr>
        <w:spacing w:line="276" w:lineRule="auto"/>
        <w:ind w:firstLine="1701"/>
        <w:jc w:val="both"/>
        <w:rPr>
          <w:rFonts w:ascii="Arial" w:hAnsi="Arial" w:cs="Arial"/>
          <w:bCs/>
          <w:color w:val="000000"/>
          <w:spacing w:val="4"/>
          <w:sz w:val="24"/>
          <w:szCs w:val="24"/>
        </w:rPr>
      </w:pPr>
    </w:p>
    <w:p w14:paraId="27344371" w14:textId="2A711908" w:rsidR="00ED4598" w:rsidRDefault="00ED4598" w:rsidP="00593890">
      <w:pPr>
        <w:spacing w:line="276" w:lineRule="auto"/>
        <w:ind w:firstLine="1701"/>
        <w:jc w:val="both"/>
        <w:rPr>
          <w:rFonts w:ascii="Arial" w:hAnsi="Arial" w:cs="Arial"/>
          <w:bCs/>
          <w:color w:val="000000"/>
          <w:spacing w:val="4"/>
          <w:sz w:val="24"/>
          <w:szCs w:val="24"/>
        </w:rPr>
      </w:pPr>
    </w:p>
    <w:p w14:paraId="3372FFF3" w14:textId="31EFEFFA" w:rsidR="00ED4598" w:rsidRDefault="00ED4598" w:rsidP="00593890">
      <w:pPr>
        <w:spacing w:line="276" w:lineRule="auto"/>
        <w:ind w:firstLine="1701"/>
        <w:jc w:val="both"/>
        <w:rPr>
          <w:rFonts w:ascii="Arial" w:hAnsi="Arial" w:cs="Arial"/>
          <w:bCs/>
          <w:color w:val="000000"/>
          <w:spacing w:val="4"/>
          <w:sz w:val="24"/>
          <w:szCs w:val="24"/>
        </w:rPr>
      </w:pPr>
    </w:p>
    <w:p w14:paraId="5D47D21C" w14:textId="78096C8C" w:rsidR="00ED4598" w:rsidRDefault="00ED4598" w:rsidP="00593890">
      <w:pPr>
        <w:spacing w:line="276" w:lineRule="auto"/>
        <w:ind w:firstLine="1701"/>
        <w:jc w:val="both"/>
        <w:rPr>
          <w:rFonts w:ascii="Arial" w:hAnsi="Arial" w:cs="Arial"/>
          <w:bCs/>
          <w:color w:val="000000"/>
          <w:spacing w:val="4"/>
          <w:sz w:val="24"/>
          <w:szCs w:val="24"/>
        </w:rPr>
      </w:pPr>
    </w:p>
    <w:p w14:paraId="27546526" w14:textId="0C9D6EAA" w:rsidR="00ED4598" w:rsidRDefault="00ED4598" w:rsidP="00593890">
      <w:pPr>
        <w:spacing w:line="276" w:lineRule="auto"/>
        <w:ind w:firstLine="1701"/>
        <w:jc w:val="both"/>
        <w:rPr>
          <w:rFonts w:ascii="Arial" w:hAnsi="Arial" w:cs="Arial"/>
          <w:bCs/>
          <w:color w:val="000000"/>
          <w:spacing w:val="4"/>
          <w:sz w:val="24"/>
          <w:szCs w:val="24"/>
        </w:rPr>
      </w:pPr>
    </w:p>
    <w:p w14:paraId="6BB928A3" w14:textId="6DBF18EA" w:rsidR="00ED4598" w:rsidRDefault="00ED4598" w:rsidP="00593890">
      <w:pPr>
        <w:spacing w:line="276" w:lineRule="auto"/>
        <w:ind w:firstLine="1701"/>
        <w:jc w:val="both"/>
        <w:rPr>
          <w:rFonts w:ascii="Arial" w:hAnsi="Arial" w:cs="Arial"/>
          <w:bCs/>
          <w:color w:val="000000"/>
          <w:spacing w:val="4"/>
          <w:sz w:val="24"/>
          <w:szCs w:val="24"/>
        </w:rPr>
      </w:pPr>
    </w:p>
    <w:p w14:paraId="3958DA25" w14:textId="06627BB3" w:rsidR="00ED4598" w:rsidRDefault="00ED4598" w:rsidP="00593890">
      <w:pPr>
        <w:spacing w:line="276" w:lineRule="auto"/>
        <w:ind w:firstLine="1701"/>
        <w:jc w:val="both"/>
        <w:rPr>
          <w:rFonts w:ascii="Arial" w:hAnsi="Arial" w:cs="Arial"/>
          <w:bCs/>
          <w:color w:val="000000"/>
          <w:spacing w:val="4"/>
          <w:sz w:val="24"/>
          <w:szCs w:val="24"/>
        </w:rPr>
      </w:pPr>
    </w:p>
    <w:p w14:paraId="20B58AB2" w14:textId="5FF3CADD" w:rsidR="00ED4598" w:rsidRDefault="00ED4598" w:rsidP="00593890">
      <w:pPr>
        <w:spacing w:line="276" w:lineRule="auto"/>
        <w:ind w:firstLine="1701"/>
        <w:jc w:val="both"/>
        <w:rPr>
          <w:rFonts w:ascii="Arial" w:hAnsi="Arial" w:cs="Arial"/>
          <w:bCs/>
          <w:color w:val="000000"/>
          <w:spacing w:val="4"/>
          <w:sz w:val="24"/>
          <w:szCs w:val="24"/>
        </w:rPr>
      </w:pPr>
    </w:p>
    <w:p w14:paraId="6F968C8D" w14:textId="04595D1B" w:rsidR="00ED4598" w:rsidRDefault="00ED4598" w:rsidP="00593890">
      <w:pPr>
        <w:spacing w:line="276" w:lineRule="auto"/>
        <w:ind w:firstLine="1701"/>
        <w:jc w:val="both"/>
        <w:rPr>
          <w:rFonts w:ascii="Arial" w:hAnsi="Arial" w:cs="Arial"/>
          <w:bCs/>
          <w:color w:val="000000"/>
          <w:spacing w:val="4"/>
          <w:sz w:val="24"/>
          <w:szCs w:val="24"/>
        </w:rPr>
      </w:pPr>
    </w:p>
    <w:p w14:paraId="7D9AFEC5" w14:textId="77777777" w:rsidR="00ED4598" w:rsidRDefault="00ED4598" w:rsidP="00593890">
      <w:pPr>
        <w:spacing w:line="276" w:lineRule="auto"/>
        <w:ind w:firstLine="1701"/>
        <w:jc w:val="both"/>
        <w:rPr>
          <w:rFonts w:ascii="Arial" w:hAnsi="Arial" w:cs="Arial"/>
          <w:bCs/>
          <w:color w:val="000000"/>
          <w:spacing w:val="4"/>
          <w:sz w:val="24"/>
          <w:szCs w:val="24"/>
        </w:rPr>
      </w:pPr>
    </w:p>
    <w:p w14:paraId="3E2CCE04" w14:textId="5E119E74" w:rsidR="00ED4598" w:rsidRDefault="00ED4598" w:rsidP="00593890">
      <w:pPr>
        <w:spacing w:line="276" w:lineRule="auto"/>
        <w:ind w:firstLine="1701"/>
        <w:jc w:val="both"/>
        <w:rPr>
          <w:rFonts w:ascii="Arial" w:hAnsi="Arial" w:cs="Arial"/>
          <w:bCs/>
          <w:color w:val="000000"/>
          <w:spacing w:val="4"/>
          <w:sz w:val="24"/>
          <w:szCs w:val="24"/>
        </w:rPr>
      </w:pPr>
    </w:p>
    <w:p w14:paraId="57E8526F" w14:textId="77777777" w:rsidR="00ED4598" w:rsidRDefault="00ED4598" w:rsidP="00593890">
      <w:pPr>
        <w:spacing w:line="276" w:lineRule="auto"/>
        <w:ind w:firstLine="1701"/>
        <w:jc w:val="both"/>
        <w:rPr>
          <w:rFonts w:ascii="Arial" w:hAnsi="Arial" w:cs="Arial"/>
          <w:bCs/>
          <w:color w:val="000000"/>
          <w:spacing w:val="4"/>
          <w:sz w:val="24"/>
          <w:szCs w:val="24"/>
        </w:rPr>
      </w:pPr>
    </w:p>
    <w:p w14:paraId="06AF4425" w14:textId="77777777" w:rsidR="00ED4598" w:rsidRDefault="00ED4598" w:rsidP="00593890">
      <w:pPr>
        <w:spacing w:line="276" w:lineRule="auto"/>
        <w:ind w:firstLine="1701"/>
        <w:jc w:val="both"/>
        <w:rPr>
          <w:rFonts w:ascii="Arial" w:hAnsi="Arial" w:cs="Arial"/>
          <w:bCs/>
          <w:color w:val="000000"/>
          <w:spacing w:val="4"/>
          <w:sz w:val="24"/>
          <w:szCs w:val="24"/>
        </w:rPr>
      </w:pPr>
    </w:p>
    <w:p w14:paraId="0CD5EE6D" w14:textId="77777777" w:rsidR="00ED4598" w:rsidRDefault="00ED4598" w:rsidP="00593890">
      <w:pPr>
        <w:spacing w:line="276" w:lineRule="auto"/>
        <w:ind w:firstLine="1701"/>
        <w:jc w:val="both"/>
        <w:rPr>
          <w:rFonts w:ascii="Arial" w:hAnsi="Arial" w:cs="Arial"/>
          <w:bCs/>
          <w:color w:val="000000"/>
          <w:spacing w:val="4"/>
          <w:sz w:val="24"/>
          <w:szCs w:val="24"/>
        </w:rPr>
      </w:pPr>
    </w:p>
    <w:p w14:paraId="35B38CD7" w14:textId="0CBEC765" w:rsidR="00ED4598" w:rsidRDefault="00ED4598" w:rsidP="00593890">
      <w:pPr>
        <w:spacing w:line="276" w:lineRule="auto"/>
        <w:ind w:firstLine="1701"/>
        <w:jc w:val="both"/>
        <w:rPr>
          <w:rFonts w:ascii="Arial" w:hAnsi="Arial" w:cs="Arial"/>
          <w:bCs/>
          <w:color w:val="000000"/>
          <w:spacing w:val="4"/>
          <w:sz w:val="24"/>
          <w:szCs w:val="24"/>
        </w:rPr>
      </w:pPr>
    </w:p>
    <w:p w14:paraId="6AE58D2A" w14:textId="772A5E75" w:rsidR="00593890" w:rsidRDefault="00593890" w:rsidP="00593890">
      <w:pPr>
        <w:spacing w:line="276" w:lineRule="auto"/>
        <w:ind w:firstLine="1701"/>
        <w:jc w:val="both"/>
        <w:rPr>
          <w:rFonts w:ascii="Arial" w:hAnsi="Arial" w:cs="Arial"/>
          <w:bCs/>
          <w:color w:val="000000"/>
          <w:spacing w:val="4"/>
          <w:sz w:val="24"/>
          <w:szCs w:val="24"/>
        </w:rPr>
      </w:pPr>
    </w:p>
    <w:p w14:paraId="036583D4" w14:textId="77777777" w:rsidR="00593890" w:rsidRDefault="00593890" w:rsidP="00593890">
      <w:pPr>
        <w:spacing w:line="276" w:lineRule="auto"/>
        <w:ind w:firstLine="1701"/>
        <w:jc w:val="both"/>
        <w:rPr>
          <w:rFonts w:ascii="Arial" w:hAnsi="Arial" w:cs="Arial"/>
          <w:bCs/>
          <w:color w:val="000000"/>
          <w:spacing w:val="4"/>
          <w:sz w:val="24"/>
          <w:szCs w:val="24"/>
        </w:rPr>
      </w:pPr>
    </w:p>
    <w:p w14:paraId="08E4689F" w14:textId="1508CA22" w:rsidR="00ED4598" w:rsidRDefault="00ED4598" w:rsidP="00593890">
      <w:pPr>
        <w:spacing w:line="276" w:lineRule="auto"/>
        <w:ind w:firstLine="1701"/>
        <w:jc w:val="both"/>
        <w:rPr>
          <w:rFonts w:ascii="Arial" w:hAnsi="Arial" w:cs="Arial"/>
          <w:bCs/>
          <w:color w:val="000000"/>
          <w:spacing w:val="4"/>
          <w:sz w:val="24"/>
          <w:szCs w:val="24"/>
        </w:rPr>
      </w:pPr>
    </w:p>
    <w:p w14:paraId="03666122" w14:textId="77777777" w:rsidR="00ED4598" w:rsidRDefault="00ED4598" w:rsidP="00593890">
      <w:pPr>
        <w:spacing w:line="276" w:lineRule="auto"/>
        <w:ind w:firstLine="1701"/>
        <w:jc w:val="both"/>
        <w:rPr>
          <w:rFonts w:ascii="Arial" w:hAnsi="Arial" w:cs="Arial"/>
          <w:bCs/>
          <w:color w:val="000000"/>
          <w:spacing w:val="4"/>
          <w:sz w:val="24"/>
          <w:szCs w:val="24"/>
        </w:rPr>
      </w:pPr>
    </w:p>
    <w:p w14:paraId="573CEB74" w14:textId="77777777" w:rsidR="00ED4598" w:rsidRDefault="00ED4598" w:rsidP="00593890">
      <w:pPr>
        <w:spacing w:line="276" w:lineRule="auto"/>
        <w:ind w:firstLine="1701"/>
        <w:jc w:val="both"/>
        <w:rPr>
          <w:rFonts w:ascii="Arial" w:hAnsi="Arial" w:cs="Arial"/>
          <w:bCs/>
          <w:color w:val="000000"/>
          <w:spacing w:val="4"/>
          <w:sz w:val="24"/>
          <w:szCs w:val="24"/>
        </w:rPr>
      </w:pPr>
    </w:p>
    <w:p w14:paraId="687F05C0" w14:textId="77777777" w:rsidR="00593890" w:rsidRDefault="00593890" w:rsidP="00593890">
      <w:pPr>
        <w:spacing w:line="276" w:lineRule="auto"/>
        <w:ind w:firstLine="1701"/>
        <w:jc w:val="both"/>
        <w:rPr>
          <w:rFonts w:ascii="Arial" w:hAnsi="Arial" w:cs="Arial"/>
          <w:bCs/>
          <w:color w:val="000000"/>
          <w:spacing w:val="4"/>
          <w:sz w:val="24"/>
          <w:szCs w:val="24"/>
        </w:rPr>
      </w:pPr>
    </w:p>
    <w:p w14:paraId="6C0C7741" w14:textId="77777777" w:rsidR="00593890" w:rsidRDefault="00593890" w:rsidP="00593890">
      <w:pPr>
        <w:spacing w:line="276" w:lineRule="auto"/>
        <w:ind w:firstLine="1701"/>
        <w:jc w:val="both"/>
        <w:rPr>
          <w:rFonts w:ascii="Arial" w:hAnsi="Arial" w:cs="Arial"/>
          <w:bCs/>
          <w:color w:val="000000"/>
          <w:spacing w:val="4"/>
          <w:sz w:val="24"/>
          <w:szCs w:val="24"/>
        </w:rPr>
      </w:pPr>
    </w:p>
    <w:p w14:paraId="38245BD5" w14:textId="6F222386" w:rsidR="00ED4598" w:rsidRDefault="00ED4598" w:rsidP="00593890">
      <w:pPr>
        <w:spacing w:line="276" w:lineRule="auto"/>
        <w:ind w:firstLine="1701"/>
        <w:jc w:val="both"/>
        <w:rPr>
          <w:rFonts w:ascii="Arial" w:hAnsi="Arial" w:cs="Arial"/>
          <w:bCs/>
          <w:color w:val="000000"/>
          <w:spacing w:val="4"/>
          <w:sz w:val="24"/>
          <w:szCs w:val="24"/>
        </w:rPr>
      </w:pPr>
    </w:p>
    <w:p w14:paraId="2300C213" w14:textId="77777777" w:rsidR="00ED4598" w:rsidRDefault="00ED4598" w:rsidP="00593890">
      <w:pPr>
        <w:spacing w:line="276" w:lineRule="auto"/>
        <w:ind w:firstLine="1701"/>
        <w:jc w:val="both"/>
        <w:rPr>
          <w:rFonts w:ascii="Arial" w:hAnsi="Arial" w:cs="Arial"/>
          <w:bCs/>
          <w:color w:val="000000"/>
          <w:spacing w:val="4"/>
          <w:sz w:val="24"/>
          <w:szCs w:val="24"/>
        </w:rPr>
      </w:pPr>
    </w:p>
    <w:p w14:paraId="20FA3779" w14:textId="77777777" w:rsidR="00ED4598" w:rsidRDefault="00ED4598" w:rsidP="00593890">
      <w:pPr>
        <w:spacing w:line="276" w:lineRule="auto"/>
        <w:ind w:firstLine="1701"/>
        <w:jc w:val="both"/>
        <w:rPr>
          <w:rFonts w:ascii="Arial" w:hAnsi="Arial" w:cs="Arial"/>
          <w:bCs/>
          <w:color w:val="000000"/>
          <w:spacing w:val="4"/>
          <w:sz w:val="24"/>
          <w:szCs w:val="24"/>
        </w:rPr>
      </w:pPr>
    </w:p>
    <w:p w14:paraId="2649F1B6" w14:textId="77777777" w:rsidR="00ED4598" w:rsidRDefault="00ED4598" w:rsidP="00593890">
      <w:pPr>
        <w:spacing w:line="276" w:lineRule="auto"/>
        <w:ind w:firstLine="1701"/>
        <w:jc w:val="both"/>
        <w:rPr>
          <w:rFonts w:ascii="Arial" w:hAnsi="Arial" w:cs="Arial"/>
          <w:bCs/>
          <w:color w:val="000000"/>
          <w:spacing w:val="4"/>
          <w:sz w:val="24"/>
          <w:szCs w:val="24"/>
        </w:rPr>
      </w:pPr>
    </w:p>
    <w:p w14:paraId="13319301" w14:textId="77777777" w:rsidR="00ED4598" w:rsidRDefault="00ED4598" w:rsidP="00593890">
      <w:pPr>
        <w:spacing w:line="276" w:lineRule="auto"/>
        <w:ind w:firstLine="1701"/>
        <w:jc w:val="both"/>
        <w:rPr>
          <w:rFonts w:ascii="Arial" w:hAnsi="Arial" w:cs="Arial"/>
          <w:bCs/>
          <w:color w:val="000000"/>
          <w:spacing w:val="4"/>
          <w:sz w:val="24"/>
          <w:szCs w:val="24"/>
        </w:rPr>
      </w:pPr>
    </w:p>
    <w:p w14:paraId="0B9DED54" w14:textId="77777777" w:rsidR="00ED4598" w:rsidRDefault="00ED4598" w:rsidP="00593890">
      <w:pPr>
        <w:spacing w:line="276" w:lineRule="auto"/>
        <w:ind w:firstLine="1701"/>
        <w:jc w:val="both"/>
        <w:rPr>
          <w:rFonts w:ascii="Arial" w:hAnsi="Arial" w:cs="Arial"/>
          <w:bCs/>
          <w:color w:val="000000"/>
          <w:spacing w:val="4"/>
          <w:sz w:val="24"/>
          <w:szCs w:val="24"/>
        </w:rPr>
      </w:pPr>
    </w:p>
    <w:p w14:paraId="7C7797DA" w14:textId="77777777" w:rsidR="00ED4598" w:rsidRDefault="00ED4598" w:rsidP="00593890">
      <w:pPr>
        <w:spacing w:line="276" w:lineRule="auto"/>
        <w:ind w:firstLine="1701"/>
        <w:jc w:val="both"/>
        <w:rPr>
          <w:rFonts w:ascii="Arial" w:hAnsi="Arial" w:cs="Arial"/>
          <w:bCs/>
          <w:color w:val="000000"/>
          <w:spacing w:val="4"/>
          <w:sz w:val="24"/>
          <w:szCs w:val="24"/>
        </w:rPr>
      </w:pPr>
    </w:p>
    <w:p w14:paraId="69471CB1" w14:textId="77777777" w:rsidR="00ED4598" w:rsidRDefault="00ED4598" w:rsidP="00593890">
      <w:pPr>
        <w:spacing w:line="276" w:lineRule="auto"/>
        <w:ind w:firstLine="1701"/>
        <w:jc w:val="both"/>
        <w:rPr>
          <w:rFonts w:ascii="Arial" w:hAnsi="Arial" w:cs="Arial"/>
          <w:bCs/>
          <w:color w:val="000000"/>
          <w:spacing w:val="4"/>
          <w:sz w:val="24"/>
          <w:szCs w:val="24"/>
        </w:rPr>
      </w:pPr>
    </w:p>
    <w:p w14:paraId="02D57DDF" w14:textId="77777777" w:rsidR="00ED4598" w:rsidRDefault="00ED4598" w:rsidP="00593890">
      <w:pPr>
        <w:spacing w:line="276" w:lineRule="auto"/>
        <w:ind w:firstLine="1701"/>
        <w:jc w:val="both"/>
        <w:rPr>
          <w:rFonts w:ascii="Arial" w:hAnsi="Arial" w:cs="Arial"/>
          <w:bCs/>
          <w:color w:val="000000"/>
          <w:spacing w:val="4"/>
          <w:sz w:val="24"/>
          <w:szCs w:val="24"/>
        </w:rPr>
      </w:pPr>
    </w:p>
    <w:p w14:paraId="30612878" w14:textId="77777777" w:rsidR="00863A6B" w:rsidRPr="00114E47" w:rsidRDefault="00863A6B" w:rsidP="00863A6B">
      <w:pPr>
        <w:spacing w:line="276" w:lineRule="auto"/>
        <w:jc w:val="both"/>
        <w:rPr>
          <w:rFonts w:ascii="Arial" w:hAnsi="Arial" w:cs="Arial"/>
          <w:b/>
          <w:sz w:val="24"/>
          <w:szCs w:val="24"/>
        </w:rPr>
      </w:pPr>
      <w:r w:rsidRPr="00114E47">
        <w:rPr>
          <w:rFonts w:ascii="Arial" w:hAnsi="Arial" w:cs="Arial"/>
          <w:b/>
          <w:sz w:val="24"/>
          <w:szCs w:val="24"/>
        </w:rPr>
        <w:lastRenderedPageBreak/>
        <w:t>II</w:t>
      </w:r>
      <w:r>
        <w:rPr>
          <w:rFonts w:ascii="Arial" w:hAnsi="Arial" w:cs="Arial"/>
          <w:b/>
          <w:sz w:val="24"/>
          <w:szCs w:val="24"/>
        </w:rPr>
        <w:t>I</w:t>
      </w:r>
      <w:r w:rsidRPr="00114E47">
        <w:rPr>
          <w:rFonts w:ascii="Arial" w:hAnsi="Arial" w:cs="Arial"/>
          <w:b/>
          <w:sz w:val="24"/>
          <w:szCs w:val="24"/>
        </w:rPr>
        <w:t>.- INCIDENCIA EN MATERIA FINANCIERA Y PRESUPUESTARIA DEL ESTADO</w:t>
      </w:r>
    </w:p>
    <w:p w14:paraId="1A5A44B6" w14:textId="77777777" w:rsidR="00863A6B" w:rsidRDefault="00863A6B" w:rsidP="00863A6B">
      <w:pPr>
        <w:spacing w:line="276" w:lineRule="auto"/>
        <w:ind w:firstLine="1701"/>
        <w:jc w:val="both"/>
        <w:rPr>
          <w:rFonts w:ascii="Arial" w:hAnsi="Arial" w:cs="Arial"/>
          <w:b/>
          <w:sz w:val="24"/>
          <w:szCs w:val="24"/>
          <w:lang w:val="es-MX"/>
        </w:rPr>
      </w:pPr>
    </w:p>
    <w:p w14:paraId="140AA7AD" w14:textId="77777777" w:rsidR="00926BD4" w:rsidRDefault="00926BD4" w:rsidP="00926BD4">
      <w:pPr>
        <w:spacing w:line="276" w:lineRule="auto"/>
        <w:ind w:firstLine="1701"/>
        <w:jc w:val="both"/>
        <w:rPr>
          <w:rFonts w:ascii="Arial" w:hAnsi="Arial" w:cs="Arial"/>
          <w:sz w:val="24"/>
          <w:szCs w:val="24"/>
        </w:rPr>
      </w:pPr>
      <w:r>
        <w:rPr>
          <w:rFonts w:ascii="Arial" w:hAnsi="Arial" w:cs="Arial"/>
          <w:sz w:val="24"/>
          <w:szCs w:val="24"/>
        </w:rPr>
        <w:t>El informe financiero N°61 de la Dirección de Presupuestos señala que mediante este proyecto</w:t>
      </w:r>
      <w:r w:rsidR="007B5C8D">
        <w:rPr>
          <w:rFonts w:ascii="Arial" w:hAnsi="Arial" w:cs="Arial"/>
          <w:sz w:val="24"/>
          <w:szCs w:val="24"/>
        </w:rPr>
        <w:t>,</w:t>
      </w:r>
      <w:r>
        <w:rPr>
          <w:rFonts w:ascii="Arial" w:hAnsi="Arial" w:cs="Arial"/>
          <w:sz w:val="24"/>
          <w:szCs w:val="24"/>
        </w:rPr>
        <w:t xml:space="preserve"> Chile otorga acceso libre de aranceles para 24 ítems arancelarios originarios de China, los cuales representan alrededor del 12% del total de los productos que no gozaban de arancel cero. Entre ellos se encuentran: azúcares (glucosa, fructosa), textiles (algunos tejidos de lana, hilados y tejidos de fibras sintéticas, ropa de algodón, de pelo fino y fibras sintéticas) y ciertos productos industriales (algunos tipos de refrigeradores y secadoras, entre otros). Agrega el informe que se flexibiliza la tolerancia de productos no originarios desde un 8% a un 10% del valor de la mercancía libre a bordo (FOB, </w:t>
      </w:r>
      <w:r>
        <w:rPr>
          <w:rFonts w:ascii="Arial" w:hAnsi="Arial" w:cs="Arial"/>
          <w:i/>
          <w:sz w:val="24"/>
          <w:szCs w:val="24"/>
        </w:rPr>
        <w:t>free on board)</w:t>
      </w:r>
      <w:r>
        <w:rPr>
          <w:rFonts w:ascii="Arial" w:hAnsi="Arial" w:cs="Arial"/>
          <w:sz w:val="24"/>
          <w:szCs w:val="24"/>
        </w:rPr>
        <w:t>.</w:t>
      </w:r>
    </w:p>
    <w:p w14:paraId="77CF5C1B" w14:textId="77777777" w:rsidR="00926BD4" w:rsidRDefault="00926BD4" w:rsidP="00926BD4">
      <w:pPr>
        <w:spacing w:line="276" w:lineRule="auto"/>
        <w:ind w:firstLine="1701"/>
        <w:jc w:val="both"/>
        <w:rPr>
          <w:rFonts w:ascii="Arial" w:hAnsi="Arial" w:cs="Arial"/>
          <w:sz w:val="24"/>
          <w:szCs w:val="24"/>
        </w:rPr>
      </w:pPr>
      <w:r>
        <w:rPr>
          <w:rFonts w:ascii="Arial" w:hAnsi="Arial" w:cs="Arial"/>
          <w:sz w:val="24"/>
          <w:szCs w:val="24"/>
        </w:rPr>
        <w:t>Explicita que para realizar el cálculo sobre el impacto al presupuesto fiscal se asume que el tratado entrará en vigor durante el 2018 y que las importaciones ejecutadas durante 2017 se mantendrán constantes durante el horizonte de evaluación. Se utilizaron como insumos:</w:t>
      </w:r>
    </w:p>
    <w:p w14:paraId="690D63DA" w14:textId="77777777" w:rsidR="00926BD4" w:rsidRDefault="00926BD4" w:rsidP="00926BD4">
      <w:pPr>
        <w:pStyle w:val="Prrafodelista"/>
        <w:numPr>
          <w:ilvl w:val="0"/>
          <w:numId w:val="15"/>
        </w:numPr>
        <w:spacing w:line="276" w:lineRule="auto"/>
        <w:jc w:val="both"/>
        <w:rPr>
          <w:rFonts w:ascii="Arial" w:hAnsi="Arial" w:cs="Arial"/>
          <w:sz w:val="24"/>
          <w:szCs w:val="24"/>
        </w:rPr>
      </w:pPr>
      <w:r w:rsidRPr="00F71A7E">
        <w:rPr>
          <w:rFonts w:ascii="Arial" w:hAnsi="Arial" w:cs="Arial"/>
          <w:sz w:val="24"/>
          <w:szCs w:val="24"/>
          <w:lang w:val="en-US"/>
        </w:rPr>
        <w:t>Monto CIF (</w:t>
      </w:r>
      <w:r w:rsidRPr="00F71A7E">
        <w:rPr>
          <w:rFonts w:ascii="Arial" w:hAnsi="Arial" w:cs="Arial"/>
          <w:i/>
          <w:sz w:val="24"/>
          <w:szCs w:val="24"/>
          <w:lang w:val="en-US"/>
        </w:rPr>
        <w:t xml:space="preserve">Cost, Insurance, Freight. </w:t>
      </w:r>
      <w:r>
        <w:rPr>
          <w:rFonts w:ascii="Arial" w:hAnsi="Arial" w:cs="Arial"/>
          <w:i/>
          <w:sz w:val="24"/>
          <w:szCs w:val="24"/>
        </w:rPr>
        <w:t>Costo de la mercancía + prima del seguro + valor del flete de traslado</w:t>
      </w:r>
      <w:r>
        <w:rPr>
          <w:rFonts w:ascii="Arial" w:hAnsi="Arial" w:cs="Arial"/>
          <w:sz w:val="24"/>
          <w:szCs w:val="24"/>
        </w:rPr>
        <w:t>) de las importaciones provenientes desde China para el año 2017.</w:t>
      </w:r>
    </w:p>
    <w:p w14:paraId="41BC9FB3" w14:textId="77777777" w:rsidR="00926BD4" w:rsidRDefault="00926BD4" w:rsidP="00926BD4">
      <w:pPr>
        <w:pStyle w:val="Prrafodelista"/>
        <w:numPr>
          <w:ilvl w:val="0"/>
          <w:numId w:val="15"/>
        </w:numPr>
        <w:spacing w:line="276" w:lineRule="auto"/>
        <w:jc w:val="both"/>
        <w:rPr>
          <w:rFonts w:ascii="Arial" w:hAnsi="Arial" w:cs="Arial"/>
          <w:sz w:val="24"/>
          <w:szCs w:val="24"/>
        </w:rPr>
      </w:pPr>
      <w:r>
        <w:rPr>
          <w:rFonts w:ascii="Arial" w:hAnsi="Arial" w:cs="Arial"/>
          <w:sz w:val="24"/>
          <w:szCs w:val="24"/>
        </w:rPr>
        <w:t xml:space="preserve">Monto del impuesto </w:t>
      </w:r>
      <w:r w:rsidRPr="00543A55">
        <w:rPr>
          <w:rFonts w:ascii="Arial" w:hAnsi="Arial" w:cs="Arial"/>
          <w:i/>
          <w:sz w:val="24"/>
          <w:szCs w:val="24"/>
        </w:rPr>
        <w:t>ad valorem</w:t>
      </w:r>
      <w:r>
        <w:rPr>
          <w:rFonts w:ascii="Arial" w:hAnsi="Arial" w:cs="Arial"/>
          <w:sz w:val="24"/>
          <w:szCs w:val="24"/>
        </w:rPr>
        <w:t xml:space="preserve"> (6% o menos) pagado por dichas exportaciones.</w:t>
      </w:r>
    </w:p>
    <w:p w14:paraId="7C477961" w14:textId="77777777" w:rsidR="00926BD4" w:rsidRDefault="00926BD4" w:rsidP="00926BD4">
      <w:pPr>
        <w:pStyle w:val="Prrafodelista"/>
        <w:numPr>
          <w:ilvl w:val="0"/>
          <w:numId w:val="15"/>
        </w:numPr>
        <w:spacing w:line="276" w:lineRule="auto"/>
        <w:jc w:val="both"/>
        <w:rPr>
          <w:rFonts w:ascii="Arial" w:hAnsi="Arial" w:cs="Arial"/>
          <w:sz w:val="24"/>
          <w:szCs w:val="24"/>
        </w:rPr>
      </w:pPr>
      <w:r>
        <w:rPr>
          <w:rFonts w:ascii="Arial" w:hAnsi="Arial" w:cs="Arial"/>
          <w:sz w:val="24"/>
          <w:szCs w:val="24"/>
        </w:rPr>
        <w:t>Las listas de desgravación del proceso de negociación entregadas por la Dirección General de Relaciones Económicas Internacionales.</w:t>
      </w:r>
    </w:p>
    <w:p w14:paraId="5D0878E5" w14:textId="77777777" w:rsidR="00926BD4" w:rsidRDefault="00926BD4" w:rsidP="00926BD4">
      <w:pPr>
        <w:spacing w:line="276" w:lineRule="auto"/>
        <w:ind w:firstLine="1701"/>
        <w:jc w:val="both"/>
        <w:rPr>
          <w:rFonts w:ascii="Arial" w:hAnsi="Arial" w:cs="Arial"/>
          <w:sz w:val="24"/>
          <w:szCs w:val="24"/>
        </w:rPr>
      </w:pPr>
      <w:r>
        <w:rPr>
          <w:rFonts w:ascii="Arial" w:hAnsi="Arial" w:cs="Arial"/>
          <w:sz w:val="24"/>
          <w:szCs w:val="24"/>
        </w:rPr>
        <w:t>Reconoce que el impacto fiscal de este proyecto es causa de la menor recaudación por concepto aduanero e IVA asociado a importaciones, registrados como impuestos en el presupuesto de la partida 50, Tesoro Público. Para el primer año (2018), y de mantenerse el mismo nivel de importaciones año a año, las importaciones desde China correspondientes a los 24 ítems a desgravar debieran realizar pagos por concepto de aranceles e IVA por un monto total de US$432 mil. De los cuales, US$363 mil corresponderían a ingresos por aranceles y US$69 mil por IVA.</w:t>
      </w:r>
    </w:p>
    <w:p w14:paraId="2912D05F" w14:textId="77777777" w:rsidR="00926BD4" w:rsidRDefault="00926BD4" w:rsidP="00926BD4">
      <w:pPr>
        <w:spacing w:line="276" w:lineRule="auto"/>
        <w:ind w:firstLine="1701"/>
        <w:jc w:val="both"/>
        <w:rPr>
          <w:rFonts w:ascii="Arial" w:hAnsi="Arial" w:cs="Arial"/>
          <w:sz w:val="24"/>
          <w:szCs w:val="24"/>
        </w:rPr>
      </w:pPr>
      <w:r>
        <w:rPr>
          <w:rFonts w:ascii="Arial" w:hAnsi="Arial" w:cs="Arial"/>
          <w:sz w:val="24"/>
          <w:szCs w:val="24"/>
        </w:rPr>
        <w:t>Por otra parte, estima que las obligaciones derivadas de la aplicación de este acuerdo no representan mayor gasto fiscal</w:t>
      </w:r>
      <w:r w:rsidR="00C20E61">
        <w:rPr>
          <w:rFonts w:ascii="Arial" w:hAnsi="Arial" w:cs="Arial"/>
          <w:sz w:val="24"/>
          <w:szCs w:val="24"/>
        </w:rPr>
        <w:t xml:space="preserve"> presupuestario</w:t>
      </w:r>
      <w:r>
        <w:rPr>
          <w:rFonts w:ascii="Arial" w:hAnsi="Arial" w:cs="Arial"/>
          <w:sz w:val="24"/>
          <w:szCs w:val="24"/>
        </w:rPr>
        <w:t xml:space="preserve">, y serán cubiertas con los recursos que la Ley de Presupuestos contempla para el funcionamiento de la Administración. </w:t>
      </w:r>
    </w:p>
    <w:p w14:paraId="51D0848F" w14:textId="77777777" w:rsidR="00926BD4" w:rsidRPr="00CA02AC" w:rsidRDefault="00926BD4" w:rsidP="00926BD4">
      <w:pPr>
        <w:spacing w:line="276" w:lineRule="auto"/>
        <w:ind w:firstLine="1701"/>
        <w:jc w:val="both"/>
        <w:rPr>
          <w:rFonts w:ascii="Arial" w:hAnsi="Arial" w:cs="Arial"/>
          <w:sz w:val="24"/>
          <w:szCs w:val="24"/>
        </w:rPr>
      </w:pPr>
      <w:r>
        <w:rPr>
          <w:rFonts w:ascii="Arial" w:hAnsi="Arial" w:cs="Arial"/>
          <w:sz w:val="24"/>
          <w:szCs w:val="24"/>
        </w:rPr>
        <w:t xml:space="preserve">Considerando lo anterior, estima que la pérdida fiscal anual por reducción arancelaria será de US$432 mil desde la entrada en vigencia del presente Proyecto de Acuerdo. </w:t>
      </w:r>
    </w:p>
    <w:p w14:paraId="477A36B1" w14:textId="77777777" w:rsidR="00FE420B" w:rsidRDefault="00FE420B" w:rsidP="008F0D78">
      <w:pPr>
        <w:spacing w:line="276" w:lineRule="auto"/>
        <w:jc w:val="both"/>
        <w:rPr>
          <w:rFonts w:ascii="Arial" w:hAnsi="Arial" w:cs="Arial"/>
          <w:b/>
          <w:sz w:val="24"/>
          <w:szCs w:val="24"/>
        </w:rPr>
      </w:pPr>
    </w:p>
    <w:p w14:paraId="7A760569" w14:textId="380DA6FF" w:rsidR="00110CAA" w:rsidRDefault="00110CAA" w:rsidP="008F0D78">
      <w:pPr>
        <w:spacing w:line="276" w:lineRule="auto"/>
        <w:jc w:val="both"/>
        <w:rPr>
          <w:rFonts w:ascii="Arial" w:hAnsi="Arial" w:cs="Arial"/>
          <w:b/>
          <w:sz w:val="24"/>
          <w:szCs w:val="24"/>
        </w:rPr>
      </w:pPr>
    </w:p>
    <w:p w14:paraId="0C9324A7" w14:textId="77777777" w:rsidR="00110CAA" w:rsidRDefault="00110CAA" w:rsidP="008F0D78">
      <w:pPr>
        <w:spacing w:line="276" w:lineRule="auto"/>
        <w:jc w:val="both"/>
        <w:rPr>
          <w:rFonts w:ascii="Arial" w:hAnsi="Arial" w:cs="Arial"/>
          <w:b/>
          <w:sz w:val="24"/>
          <w:szCs w:val="24"/>
        </w:rPr>
      </w:pPr>
    </w:p>
    <w:p w14:paraId="1D5C4CFF" w14:textId="70C6E74A" w:rsidR="00ED4598" w:rsidRDefault="00ED4598" w:rsidP="008F0D78">
      <w:pPr>
        <w:spacing w:line="276" w:lineRule="auto"/>
        <w:jc w:val="both"/>
        <w:rPr>
          <w:rFonts w:ascii="Arial" w:hAnsi="Arial" w:cs="Arial"/>
          <w:b/>
          <w:sz w:val="24"/>
          <w:szCs w:val="24"/>
        </w:rPr>
      </w:pPr>
    </w:p>
    <w:p w14:paraId="19125EAE" w14:textId="77777777" w:rsidR="00ED4598" w:rsidRDefault="00ED4598" w:rsidP="008F0D78">
      <w:pPr>
        <w:spacing w:line="276" w:lineRule="auto"/>
        <w:jc w:val="both"/>
        <w:rPr>
          <w:rFonts w:ascii="Arial" w:hAnsi="Arial" w:cs="Arial"/>
          <w:b/>
          <w:sz w:val="24"/>
          <w:szCs w:val="24"/>
        </w:rPr>
      </w:pPr>
    </w:p>
    <w:p w14:paraId="29469B9A" w14:textId="77777777" w:rsidR="00ED4598" w:rsidRDefault="00ED4598" w:rsidP="008F0D78">
      <w:pPr>
        <w:spacing w:line="276" w:lineRule="auto"/>
        <w:jc w:val="both"/>
        <w:rPr>
          <w:rFonts w:ascii="Arial" w:hAnsi="Arial" w:cs="Arial"/>
          <w:b/>
          <w:sz w:val="24"/>
          <w:szCs w:val="24"/>
        </w:rPr>
      </w:pPr>
    </w:p>
    <w:p w14:paraId="36910EDA" w14:textId="77777777" w:rsidR="00F20F3E" w:rsidRPr="00FE4ED3" w:rsidRDefault="004A5142" w:rsidP="00CD5CDB">
      <w:pPr>
        <w:spacing w:line="276" w:lineRule="auto"/>
        <w:jc w:val="both"/>
        <w:rPr>
          <w:rFonts w:ascii="Arial" w:hAnsi="Arial" w:cs="Arial"/>
          <w:b/>
          <w:sz w:val="24"/>
          <w:szCs w:val="24"/>
        </w:rPr>
      </w:pPr>
      <w:r>
        <w:rPr>
          <w:rFonts w:ascii="Arial" w:hAnsi="Arial" w:cs="Arial"/>
          <w:b/>
          <w:sz w:val="24"/>
          <w:szCs w:val="24"/>
        </w:rPr>
        <w:lastRenderedPageBreak/>
        <w:t>I</w:t>
      </w:r>
      <w:r w:rsidR="00114E47">
        <w:rPr>
          <w:rFonts w:ascii="Arial" w:hAnsi="Arial" w:cs="Arial"/>
          <w:b/>
          <w:sz w:val="24"/>
          <w:szCs w:val="24"/>
        </w:rPr>
        <w:t xml:space="preserve">V.- DISCUSION Y </w:t>
      </w:r>
      <w:r w:rsidR="00F20F3E" w:rsidRPr="00FE4ED3">
        <w:rPr>
          <w:rFonts w:ascii="Arial" w:hAnsi="Arial" w:cs="Arial"/>
          <w:b/>
          <w:sz w:val="24"/>
          <w:szCs w:val="24"/>
        </w:rPr>
        <w:t>VOTACIÓN</w:t>
      </w:r>
    </w:p>
    <w:p w14:paraId="75F37FE8" w14:textId="77777777" w:rsidR="00AD01A9" w:rsidRDefault="00AD01A9" w:rsidP="00CD5CDB">
      <w:pPr>
        <w:tabs>
          <w:tab w:val="left" w:pos="-284"/>
          <w:tab w:val="left" w:pos="0"/>
          <w:tab w:val="left" w:pos="851"/>
        </w:tabs>
        <w:spacing w:line="276" w:lineRule="auto"/>
        <w:ind w:right="51" w:firstLine="1701"/>
        <w:jc w:val="both"/>
        <w:rPr>
          <w:rFonts w:ascii="Arial" w:hAnsi="Arial" w:cs="Arial"/>
          <w:b/>
          <w:sz w:val="24"/>
          <w:szCs w:val="24"/>
        </w:rPr>
      </w:pPr>
    </w:p>
    <w:p w14:paraId="197EE8C3" w14:textId="77777777" w:rsidR="00114E47" w:rsidRPr="0051378F" w:rsidRDefault="00114E47" w:rsidP="00CD5CDB">
      <w:pPr>
        <w:tabs>
          <w:tab w:val="left" w:pos="-284"/>
          <w:tab w:val="left" w:pos="0"/>
          <w:tab w:val="left" w:pos="851"/>
        </w:tabs>
        <w:spacing w:line="276" w:lineRule="auto"/>
        <w:ind w:right="51" w:firstLine="1701"/>
        <w:jc w:val="both"/>
        <w:rPr>
          <w:rFonts w:ascii="Arial" w:hAnsi="Arial" w:cs="Arial"/>
          <w:sz w:val="24"/>
          <w:szCs w:val="24"/>
          <w:u w:val="single"/>
        </w:rPr>
      </w:pPr>
      <w:r>
        <w:rPr>
          <w:rFonts w:ascii="Arial" w:hAnsi="Arial" w:cs="Arial"/>
          <w:sz w:val="24"/>
          <w:szCs w:val="24"/>
        </w:rPr>
        <w:t>1.-</w:t>
      </w:r>
      <w:r w:rsidRPr="0051378F">
        <w:rPr>
          <w:rFonts w:ascii="Arial" w:hAnsi="Arial" w:cs="Arial"/>
          <w:sz w:val="24"/>
          <w:szCs w:val="24"/>
          <w:u w:val="single"/>
        </w:rPr>
        <w:t>Discusión</w:t>
      </w:r>
    </w:p>
    <w:p w14:paraId="34B42F85" w14:textId="77777777" w:rsidR="003432A5" w:rsidRPr="003432A5" w:rsidRDefault="003432A5" w:rsidP="00CD5CDB">
      <w:pPr>
        <w:tabs>
          <w:tab w:val="left" w:pos="-284"/>
          <w:tab w:val="left" w:pos="0"/>
          <w:tab w:val="left" w:pos="851"/>
        </w:tabs>
        <w:spacing w:line="276" w:lineRule="auto"/>
        <w:ind w:right="51" w:firstLine="1701"/>
        <w:jc w:val="both"/>
        <w:rPr>
          <w:rFonts w:ascii="Arial" w:hAnsi="Arial" w:cs="Arial"/>
          <w:sz w:val="24"/>
          <w:szCs w:val="24"/>
          <w:lang w:val="es-ES"/>
        </w:rPr>
      </w:pPr>
    </w:p>
    <w:p w14:paraId="7F8FE15F" w14:textId="77777777" w:rsidR="00926BD4" w:rsidRDefault="00863A6B" w:rsidP="00926BD4">
      <w:pPr>
        <w:spacing w:line="276" w:lineRule="auto"/>
        <w:ind w:firstLine="1701"/>
        <w:jc w:val="both"/>
        <w:rPr>
          <w:rFonts w:ascii="Arial" w:hAnsi="Arial" w:cs="Arial"/>
          <w:sz w:val="24"/>
          <w:szCs w:val="24"/>
        </w:rPr>
      </w:pPr>
      <w:r w:rsidRPr="007D2C56">
        <w:rPr>
          <w:rFonts w:ascii="Arial" w:eastAsia="Calibri" w:hAnsi="Arial" w:cs="Arial"/>
          <w:sz w:val="24"/>
          <w:szCs w:val="24"/>
          <w:lang w:val="es-CL"/>
        </w:rPr>
        <w:t xml:space="preserve">El señor Felipe Lopeandía Wielandt, </w:t>
      </w:r>
      <w:r w:rsidRPr="007D2C56">
        <w:rPr>
          <w:rFonts w:ascii="Arial" w:hAnsi="Arial" w:cs="Arial"/>
          <w:sz w:val="24"/>
          <w:szCs w:val="24"/>
        </w:rPr>
        <w:t>Director de Asuntos Bilaterales de la Dirección General de Relaciones Económicas Internacionales</w:t>
      </w:r>
      <w:r w:rsidR="007D2C56">
        <w:rPr>
          <w:rFonts w:ascii="Arial" w:hAnsi="Arial" w:cs="Arial"/>
          <w:sz w:val="24"/>
          <w:szCs w:val="24"/>
        </w:rPr>
        <w:t xml:space="preserve">, </w:t>
      </w:r>
      <w:r w:rsidR="00926BD4" w:rsidRPr="00926BD4">
        <w:rPr>
          <w:rFonts w:ascii="Arial" w:hAnsi="Arial" w:cs="Arial"/>
          <w:sz w:val="24"/>
          <w:szCs w:val="24"/>
        </w:rPr>
        <w:t>indicó que este instrumento moderniza y actualiza la relación comercial con China, sustentada en un TLC de 2006 respecto del cual se han ido agregando diversas materias, como servicios e inversiones. Este es el cuar</w:t>
      </w:r>
      <w:r w:rsidR="00E5016F">
        <w:rPr>
          <w:rFonts w:ascii="Arial" w:hAnsi="Arial" w:cs="Arial"/>
          <w:sz w:val="24"/>
          <w:szCs w:val="24"/>
        </w:rPr>
        <w:t>to instrumento suscrito con Chin</w:t>
      </w:r>
      <w:r w:rsidR="00926BD4" w:rsidRPr="00926BD4">
        <w:rPr>
          <w:rFonts w:ascii="Arial" w:hAnsi="Arial" w:cs="Arial"/>
          <w:sz w:val="24"/>
          <w:szCs w:val="24"/>
        </w:rPr>
        <w:t xml:space="preserve">a, y tiene 2 objetivos: introducir profundizaciones y mejoras en materia arancelaria y reglas de origen; e incluir materias nuevas no comprendidas en el acuerdo anterior que profundizan y modernizan la relación con China. </w:t>
      </w:r>
      <w:r w:rsidR="00926BD4">
        <w:rPr>
          <w:rFonts w:ascii="Arial" w:hAnsi="Arial" w:cs="Arial"/>
          <w:sz w:val="24"/>
          <w:szCs w:val="24"/>
        </w:rPr>
        <w:t>Entre los capítulos nuevos destacó:</w:t>
      </w:r>
    </w:p>
    <w:p w14:paraId="4DC5F478" w14:textId="77777777" w:rsidR="00926BD4" w:rsidRPr="00926BD4" w:rsidRDefault="00926BD4" w:rsidP="00926BD4">
      <w:pPr>
        <w:spacing w:line="276" w:lineRule="auto"/>
        <w:ind w:firstLine="1701"/>
        <w:jc w:val="both"/>
        <w:rPr>
          <w:rFonts w:ascii="Arial" w:hAnsi="Arial" w:cs="Arial"/>
          <w:sz w:val="24"/>
          <w:szCs w:val="24"/>
        </w:rPr>
      </w:pPr>
      <w:r w:rsidRPr="00926BD4">
        <w:rPr>
          <w:rFonts w:ascii="Arial" w:hAnsi="Arial" w:cs="Arial"/>
          <w:sz w:val="24"/>
          <w:szCs w:val="24"/>
        </w:rPr>
        <w:t>Facilitación del comercio</w:t>
      </w:r>
      <w:r>
        <w:rPr>
          <w:rFonts w:ascii="Arial" w:hAnsi="Arial" w:cs="Arial"/>
          <w:sz w:val="24"/>
          <w:szCs w:val="24"/>
        </w:rPr>
        <w:t xml:space="preserve">: </w:t>
      </w:r>
      <w:r w:rsidRPr="00926BD4">
        <w:rPr>
          <w:rFonts w:ascii="Arial" w:hAnsi="Arial" w:cs="Arial"/>
          <w:sz w:val="24"/>
          <w:szCs w:val="24"/>
        </w:rPr>
        <w:t xml:space="preserve">Simplifica los requisitos de documentación y moderniza los procedimientos. Asimismo, incluye disposiciones sobre cooperación aduanera, para el intercambio de información entre las administraciones aduaneras. </w:t>
      </w:r>
    </w:p>
    <w:p w14:paraId="3E407C48" w14:textId="77777777" w:rsidR="00926BD4" w:rsidRDefault="00926BD4" w:rsidP="00926BD4">
      <w:pPr>
        <w:spacing w:line="276" w:lineRule="auto"/>
        <w:ind w:firstLine="1701"/>
        <w:jc w:val="both"/>
        <w:rPr>
          <w:rFonts w:ascii="Arial" w:hAnsi="Arial" w:cs="Arial"/>
          <w:sz w:val="24"/>
          <w:szCs w:val="24"/>
        </w:rPr>
      </w:pPr>
      <w:r w:rsidRPr="00926BD4">
        <w:rPr>
          <w:rFonts w:ascii="Arial" w:hAnsi="Arial" w:cs="Arial"/>
          <w:sz w:val="24"/>
          <w:szCs w:val="24"/>
        </w:rPr>
        <w:t>Comercio electrónico</w:t>
      </w:r>
      <w:r>
        <w:rPr>
          <w:rFonts w:ascii="Arial" w:hAnsi="Arial" w:cs="Arial"/>
          <w:sz w:val="24"/>
          <w:szCs w:val="24"/>
        </w:rPr>
        <w:t xml:space="preserve">: </w:t>
      </w:r>
      <w:r w:rsidRPr="00926BD4">
        <w:rPr>
          <w:rFonts w:ascii="Arial" w:hAnsi="Arial" w:cs="Arial"/>
          <w:sz w:val="24"/>
          <w:szCs w:val="24"/>
        </w:rPr>
        <w:t>Establece obligaciones sobre transacciones electrónicas, autentificación electrónica, protección al consumidor en línea, sumado a protección a la información personal. Regula la no limitación de capacidad de transferencia de información transfronteriza.</w:t>
      </w:r>
    </w:p>
    <w:p w14:paraId="4AECA415" w14:textId="77777777" w:rsidR="00926BD4" w:rsidRPr="00926BD4" w:rsidRDefault="00926BD4" w:rsidP="00926BD4">
      <w:pPr>
        <w:spacing w:line="276" w:lineRule="auto"/>
        <w:ind w:firstLine="1701"/>
        <w:jc w:val="both"/>
        <w:rPr>
          <w:rFonts w:ascii="Arial" w:hAnsi="Arial" w:cs="Arial"/>
          <w:sz w:val="24"/>
          <w:szCs w:val="24"/>
        </w:rPr>
      </w:pPr>
      <w:r>
        <w:rPr>
          <w:rFonts w:ascii="Arial" w:hAnsi="Arial" w:cs="Arial"/>
          <w:sz w:val="24"/>
          <w:szCs w:val="24"/>
        </w:rPr>
        <w:t>Reglas relativas al comercio:</w:t>
      </w:r>
    </w:p>
    <w:p w14:paraId="735F8FDE" w14:textId="77777777" w:rsidR="00926BD4" w:rsidRPr="00926BD4" w:rsidRDefault="00926BD4" w:rsidP="00926BD4">
      <w:pPr>
        <w:spacing w:line="276" w:lineRule="auto"/>
        <w:ind w:firstLine="1701"/>
        <w:jc w:val="both"/>
        <w:rPr>
          <w:rFonts w:ascii="Arial" w:hAnsi="Arial" w:cs="Arial"/>
          <w:sz w:val="24"/>
          <w:szCs w:val="24"/>
        </w:rPr>
      </w:pPr>
      <w:r w:rsidRPr="00926BD4">
        <w:rPr>
          <w:rFonts w:ascii="Arial" w:hAnsi="Arial" w:cs="Arial"/>
          <w:sz w:val="24"/>
          <w:szCs w:val="24"/>
        </w:rPr>
        <w:t>Política de Competencia: Incorpora mecanismos relativos al establecimiento y/o mantención de leyes, y autoridades dedicadas a promover principios de no discriminación, transparencia, cooperación y consultas.</w:t>
      </w:r>
    </w:p>
    <w:p w14:paraId="341F3A79" w14:textId="77777777" w:rsidR="00926BD4" w:rsidRDefault="00926BD4" w:rsidP="00926BD4">
      <w:pPr>
        <w:spacing w:line="276" w:lineRule="auto"/>
        <w:ind w:firstLine="1701"/>
        <w:jc w:val="both"/>
        <w:rPr>
          <w:rFonts w:ascii="Arial" w:hAnsi="Arial" w:cs="Arial"/>
          <w:sz w:val="24"/>
          <w:szCs w:val="24"/>
        </w:rPr>
      </w:pPr>
      <w:r w:rsidRPr="00926BD4">
        <w:rPr>
          <w:rFonts w:ascii="Arial" w:hAnsi="Arial" w:cs="Arial"/>
          <w:sz w:val="24"/>
          <w:szCs w:val="24"/>
        </w:rPr>
        <w:t>Comercio y Medioambiente: Acuerda disposiciones medioambientales que establecen el cumplimiento de la legislación ambiental, la no derogación de leyes y regulaciones en materia ambiental para promover el comercio y la inversión.</w:t>
      </w:r>
    </w:p>
    <w:p w14:paraId="2D13137E" w14:textId="77777777" w:rsidR="00926BD4" w:rsidRPr="00926BD4" w:rsidRDefault="00926BD4" w:rsidP="00926BD4">
      <w:pPr>
        <w:spacing w:line="276" w:lineRule="auto"/>
        <w:ind w:firstLine="1701"/>
        <w:jc w:val="both"/>
        <w:rPr>
          <w:rFonts w:ascii="Arial" w:hAnsi="Arial" w:cs="Arial"/>
          <w:sz w:val="24"/>
          <w:szCs w:val="24"/>
        </w:rPr>
      </w:pPr>
      <w:r>
        <w:rPr>
          <w:rFonts w:ascii="Arial" w:hAnsi="Arial" w:cs="Arial"/>
          <w:sz w:val="24"/>
          <w:szCs w:val="24"/>
        </w:rPr>
        <w:t>En cuanto a las disposiciones que se modernizan, se refirió a:</w:t>
      </w:r>
      <w:r w:rsidRPr="00926BD4">
        <w:t xml:space="preserve"> </w:t>
      </w:r>
    </w:p>
    <w:p w14:paraId="4FDF92F4" w14:textId="77777777" w:rsidR="00926BD4" w:rsidRPr="00926BD4" w:rsidRDefault="00926BD4" w:rsidP="00926BD4">
      <w:pPr>
        <w:spacing w:line="276" w:lineRule="auto"/>
        <w:ind w:firstLine="1701"/>
        <w:jc w:val="both"/>
        <w:rPr>
          <w:rFonts w:ascii="Arial" w:hAnsi="Arial" w:cs="Arial"/>
          <w:sz w:val="24"/>
          <w:szCs w:val="24"/>
        </w:rPr>
      </w:pPr>
      <w:r w:rsidRPr="00926BD4">
        <w:rPr>
          <w:rFonts w:ascii="Arial" w:hAnsi="Arial" w:cs="Arial"/>
          <w:sz w:val="24"/>
          <w:szCs w:val="24"/>
        </w:rPr>
        <w:t xml:space="preserve">Exportaciones: China rebajó cerca de 30 ítems arancelarios del sector forestal en un periodo de 3 años. </w:t>
      </w:r>
    </w:p>
    <w:p w14:paraId="4F156DBC" w14:textId="77777777" w:rsidR="00926BD4" w:rsidRPr="00926BD4" w:rsidRDefault="00926BD4" w:rsidP="00926BD4">
      <w:pPr>
        <w:spacing w:line="276" w:lineRule="auto"/>
        <w:ind w:firstLine="1701"/>
        <w:jc w:val="both"/>
        <w:rPr>
          <w:rFonts w:ascii="Arial" w:hAnsi="Arial" w:cs="Arial"/>
          <w:sz w:val="24"/>
          <w:szCs w:val="24"/>
        </w:rPr>
      </w:pPr>
      <w:r w:rsidRPr="00926BD4">
        <w:rPr>
          <w:rFonts w:ascii="Arial" w:hAnsi="Arial" w:cs="Arial"/>
          <w:sz w:val="24"/>
          <w:szCs w:val="24"/>
        </w:rPr>
        <w:t>Importaciones: Chile otorgaría acceso libre de aranceles para 24 ítems arancelarios originarios de China, como azúcares, textiles y productos industriales.</w:t>
      </w:r>
    </w:p>
    <w:p w14:paraId="041FB000" w14:textId="77777777" w:rsidR="00926BD4" w:rsidRDefault="00926BD4" w:rsidP="00926BD4">
      <w:pPr>
        <w:spacing w:line="276" w:lineRule="auto"/>
        <w:ind w:firstLine="1701"/>
        <w:jc w:val="both"/>
        <w:rPr>
          <w:rFonts w:ascii="Arial" w:hAnsi="Arial" w:cs="Arial"/>
          <w:sz w:val="24"/>
          <w:szCs w:val="24"/>
        </w:rPr>
      </w:pPr>
      <w:r>
        <w:rPr>
          <w:rFonts w:ascii="Arial" w:hAnsi="Arial" w:cs="Arial"/>
          <w:sz w:val="24"/>
          <w:szCs w:val="24"/>
        </w:rPr>
        <w:t xml:space="preserve">Reglas de origen: </w:t>
      </w:r>
      <w:r w:rsidRPr="00926BD4">
        <w:rPr>
          <w:rFonts w:ascii="Arial" w:hAnsi="Arial" w:cs="Arial"/>
          <w:sz w:val="24"/>
          <w:szCs w:val="24"/>
        </w:rPr>
        <w:t>Minimis</w:t>
      </w:r>
      <w:r>
        <w:rPr>
          <w:rStyle w:val="Refdenotaalpie"/>
          <w:rFonts w:ascii="Arial" w:hAnsi="Arial" w:cs="Arial"/>
          <w:sz w:val="24"/>
          <w:szCs w:val="24"/>
        </w:rPr>
        <w:footnoteReference w:id="3"/>
      </w:r>
      <w:r w:rsidRPr="00926BD4">
        <w:rPr>
          <w:rFonts w:ascii="Arial" w:hAnsi="Arial" w:cs="Arial"/>
          <w:sz w:val="24"/>
          <w:szCs w:val="24"/>
        </w:rPr>
        <w:t>; Transporte Directo; Certificación de Origen;</w:t>
      </w:r>
      <w:r>
        <w:rPr>
          <w:rFonts w:ascii="Arial" w:hAnsi="Arial" w:cs="Arial"/>
          <w:sz w:val="24"/>
          <w:szCs w:val="24"/>
        </w:rPr>
        <w:t xml:space="preserve"> </w:t>
      </w:r>
      <w:r w:rsidRPr="00926BD4">
        <w:rPr>
          <w:rFonts w:ascii="Arial" w:hAnsi="Arial" w:cs="Arial"/>
          <w:sz w:val="24"/>
          <w:szCs w:val="24"/>
        </w:rPr>
        <w:t>Devolución de derechos; Excepción al Certificado de Origen.</w:t>
      </w:r>
    </w:p>
    <w:p w14:paraId="4EAF964A" w14:textId="77777777" w:rsidR="00926BD4" w:rsidRPr="00926BD4" w:rsidRDefault="00926BD4" w:rsidP="00926BD4">
      <w:pPr>
        <w:spacing w:line="276" w:lineRule="auto"/>
        <w:ind w:firstLine="1701"/>
        <w:jc w:val="both"/>
        <w:rPr>
          <w:rFonts w:ascii="Arial" w:hAnsi="Arial" w:cs="Arial"/>
          <w:sz w:val="24"/>
          <w:szCs w:val="24"/>
        </w:rPr>
      </w:pPr>
      <w:r>
        <w:rPr>
          <w:rFonts w:ascii="Arial" w:hAnsi="Arial" w:cs="Arial"/>
          <w:sz w:val="24"/>
          <w:szCs w:val="24"/>
        </w:rPr>
        <w:t xml:space="preserve">Comercio de servicios: </w:t>
      </w:r>
      <w:r w:rsidRPr="00926BD4">
        <w:rPr>
          <w:rFonts w:ascii="Arial" w:hAnsi="Arial" w:cs="Arial"/>
          <w:sz w:val="24"/>
          <w:szCs w:val="24"/>
        </w:rPr>
        <w:t xml:space="preserve">Se mejoran listas de compromisos específicos establecidos con anterioridad en el acuerdo. En este sentido se adoptan </w:t>
      </w:r>
      <w:r w:rsidRPr="00926BD4">
        <w:rPr>
          <w:rFonts w:ascii="Arial" w:hAnsi="Arial" w:cs="Arial"/>
          <w:sz w:val="24"/>
          <w:szCs w:val="24"/>
        </w:rPr>
        <w:lastRenderedPageBreak/>
        <w:t>elementos adicionales a Servicios Profesionales; servicios de Telecomunicaciones, Servicios Audiovisuales, Servicios de Construcción y Servicios de Distribución, entre otros (Anexo 8-A).</w:t>
      </w:r>
    </w:p>
    <w:p w14:paraId="412567C1" w14:textId="77777777" w:rsidR="00926BD4" w:rsidRPr="00926BD4" w:rsidRDefault="00926BD4" w:rsidP="00926BD4">
      <w:pPr>
        <w:spacing w:line="276" w:lineRule="auto"/>
        <w:ind w:firstLine="1701"/>
        <w:jc w:val="both"/>
        <w:rPr>
          <w:rFonts w:ascii="Arial" w:hAnsi="Arial" w:cs="Arial"/>
          <w:sz w:val="24"/>
          <w:szCs w:val="24"/>
        </w:rPr>
      </w:pPr>
      <w:r>
        <w:rPr>
          <w:rFonts w:ascii="Arial" w:hAnsi="Arial" w:cs="Arial"/>
          <w:sz w:val="24"/>
          <w:szCs w:val="24"/>
        </w:rPr>
        <w:t xml:space="preserve">Cooperación económica y técnica: </w:t>
      </w:r>
      <w:r w:rsidRPr="00926BD4">
        <w:rPr>
          <w:rFonts w:ascii="Arial" w:hAnsi="Arial" w:cs="Arial"/>
          <w:sz w:val="24"/>
          <w:szCs w:val="24"/>
        </w:rPr>
        <w:t>Agricultura; Protección de los Intereses y Derecho de Consumidores Financieros; Cooperación en Pagos Transfronterizos y Supervisión; Cadenas Globales de Valor y Compras Públicas.</w:t>
      </w:r>
    </w:p>
    <w:p w14:paraId="530A2CE8" w14:textId="77777777" w:rsidR="00440A6A" w:rsidRDefault="00440A6A" w:rsidP="00926BD4">
      <w:pPr>
        <w:spacing w:line="276" w:lineRule="auto"/>
        <w:ind w:firstLine="1701"/>
        <w:jc w:val="both"/>
        <w:rPr>
          <w:rFonts w:ascii="Arial" w:hAnsi="Arial" w:cs="Arial"/>
          <w:sz w:val="24"/>
          <w:szCs w:val="24"/>
        </w:rPr>
      </w:pPr>
    </w:p>
    <w:p w14:paraId="4869994C" w14:textId="77777777" w:rsidR="005F2DBF" w:rsidRDefault="005F2DBF" w:rsidP="00926BD4">
      <w:pPr>
        <w:spacing w:line="276" w:lineRule="auto"/>
        <w:ind w:firstLine="1701"/>
        <w:jc w:val="both"/>
        <w:rPr>
          <w:rFonts w:ascii="Arial" w:hAnsi="Arial" w:cs="Arial"/>
          <w:sz w:val="24"/>
          <w:szCs w:val="24"/>
        </w:rPr>
      </w:pPr>
      <w:r>
        <w:rPr>
          <w:rFonts w:ascii="Arial" w:hAnsi="Arial" w:cs="Arial"/>
          <w:sz w:val="24"/>
          <w:szCs w:val="24"/>
        </w:rPr>
        <w:t xml:space="preserve">Los integrantes de la Comisión hicieron ver su preocupación por la consecuencia que pudiera tener respecto del tratado, -algún cambio en particular, -el </w:t>
      </w:r>
      <w:r w:rsidR="00926BD4" w:rsidRPr="00926BD4">
        <w:rPr>
          <w:rFonts w:ascii="Arial" w:hAnsi="Arial" w:cs="Arial"/>
          <w:sz w:val="24"/>
          <w:szCs w:val="24"/>
        </w:rPr>
        <w:t xml:space="preserve">conflicto comercial existente entre China y EEUU. </w:t>
      </w:r>
    </w:p>
    <w:p w14:paraId="162ACA5C" w14:textId="77777777" w:rsidR="00926BD4" w:rsidRPr="00926BD4" w:rsidRDefault="005F2DBF" w:rsidP="00926BD4">
      <w:pPr>
        <w:spacing w:line="276" w:lineRule="auto"/>
        <w:ind w:firstLine="1701"/>
        <w:jc w:val="both"/>
        <w:rPr>
          <w:rFonts w:ascii="Arial" w:hAnsi="Arial" w:cs="Arial"/>
          <w:sz w:val="24"/>
          <w:szCs w:val="24"/>
        </w:rPr>
      </w:pPr>
      <w:r>
        <w:rPr>
          <w:rFonts w:ascii="Arial" w:hAnsi="Arial" w:cs="Arial"/>
          <w:sz w:val="24"/>
          <w:szCs w:val="24"/>
        </w:rPr>
        <w:t>Asimismo, en cuanto a que</w:t>
      </w:r>
      <w:r w:rsidR="00926BD4" w:rsidRPr="00926BD4">
        <w:rPr>
          <w:rFonts w:ascii="Arial" w:hAnsi="Arial" w:cs="Arial"/>
          <w:sz w:val="24"/>
          <w:szCs w:val="24"/>
        </w:rPr>
        <w:t xml:space="preserve"> muchos de los acuerdos implican una rebaja en la recaudación para Chile</w:t>
      </w:r>
      <w:r>
        <w:rPr>
          <w:rFonts w:ascii="Arial" w:hAnsi="Arial" w:cs="Arial"/>
          <w:sz w:val="24"/>
          <w:szCs w:val="24"/>
        </w:rPr>
        <w:t>, y, en tal contexto,</w:t>
      </w:r>
      <w:r w:rsidR="00926BD4" w:rsidRPr="00926BD4">
        <w:rPr>
          <w:rFonts w:ascii="Arial" w:hAnsi="Arial" w:cs="Arial"/>
          <w:sz w:val="24"/>
          <w:szCs w:val="24"/>
        </w:rPr>
        <w:t xml:space="preserve"> si estos acuerdos en general y al largo plazo generan beneficios para las finanzas del Estado. </w:t>
      </w:r>
    </w:p>
    <w:p w14:paraId="02A1E56C" w14:textId="77777777" w:rsidR="00926BD4" w:rsidRDefault="00926BD4" w:rsidP="00926BD4">
      <w:pPr>
        <w:spacing w:line="276" w:lineRule="auto"/>
        <w:ind w:firstLine="1701"/>
        <w:jc w:val="both"/>
        <w:rPr>
          <w:rFonts w:ascii="Arial" w:hAnsi="Arial" w:cs="Arial"/>
          <w:sz w:val="24"/>
          <w:szCs w:val="24"/>
        </w:rPr>
      </w:pPr>
      <w:r w:rsidRPr="00926BD4">
        <w:rPr>
          <w:rFonts w:ascii="Arial" w:hAnsi="Arial" w:cs="Arial"/>
          <w:sz w:val="24"/>
          <w:szCs w:val="24"/>
        </w:rPr>
        <w:t xml:space="preserve">El señor Lopeandía señaló que </w:t>
      </w:r>
      <w:r>
        <w:rPr>
          <w:rFonts w:ascii="Arial" w:hAnsi="Arial" w:cs="Arial"/>
          <w:sz w:val="24"/>
          <w:szCs w:val="24"/>
        </w:rPr>
        <w:t>se está</w:t>
      </w:r>
      <w:r w:rsidRPr="00926BD4">
        <w:rPr>
          <w:rFonts w:ascii="Arial" w:hAnsi="Arial" w:cs="Arial"/>
          <w:sz w:val="24"/>
          <w:szCs w:val="24"/>
        </w:rPr>
        <w:t xml:space="preserve"> ante un escenario de mucha incertidumbre, pero consideró que este tipo de acuerdos van en la línea correcta, aún frente a las presiones proteccionistas que anuncian ciertas naciones. Este acuerdo, bilateral, nos pone en una situación ventajosa frente a países que no tienen acuerdos con China, protegiéndonos frente a la incertidumbre y a los vaivenes de las demás potencias. Respecto al potencial económico de estos acuerdos, tienen la visión de que estos acuerdos redundan en un dinamismo muy positivo para la economía nacional.  </w:t>
      </w:r>
    </w:p>
    <w:p w14:paraId="17EB03FA" w14:textId="77777777" w:rsidR="000F6588" w:rsidRPr="005135FA" w:rsidRDefault="000F6588" w:rsidP="000F6588">
      <w:pPr>
        <w:spacing w:line="276" w:lineRule="auto"/>
        <w:ind w:firstLine="1701"/>
        <w:jc w:val="both"/>
        <w:rPr>
          <w:rFonts w:ascii="Arial" w:eastAsia="Calibri" w:hAnsi="Arial" w:cs="Arial"/>
          <w:sz w:val="24"/>
          <w:szCs w:val="24"/>
          <w:lang w:val="es-CL"/>
        </w:rPr>
      </w:pPr>
      <w:r w:rsidRPr="005135FA">
        <w:rPr>
          <w:rFonts w:ascii="Arial" w:eastAsia="Calibri" w:hAnsi="Arial" w:cs="Arial"/>
          <w:sz w:val="24"/>
          <w:szCs w:val="24"/>
          <w:lang w:val="es-CL"/>
        </w:rPr>
        <w:t xml:space="preserve">Por otra parte, </w:t>
      </w:r>
      <w:r>
        <w:rPr>
          <w:rFonts w:ascii="Arial" w:eastAsia="Calibri" w:hAnsi="Arial" w:cs="Arial"/>
          <w:sz w:val="24"/>
          <w:szCs w:val="24"/>
          <w:lang w:val="es-CL"/>
        </w:rPr>
        <w:t xml:space="preserve">el representante del Ejecutivo </w:t>
      </w:r>
      <w:r w:rsidRPr="005135FA">
        <w:rPr>
          <w:rFonts w:ascii="Arial" w:eastAsia="Calibri" w:hAnsi="Arial" w:cs="Arial"/>
          <w:sz w:val="24"/>
          <w:szCs w:val="24"/>
          <w:lang w:val="es-CL"/>
        </w:rPr>
        <w:t xml:space="preserve">expresó que el proyecto no irroga gastos para el Estado, tal como lo declara el informe financiero. </w:t>
      </w:r>
    </w:p>
    <w:p w14:paraId="2E0459F4" w14:textId="77777777" w:rsidR="000F6588" w:rsidRPr="00C92A4E" w:rsidRDefault="000F6588" w:rsidP="000F6588">
      <w:pPr>
        <w:spacing w:line="276" w:lineRule="auto"/>
        <w:ind w:firstLine="1701"/>
        <w:jc w:val="both"/>
        <w:rPr>
          <w:rFonts w:ascii="Arial" w:eastAsia="Calibri" w:hAnsi="Arial" w:cs="Arial"/>
          <w:sz w:val="24"/>
          <w:szCs w:val="24"/>
          <w:lang w:val="es-CL"/>
        </w:rPr>
      </w:pPr>
      <w:r>
        <w:rPr>
          <w:rFonts w:ascii="Arial" w:eastAsia="Calibri" w:hAnsi="Arial" w:cs="Arial"/>
          <w:sz w:val="24"/>
          <w:szCs w:val="24"/>
          <w:lang w:val="es-CL"/>
        </w:rPr>
        <w:t xml:space="preserve">El Presidente de la Comisión, señor Lorenzini, hizo ver la necesidad de precisar </w:t>
      </w:r>
      <w:r w:rsidRPr="00C92A4E">
        <w:rPr>
          <w:rFonts w:ascii="Arial" w:eastAsia="Calibri" w:hAnsi="Arial" w:cs="Arial"/>
          <w:sz w:val="24"/>
          <w:szCs w:val="24"/>
          <w:lang w:val="es-CL"/>
        </w:rPr>
        <w:t>a qué se refiere “mayor gasto fiscal”, ¿implica que hay gasto aún cuando no sea mayor?</w:t>
      </w:r>
    </w:p>
    <w:p w14:paraId="77FB9EBC" w14:textId="77777777" w:rsidR="000F6588" w:rsidRPr="005135FA" w:rsidRDefault="000F6588" w:rsidP="000F6588">
      <w:pPr>
        <w:spacing w:line="276" w:lineRule="auto"/>
        <w:ind w:firstLine="1701"/>
        <w:jc w:val="both"/>
        <w:rPr>
          <w:rFonts w:ascii="Arial" w:eastAsia="Calibri" w:hAnsi="Arial" w:cs="Arial"/>
          <w:sz w:val="24"/>
          <w:szCs w:val="24"/>
          <w:lang w:val="es-CL"/>
        </w:rPr>
      </w:pPr>
      <w:r w:rsidRPr="005135FA">
        <w:rPr>
          <w:rFonts w:ascii="Arial" w:eastAsia="Calibri" w:hAnsi="Arial" w:cs="Arial"/>
          <w:sz w:val="24"/>
          <w:szCs w:val="24"/>
          <w:lang w:val="es-CL"/>
        </w:rPr>
        <w:t xml:space="preserve">El diputado </w:t>
      </w:r>
      <w:r w:rsidRPr="00C92A4E">
        <w:rPr>
          <w:rFonts w:ascii="Arial" w:eastAsia="Calibri" w:hAnsi="Arial" w:cs="Arial"/>
          <w:sz w:val="24"/>
          <w:szCs w:val="24"/>
          <w:lang w:val="es-CL"/>
        </w:rPr>
        <w:t>Lorenzini</w:t>
      </w:r>
      <w:r w:rsidRPr="005135FA">
        <w:rPr>
          <w:rFonts w:ascii="Arial" w:eastAsia="Calibri" w:hAnsi="Arial" w:cs="Arial"/>
          <w:sz w:val="24"/>
          <w:szCs w:val="24"/>
          <w:lang w:val="es-CL"/>
        </w:rPr>
        <w:t xml:space="preserve"> indicó que no queda claro si tiene o no gasto, y en el evento de que lo tuviera, cuál sería su monto. Solicitó a la Dirección de Presupuestos aclarar ese punto</w:t>
      </w:r>
      <w:r>
        <w:rPr>
          <w:rStyle w:val="Refdenotaalpie"/>
          <w:rFonts w:ascii="Arial" w:eastAsia="Calibri" w:hAnsi="Arial" w:cs="Arial"/>
          <w:sz w:val="24"/>
          <w:szCs w:val="24"/>
          <w:lang w:val="es-CL"/>
        </w:rPr>
        <w:footnoteReference w:id="4"/>
      </w:r>
      <w:r w:rsidRPr="005135FA">
        <w:rPr>
          <w:rFonts w:ascii="Arial" w:eastAsia="Calibri" w:hAnsi="Arial" w:cs="Arial"/>
          <w:sz w:val="24"/>
          <w:szCs w:val="24"/>
          <w:lang w:val="es-CL"/>
        </w:rPr>
        <w:t>.</w:t>
      </w:r>
    </w:p>
    <w:p w14:paraId="0B057BE0" w14:textId="77777777" w:rsidR="00863A6B" w:rsidRDefault="00863A6B" w:rsidP="00863A6B">
      <w:pPr>
        <w:spacing w:line="276" w:lineRule="auto"/>
        <w:jc w:val="both"/>
        <w:rPr>
          <w:rFonts w:ascii="Arial" w:hAnsi="Arial" w:cs="Arial"/>
          <w:b/>
          <w:sz w:val="24"/>
          <w:szCs w:val="24"/>
        </w:rPr>
      </w:pPr>
    </w:p>
    <w:p w14:paraId="6C6DF14D" w14:textId="77777777" w:rsidR="00114E47" w:rsidRDefault="00114E47" w:rsidP="00CD5CDB">
      <w:pPr>
        <w:tabs>
          <w:tab w:val="left" w:pos="-284"/>
          <w:tab w:val="left" w:pos="0"/>
          <w:tab w:val="left" w:pos="851"/>
        </w:tabs>
        <w:spacing w:line="276" w:lineRule="auto"/>
        <w:ind w:right="51" w:firstLine="1701"/>
        <w:jc w:val="both"/>
        <w:rPr>
          <w:rFonts w:ascii="Arial" w:hAnsi="Arial" w:cs="Arial"/>
          <w:sz w:val="24"/>
          <w:szCs w:val="24"/>
          <w:u w:val="single"/>
        </w:rPr>
      </w:pPr>
      <w:r w:rsidRPr="00114E47">
        <w:rPr>
          <w:rFonts w:ascii="Arial" w:hAnsi="Arial" w:cs="Arial"/>
          <w:sz w:val="24"/>
          <w:szCs w:val="24"/>
        </w:rPr>
        <w:t xml:space="preserve">2.- </w:t>
      </w:r>
      <w:r w:rsidRPr="0051378F">
        <w:rPr>
          <w:rFonts w:ascii="Arial" w:hAnsi="Arial" w:cs="Arial"/>
          <w:sz w:val="24"/>
          <w:szCs w:val="24"/>
          <w:u w:val="single"/>
        </w:rPr>
        <w:t>Votación</w:t>
      </w:r>
    </w:p>
    <w:p w14:paraId="50CF0843" w14:textId="77777777" w:rsidR="00926BD4" w:rsidRDefault="00926BD4" w:rsidP="00CD5CDB">
      <w:pPr>
        <w:tabs>
          <w:tab w:val="left" w:pos="-284"/>
          <w:tab w:val="left" w:pos="0"/>
          <w:tab w:val="left" w:pos="851"/>
        </w:tabs>
        <w:spacing w:line="276" w:lineRule="auto"/>
        <w:ind w:right="51" w:firstLine="1701"/>
        <w:jc w:val="both"/>
        <w:rPr>
          <w:rFonts w:ascii="Arial" w:hAnsi="Arial" w:cs="Arial"/>
          <w:sz w:val="24"/>
          <w:szCs w:val="24"/>
          <w:u w:val="single"/>
        </w:rPr>
      </w:pPr>
    </w:p>
    <w:p w14:paraId="317CE4C2" w14:textId="77777777" w:rsidR="00C04839" w:rsidRDefault="000B47BD" w:rsidP="000B47BD">
      <w:pPr>
        <w:tabs>
          <w:tab w:val="left" w:pos="-284"/>
          <w:tab w:val="left" w:pos="0"/>
          <w:tab w:val="left" w:pos="851"/>
        </w:tabs>
        <w:spacing w:line="276" w:lineRule="auto"/>
        <w:ind w:right="51" w:firstLine="1701"/>
        <w:jc w:val="both"/>
      </w:pPr>
      <w:r w:rsidRPr="000B47BD">
        <w:rPr>
          <w:rFonts w:ascii="Arial" w:hAnsi="Arial" w:cs="Arial"/>
          <w:sz w:val="24"/>
          <w:szCs w:val="24"/>
        </w:rPr>
        <w:t>La Comisión</w:t>
      </w:r>
      <w:r>
        <w:rPr>
          <w:rFonts w:ascii="Arial" w:hAnsi="Arial" w:cs="Arial"/>
          <w:sz w:val="24"/>
          <w:szCs w:val="24"/>
        </w:rPr>
        <w:t>, en definitiva, compartió los términos del proyecto de acuerdo sometido a consideración y p</w:t>
      </w:r>
      <w:r w:rsidR="00C04839">
        <w:rPr>
          <w:rFonts w:ascii="Arial" w:hAnsi="Arial" w:cs="Arial"/>
          <w:sz w:val="24"/>
          <w:szCs w:val="24"/>
        </w:rPr>
        <w:t xml:space="preserve">uesto el artículo único en votación, fue aprobado, en los mismos términos, por la </w:t>
      </w:r>
      <w:r w:rsidR="00863A6B">
        <w:rPr>
          <w:rFonts w:ascii="Arial" w:hAnsi="Arial" w:cs="Arial"/>
          <w:sz w:val="24"/>
          <w:szCs w:val="24"/>
        </w:rPr>
        <w:t xml:space="preserve">mayoría </w:t>
      </w:r>
      <w:r w:rsidR="00C04839">
        <w:rPr>
          <w:rFonts w:ascii="Arial" w:hAnsi="Arial" w:cs="Arial"/>
          <w:sz w:val="24"/>
          <w:szCs w:val="24"/>
        </w:rPr>
        <w:t xml:space="preserve">de </w:t>
      </w:r>
      <w:r w:rsidR="00863A6B">
        <w:rPr>
          <w:rFonts w:ascii="Arial" w:hAnsi="Arial" w:cs="Arial"/>
          <w:sz w:val="24"/>
          <w:szCs w:val="24"/>
        </w:rPr>
        <w:t>ocho</w:t>
      </w:r>
      <w:r w:rsidR="00C04839">
        <w:rPr>
          <w:rFonts w:ascii="Arial" w:hAnsi="Arial" w:cs="Arial"/>
          <w:sz w:val="24"/>
          <w:szCs w:val="24"/>
        </w:rPr>
        <w:t xml:space="preserve"> integrantes </w:t>
      </w:r>
      <w:r w:rsidR="00C04839" w:rsidRPr="00B44BF2">
        <w:rPr>
          <w:rFonts w:ascii="Arial" w:hAnsi="Arial" w:cs="Arial"/>
          <w:sz w:val="24"/>
          <w:szCs w:val="24"/>
        </w:rPr>
        <w:t>presentes</w:t>
      </w:r>
      <w:r w:rsidR="00C04839">
        <w:rPr>
          <w:rFonts w:ascii="Arial" w:hAnsi="Arial" w:cs="Arial"/>
          <w:sz w:val="24"/>
          <w:szCs w:val="24"/>
        </w:rPr>
        <w:t xml:space="preserve">, señores Carlos Kuschel Silva, Pablo Lorenzini Basso (Presidente), Patricio Melero Abaroa, </w:t>
      </w:r>
      <w:r w:rsidR="00863A6B">
        <w:rPr>
          <w:rFonts w:ascii="Arial" w:hAnsi="Arial" w:cs="Arial"/>
          <w:sz w:val="24"/>
          <w:szCs w:val="24"/>
        </w:rPr>
        <w:t xml:space="preserve">Manuel Monsalve Benavides, </w:t>
      </w:r>
      <w:r w:rsidR="00C04839" w:rsidRPr="00FE4ED3">
        <w:rPr>
          <w:rFonts w:ascii="Arial" w:hAnsi="Arial" w:cs="Arial"/>
          <w:sz w:val="24"/>
          <w:szCs w:val="24"/>
        </w:rPr>
        <w:t>José Miguel Ortiz</w:t>
      </w:r>
      <w:r w:rsidR="00C04839">
        <w:rPr>
          <w:rFonts w:ascii="Arial" w:hAnsi="Arial" w:cs="Arial"/>
          <w:sz w:val="24"/>
          <w:szCs w:val="24"/>
        </w:rPr>
        <w:t xml:space="preserve"> Novoa</w:t>
      </w:r>
      <w:r w:rsidR="00C04839" w:rsidRPr="00FE4ED3">
        <w:rPr>
          <w:rFonts w:ascii="Arial" w:hAnsi="Arial" w:cs="Arial"/>
          <w:sz w:val="24"/>
          <w:szCs w:val="24"/>
        </w:rPr>
        <w:t xml:space="preserve">; </w:t>
      </w:r>
      <w:r w:rsidR="00C04839">
        <w:rPr>
          <w:rFonts w:ascii="Arial" w:hAnsi="Arial" w:cs="Arial"/>
          <w:sz w:val="24"/>
          <w:szCs w:val="24"/>
        </w:rPr>
        <w:t xml:space="preserve">Leopoldo Pérez Lahsen, </w:t>
      </w:r>
      <w:r w:rsidR="00A34356">
        <w:rPr>
          <w:rFonts w:ascii="Arial" w:hAnsi="Arial" w:cs="Arial"/>
          <w:sz w:val="24"/>
          <w:szCs w:val="24"/>
        </w:rPr>
        <w:t>Alejandro Santana Tirachini</w:t>
      </w:r>
      <w:r w:rsidR="00C04839">
        <w:rPr>
          <w:rFonts w:ascii="Arial" w:hAnsi="Arial" w:cs="Arial"/>
          <w:sz w:val="24"/>
          <w:szCs w:val="24"/>
        </w:rPr>
        <w:t xml:space="preserve"> y Gastón Von Mühlenbrock Zamora.</w:t>
      </w:r>
      <w:r w:rsidR="00863A6B">
        <w:rPr>
          <w:rFonts w:ascii="Arial" w:hAnsi="Arial" w:cs="Arial"/>
          <w:sz w:val="24"/>
          <w:szCs w:val="24"/>
        </w:rPr>
        <w:t xml:space="preserve"> Se abstuvo el señor Giorgio Jackson Drago</w:t>
      </w:r>
      <w:r w:rsidR="00C53F93">
        <w:rPr>
          <w:rFonts w:ascii="Arial" w:hAnsi="Arial" w:cs="Arial"/>
          <w:sz w:val="24"/>
          <w:szCs w:val="24"/>
        </w:rPr>
        <w:t>, quien consideró que le faltaban antecedentes para preoceder a su aprobación.</w:t>
      </w:r>
    </w:p>
    <w:p w14:paraId="1F60A7F7" w14:textId="77777777" w:rsidR="003F480A" w:rsidRDefault="003F480A" w:rsidP="00CD5CDB">
      <w:pPr>
        <w:tabs>
          <w:tab w:val="left" w:pos="2268"/>
        </w:tabs>
        <w:spacing w:after="200" w:line="276" w:lineRule="auto"/>
        <w:ind w:firstLine="1701"/>
        <w:jc w:val="both"/>
        <w:rPr>
          <w:rFonts w:ascii="Arial" w:hAnsi="Arial" w:cs="Arial"/>
          <w:spacing w:val="-3"/>
          <w:sz w:val="24"/>
          <w:szCs w:val="24"/>
          <w:lang w:val="es-CL" w:eastAsia="en-US" w:bidi="en-US"/>
        </w:rPr>
      </w:pPr>
    </w:p>
    <w:p w14:paraId="5A187F21" w14:textId="77777777" w:rsidR="003F480A" w:rsidRDefault="003F480A" w:rsidP="00CD5CDB">
      <w:pPr>
        <w:tabs>
          <w:tab w:val="left" w:pos="2268"/>
        </w:tabs>
        <w:spacing w:after="200" w:line="276" w:lineRule="auto"/>
        <w:ind w:firstLine="1701"/>
        <w:jc w:val="both"/>
        <w:rPr>
          <w:rFonts w:ascii="Arial" w:hAnsi="Arial" w:cs="Arial"/>
          <w:spacing w:val="-3"/>
          <w:sz w:val="24"/>
          <w:szCs w:val="24"/>
          <w:lang w:val="es-CL" w:eastAsia="en-US" w:bidi="en-US"/>
        </w:rPr>
      </w:pPr>
      <w:r w:rsidRPr="003F480A">
        <w:rPr>
          <w:rFonts w:ascii="Arial" w:hAnsi="Arial" w:cs="Arial"/>
          <w:spacing w:val="-3"/>
          <w:sz w:val="24"/>
          <w:szCs w:val="24"/>
          <w:lang w:val="es-CL" w:eastAsia="en-US" w:bidi="en-US"/>
        </w:rPr>
        <w:lastRenderedPageBreak/>
        <w:t xml:space="preserve">Por las razones señaladas y consideraciones que expondrá el señor Diputado Informante, la Comisión </w:t>
      </w:r>
      <w:r>
        <w:rPr>
          <w:rFonts w:ascii="Arial" w:hAnsi="Arial" w:cs="Arial"/>
          <w:spacing w:val="-3"/>
          <w:sz w:val="24"/>
          <w:szCs w:val="24"/>
          <w:lang w:val="es-CL" w:eastAsia="en-US" w:bidi="en-US"/>
        </w:rPr>
        <w:t>de Hacienda</w:t>
      </w:r>
      <w:r w:rsidRPr="003F480A">
        <w:rPr>
          <w:rFonts w:ascii="Arial" w:hAnsi="Arial" w:cs="Arial"/>
          <w:spacing w:val="-3"/>
          <w:sz w:val="24"/>
          <w:szCs w:val="24"/>
          <w:lang w:val="es-CL" w:eastAsia="en-US" w:bidi="en-US"/>
        </w:rPr>
        <w:t xml:space="preserve"> recomienda aprobar el </w:t>
      </w:r>
      <w:r w:rsidR="006427D9">
        <w:rPr>
          <w:rFonts w:ascii="Arial" w:hAnsi="Arial" w:cs="Arial"/>
          <w:spacing w:val="-3"/>
          <w:sz w:val="24"/>
          <w:szCs w:val="24"/>
          <w:lang w:val="es-CL" w:eastAsia="en-US" w:bidi="en-US"/>
        </w:rPr>
        <w:t>proyecto de acuerdo sometido a consideración</w:t>
      </w:r>
      <w:r w:rsidR="008605B7">
        <w:rPr>
          <w:rFonts w:ascii="Arial" w:hAnsi="Arial" w:cs="Arial"/>
          <w:spacing w:val="-3"/>
          <w:sz w:val="24"/>
          <w:szCs w:val="24"/>
          <w:lang w:val="es-CL" w:eastAsia="en-US" w:bidi="en-US"/>
        </w:rPr>
        <w:t>, en la forma explicada.</w:t>
      </w:r>
    </w:p>
    <w:p w14:paraId="78D1EB01" w14:textId="77777777" w:rsidR="0051378F" w:rsidRPr="006C080A" w:rsidRDefault="0051378F" w:rsidP="009B38C2">
      <w:pPr>
        <w:tabs>
          <w:tab w:val="left" w:pos="2835"/>
        </w:tabs>
        <w:spacing w:before="240" w:after="240" w:line="276" w:lineRule="auto"/>
        <w:jc w:val="center"/>
        <w:rPr>
          <w:rFonts w:ascii="Arial" w:hAnsi="Arial" w:cs="Arial"/>
          <w:spacing w:val="-3"/>
          <w:sz w:val="24"/>
          <w:szCs w:val="24"/>
        </w:rPr>
      </w:pPr>
      <w:r>
        <w:rPr>
          <w:rFonts w:ascii="Arial" w:hAnsi="Arial" w:cs="Arial"/>
          <w:sz w:val="24"/>
          <w:szCs w:val="24"/>
          <w:lang w:val="es-MX"/>
        </w:rPr>
        <w:t>*******</w:t>
      </w:r>
    </w:p>
    <w:p w14:paraId="28317349" w14:textId="77777777" w:rsidR="003D3F55" w:rsidRPr="00FE4ED3" w:rsidRDefault="00930416" w:rsidP="00CD5CDB">
      <w:pPr>
        <w:tabs>
          <w:tab w:val="left" w:pos="-284"/>
          <w:tab w:val="left" w:pos="0"/>
          <w:tab w:val="left" w:pos="851"/>
        </w:tabs>
        <w:spacing w:line="276" w:lineRule="auto"/>
        <w:ind w:right="51" w:firstLine="1701"/>
        <w:jc w:val="both"/>
        <w:rPr>
          <w:rFonts w:ascii="Arial" w:hAnsi="Arial" w:cs="Arial"/>
          <w:sz w:val="24"/>
          <w:szCs w:val="24"/>
        </w:rPr>
      </w:pPr>
      <w:r w:rsidRPr="00FE4ED3">
        <w:rPr>
          <w:rFonts w:ascii="Arial" w:hAnsi="Arial" w:cs="Arial"/>
          <w:sz w:val="24"/>
          <w:szCs w:val="24"/>
        </w:rPr>
        <w:t>Tratado y a</w:t>
      </w:r>
      <w:r w:rsidR="009B242B" w:rsidRPr="00FE4ED3">
        <w:rPr>
          <w:rFonts w:ascii="Arial" w:hAnsi="Arial" w:cs="Arial"/>
          <w:sz w:val="24"/>
          <w:szCs w:val="24"/>
        </w:rPr>
        <w:t xml:space="preserve">cordado en </w:t>
      </w:r>
      <w:r w:rsidR="00E0716C" w:rsidRPr="00FE4ED3">
        <w:rPr>
          <w:rFonts w:ascii="Arial" w:hAnsi="Arial" w:cs="Arial"/>
          <w:sz w:val="24"/>
          <w:szCs w:val="24"/>
        </w:rPr>
        <w:t xml:space="preserve">sesión </w:t>
      </w:r>
      <w:r w:rsidR="00EE0170">
        <w:rPr>
          <w:rFonts w:ascii="Arial" w:hAnsi="Arial" w:cs="Arial"/>
          <w:sz w:val="24"/>
          <w:szCs w:val="24"/>
        </w:rPr>
        <w:t>celebrada el</w:t>
      </w:r>
      <w:r w:rsidR="001254D1">
        <w:rPr>
          <w:rFonts w:ascii="Arial" w:hAnsi="Arial" w:cs="Arial"/>
          <w:sz w:val="24"/>
          <w:szCs w:val="24"/>
        </w:rPr>
        <w:t xml:space="preserve"> </w:t>
      </w:r>
      <w:r w:rsidR="002D461F">
        <w:rPr>
          <w:rFonts w:ascii="Arial" w:hAnsi="Arial" w:cs="Arial"/>
          <w:sz w:val="24"/>
          <w:szCs w:val="24"/>
        </w:rPr>
        <w:t>10 de julio</w:t>
      </w:r>
      <w:r w:rsidR="001254D1">
        <w:rPr>
          <w:rFonts w:ascii="Arial" w:hAnsi="Arial" w:cs="Arial"/>
          <w:sz w:val="24"/>
          <w:szCs w:val="24"/>
        </w:rPr>
        <w:t xml:space="preserve"> </w:t>
      </w:r>
      <w:r w:rsidR="00AD01A9" w:rsidRPr="00FE4ED3">
        <w:rPr>
          <w:rFonts w:ascii="Arial" w:hAnsi="Arial" w:cs="Arial"/>
          <w:sz w:val="24"/>
          <w:szCs w:val="24"/>
        </w:rPr>
        <w:t>de 201</w:t>
      </w:r>
      <w:r w:rsidR="00EE0170">
        <w:rPr>
          <w:rFonts w:ascii="Arial" w:hAnsi="Arial" w:cs="Arial"/>
          <w:sz w:val="24"/>
          <w:szCs w:val="24"/>
        </w:rPr>
        <w:t>8</w:t>
      </w:r>
      <w:r w:rsidR="00AD01A9" w:rsidRPr="00FE4ED3">
        <w:rPr>
          <w:rFonts w:ascii="Arial" w:hAnsi="Arial" w:cs="Arial"/>
          <w:sz w:val="24"/>
          <w:szCs w:val="24"/>
        </w:rPr>
        <w:t xml:space="preserve">, con la asistencia de los </w:t>
      </w:r>
      <w:r w:rsidR="002D461F">
        <w:rPr>
          <w:rFonts w:ascii="Arial" w:hAnsi="Arial" w:cs="Arial"/>
          <w:sz w:val="24"/>
          <w:szCs w:val="24"/>
        </w:rPr>
        <w:t>d</w:t>
      </w:r>
      <w:r w:rsidR="00AD01A9" w:rsidRPr="00FE4ED3">
        <w:rPr>
          <w:rFonts w:ascii="Arial" w:hAnsi="Arial" w:cs="Arial"/>
          <w:sz w:val="24"/>
          <w:szCs w:val="24"/>
        </w:rPr>
        <w:t>iputados señores</w:t>
      </w:r>
      <w:r w:rsidR="00590980" w:rsidRPr="00FE4ED3">
        <w:rPr>
          <w:rFonts w:ascii="Arial" w:hAnsi="Arial" w:cs="Arial"/>
          <w:sz w:val="24"/>
          <w:szCs w:val="24"/>
        </w:rPr>
        <w:t xml:space="preserve"> </w:t>
      </w:r>
      <w:r w:rsidR="00EE0170">
        <w:rPr>
          <w:rFonts w:ascii="Arial" w:hAnsi="Arial" w:cs="Arial"/>
          <w:sz w:val="24"/>
          <w:szCs w:val="24"/>
        </w:rPr>
        <w:t xml:space="preserve">Giorgio Jackson Drago, Carlos Kuschel Silva, </w:t>
      </w:r>
      <w:r w:rsidR="000A607D">
        <w:rPr>
          <w:rFonts w:ascii="Arial" w:hAnsi="Arial" w:cs="Arial"/>
          <w:sz w:val="24"/>
          <w:szCs w:val="24"/>
        </w:rPr>
        <w:t xml:space="preserve">Pablo Lorenzini Basso (Presidente), Patricio Melero Abaroa, Manuel Monsalve Benavides, </w:t>
      </w:r>
      <w:r w:rsidR="00AD01A9" w:rsidRPr="00FE4ED3">
        <w:rPr>
          <w:rFonts w:ascii="Arial" w:hAnsi="Arial" w:cs="Arial"/>
          <w:sz w:val="24"/>
          <w:szCs w:val="24"/>
        </w:rPr>
        <w:t>José Miguel Ortiz</w:t>
      </w:r>
      <w:r w:rsidR="000A607D">
        <w:rPr>
          <w:rFonts w:ascii="Arial" w:hAnsi="Arial" w:cs="Arial"/>
          <w:sz w:val="24"/>
          <w:szCs w:val="24"/>
        </w:rPr>
        <w:t xml:space="preserve"> Novoa</w:t>
      </w:r>
      <w:r w:rsidR="00AD01A9" w:rsidRPr="00FE4ED3">
        <w:rPr>
          <w:rFonts w:ascii="Arial" w:hAnsi="Arial" w:cs="Arial"/>
          <w:sz w:val="24"/>
          <w:szCs w:val="24"/>
        </w:rPr>
        <w:t xml:space="preserve">; </w:t>
      </w:r>
      <w:r w:rsidR="000A607D">
        <w:rPr>
          <w:rFonts w:ascii="Arial" w:hAnsi="Arial" w:cs="Arial"/>
          <w:sz w:val="24"/>
          <w:szCs w:val="24"/>
        </w:rPr>
        <w:t>Leopoldo Pérez Lahsen,  Alejandro Santana Tirachini y Gastón Von Mühlenbrock Zamora.</w:t>
      </w:r>
      <w:r w:rsidR="00AD01A9" w:rsidRPr="00FE4ED3">
        <w:rPr>
          <w:rFonts w:ascii="Arial" w:hAnsi="Arial" w:cs="Arial"/>
          <w:sz w:val="24"/>
          <w:szCs w:val="24"/>
        </w:rPr>
        <w:t xml:space="preserve"> </w:t>
      </w:r>
    </w:p>
    <w:p w14:paraId="0C207CFB" w14:textId="77777777" w:rsidR="003D3F55" w:rsidRPr="00FE4ED3" w:rsidRDefault="003D3F55" w:rsidP="00CD5CDB">
      <w:pPr>
        <w:tabs>
          <w:tab w:val="left" w:pos="-284"/>
          <w:tab w:val="left" w:pos="0"/>
          <w:tab w:val="left" w:pos="851"/>
        </w:tabs>
        <w:spacing w:line="276" w:lineRule="auto"/>
        <w:ind w:right="51" w:firstLine="1701"/>
        <w:jc w:val="both"/>
        <w:rPr>
          <w:rFonts w:ascii="Arial" w:hAnsi="Arial" w:cs="Arial"/>
          <w:sz w:val="24"/>
          <w:szCs w:val="24"/>
        </w:rPr>
      </w:pPr>
    </w:p>
    <w:p w14:paraId="55676B45" w14:textId="77777777" w:rsidR="000A607D" w:rsidRDefault="001C2011" w:rsidP="00CD5CDB">
      <w:pPr>
        <w:tabs>
          <w:tab w:val="left" w:pos="-284"/>
          <w:tab w:val="left" w:pos="0"/>
          <w:tab w:val="left" w:pos="851"/>
        </w:tabs>
        <w:spacing w:line="276" w:lineRule="auto"/>
        <w:ind w:right="51" w:firstLine="1701"/>
        <w:jc w:val="both"/>
        <w:rPr>
          <w:rFonts w:ascii="Arial" w:hAnsi="Arial" w:cs="Arial"/>
          <w:sz w:val="24"/>
          <w:szCs w:val="24"/>
        </w:rPr>
      </w:pPr>
      <w:r w:rsidRPr="00FE4ED3">
        <w:rPr>
          <w:rFonts w:ascii="Arial" w:hAnsi="Arial" w:cs="Arial"/>
          <w:sz w:val="24"/>
          <w:szCs w:val="24"/>
        </w:rPr>
        <w:tab/>
      </w:r>
    </w:p>
    <w:p w14:paraId="7B8B17D8" w14:textId="77777777" w:rsidR="009B242B" w:rsidRPr="00FE4ED3" w:rsidRDefault="00590980" w:rsidP="00D22141">
      <w:pPr>
        <w:tabs>
          <w:tab w:val="left" w:pos="-284"/>
          <w:tab w:val="left" w:pos="0"/>
          <w:tab w:val="left" w:pos="851"/>
        </w:tabs>
        <w:spacing w:line="276" w:lineRule="auto"/>
        <w:ind w:right="51" w:firstLine="1701"/>
        <w:jc w:val="right"/>
        <w:rPr>
          <w:rFonts w:ascii="Arial" w:hAnsi="Arial" w:cs="Arial"/>
          <w:sz w:val="24"/>
          <w:szCs w:val="24"/>
        </w:rPr>
      </w:pPr>
      <w:r w:rsidRPr="00FE4ED3">
        <w:rPr>
          <w:rFonts w:ascii="Arial" w:hAnsi="Arial" w:cs="Arial"/>
          <w:sz w:val="24"/>
          <w:szCs w:val="24"/>
        </w:rPr>
        <w:t>Sala de la Comisión</w:t>
      </w:r>
      <w:r w:rsidR="001C2011" w:rsidRPr="00FE4ED3">
        <w:rPr>
          <w:rFonts w:ascii="Arial" w:hAnsi="Arial" w:cs="Arial"/>
          <w:sz w:val="24"/>
          <w:szCs w:val="24"/>
        </w:rPr>
        <w:t>, a</w:t>
      </w:r>
      <w:r w:rsidR="002D461F">
        <w:rPr>
          <w:rFonts w:ascii="Arial" w:hAnsi="Arial" w:cs="Arial"/>
          <w:sz w:val="24"/>
          <w:szCs w:val="24"/>
        </w:rPr>
        <w:t xml:space="preserve"> 2</w:t>
      </w:r>
      <w:r w:rsidR="001A03B8">
        <w:rPr>
          <w:rFonts w:ascii="Arial" w:hAnsi="Arial" w:cs="Arial"/>
          <w:sz w:val="24"/>
          <w:szCs w:val="24"/>
        </w:rPr>
        <w:t>0</w:t>
      </w:r>
      <w:r w:rsidR="002D461F">
        <w:rPr>
          <w:rFonts w:ascii="Arial" w:hAnsi="Arial" w:cs="Arial"/>
          <w:sz w:val="24"/>
          <w:szCs w:val="24"/>
        </w:rPr>
        <w:t xml:space="preserve"> de julio</w:t>
      </w:r>
      <w:r w:rsidR="00734490" w:rsidRPr="00FE4ED3">
        <w:rPr>
          <w:rFonts w:ascii="Arial" w:hAnsi="Arial" w:cs="Arial"/>
          <w:sz w:val="24"/>
          <w:szCs w:val="24"/>
        </w:rPr>
        <w:t xml:space="preserve"> </w:t>
      </w:r>
      <w:r w:rsidR="00C04839">
        <w:rPr>
          <w:rFonts w:ascii="Arial" w:hAnsi="Arial" w:cs="Arial"/>
          <w:sz w:val="24"/>
          <w:szCs w:val="24"/>
        </w:rPr>
        <w:t>de 2018</w:t>
      </w:r>
    </w:p>
    <w:p w14:paraId="221EBB3F" w14:textId="77777777" w:rsidR="009B242B" w:rsidRDefault="009B242B" w:rsidP="00CD5CDB">
      <w:pPr>
        <w:tabs>
          <w:tab w:val="left" w:pos="-284"/>
          <w:tab w:val="left" w:pos="0"/>
          <w:tab w:val="left" w:pos="3402"/>
        </w:tabs>
        <w:spacing w:line="276" w:lineRule="auto"/>
        <w:ind w:right="51" w:firstLine="1701"/>
        <w:jc w:val="both"/>
        <w:rPr>
          <w:rFonts w:ascii="Arial" w:hAnsi="Arial" w:cs="Arial"/>
          <w:sz w:val="24"/>
          <w:szCs w:val="24"/>
        </w:rPr>
      </w:pPr>
    </w:p>
    <w:p w14:paraId="10022A72" w14:textId="77777777" w:rsidR="00814883" w:rsidRDefault="00814883" w:rsidP="00CD5CDB">
      <w:pPr>
        <w:tabs>
          <w:tab w:val="left" w:pos="-284"/>
          <w:tab w:val="left" w:pos="0"/>
          <w:tab w:val="left" w:pos="3402"/>
        </w:tabs>
        <w:spacing w:line="276" w:lineRule="auto"/>
        <w:ind w:right="51" w:firstLine="1701"/>
        <w:jc w:val="both"/>
        <w:rPr>
          <w:rFonts w:ascii="Arial" w:hAnsi="Arial" w:cs="Arial"/>
          <w:sz w:val="24"/>
          <w:szCs w:val="24"/>
        </w:rPr>
      </w:pPr>
    </w:p>
    <w:p w14:paraId="3E2300A0" w14:textId="77777777" w:rsidR="005A5317" w:rsidRDefault="005A5317" w:rsidP="00CD5CDB">
      <w:pPr>
        <w:tabs>
          <w:tab w:val="left" w:pos="-284"/>
          <w:tab w:val="left" w:pos="0"/>
          <w:tab w:val="left" w:pos="3402"/>
        </w:tabs>
        <w:spacing w:line="276" w:lineRule="auto"/>
        <w:ind w:right="51" w:firstLine="1701"/>
        <w:jc w:val="both"/>
        <w:rPr>
          <w:rFonts w:ascii="Arial" w:hAnsi="Arial" w:cs="Arial"/>
          <w:sz w:val="24"/>
          <w:szCs w:val="24"/>
        </w:rPr>
      </w:pPr>
    </w:p>
    <w:p w14:paraId="5FDBD037" w14:textId="77777777" w:rsidR="005A5317" w:rsidRDefault="005A5317" w:rsidP="00CD5CDB">
      <w:pPr>
        <w:tabs>
          <w:tab w:val="left" w:pos="-284"/>
          <w:tab w:val="left" w:pos="0"/>
          <w:tab w:val="left" w:pos="3402"/>
        </w:tabs>
        <w:spacing w:line="276" w:lineRule="auto"/>
        <w:ind w:right="51" w:firstLine="1701"/>
        <w:jc w:val="both"/>
        <w:rPr>
          <w:rFonts w:ascii="Arial" w:hAnsi="Arial" w:cs="Arial"/>
          <w:sz w:val="24"/>
          <w:szCs w:val="24"/>
        </w:rPr>
      </w:pPr>
    </w:p>
    <w:p w14:paraId="0ECFC2DF" w14:textId="77777777" w:rsidR="005A5317" w:rsidRDefault="005A5317" w:rsidP="00CD5CDB">
      <w:pPr>
        <w:tabs>
          <w:tab w:val="left" w:pos="-284"/>
          <w:tab w:val="left" w:pos="0"/>
          <w:tab w:val="left" w:pos="3402"/>
        </w:tabs>
        <w:spacing w:line="276" w:lineRule="auto"/>
        <w:ind w:right="51" w:firstLine="1701"/>
        <w:jc w:val="both"/>
        <w:rPr>
          <w:rFonts w:ascii="Arial" w:hAnsi="Arial" w:cs="Arial"/>
          <w:sz w:val="24"/>
          <w:szCs w:val="24"/>
        </w:rPr>
      </w:pPr>
    </w:p>
    <w:p w14:paraId="5373A646" w14:textId="77777777" w:rsidR="005A5317" w:rsidRPr="00FE4ED3" w:rsidRDefault="005A5317" w:rsidP="00CD5CDB">
      <w:pPr>
        <w:tabs>
          <w:tab w:val="left" w:pos="-284"/>
          <w:tab w:val="left" w:pos="0"/>
          <w:tab w:val="left" w:pos="3402"/>
        </w:tabs>
        <w:spacing w:line="276" w:lineRule="auto"/>
        <w:ind w:right="51" w:firstLine="1701"/>
        <w:jc w:val="both"/>
        <w:rPr>
          <w:rFonts w:ascii="Arial" w:hAnsi="Arial" w:cs="Arial"/>
          <w:sz w:val="24"/>
          <w:szCs w:val="24"/>
        </w:rPr>
      </w:pPr>
    </w:p>
    <w:p w14:paraId="16BEAD4A" w14:textId="77777777" w:rsidR="009B242B" w:rsidRPr="00FE4ED3" w:rsidRDefault="00590980" w:rsidP="00CD5CDB">
      <w:pPr>
        <w:tabs>
          <w:tab w:val="left" w:pos="-284"/>
          <w:tab w:val="left" w:pos="0"/>
          <w:tab w:val="left" w:pos="3402"/>
        </w:tabs>
        <w:spacing w:line="276" w:lineRule="auto"/>
        <w:ind w:right="51"/>
        <w:jc w:val="center"/>
        <w:rPr>
          <w:rFonts w:ascii="Arial" w:hAnsi="Arial" w:cs="Arial"/>
          <w:b/>
          <w:sz w:val="24"/>
          <w:szCs w:val="24"/>
        </w:rPr>
      </w:pPr>
      <w:r w:rsidRPr="00FE4ED3">
        <w:rPr>
          <w:rFonts w:ascii="Arial" w:hAnsi="Arial" w:cs="Arial"/>
          <w:b/>
          <w:sz w:val="24"/>
          <w:szCs w:val="24"/>
        </w:rPr>
        <w:t>MARÍA EUGENIA SILVA FERRER</w:t>
      </w:r>
    </w:p>
    <w:p w14:paraId="2C0AABE7" w14:textId="77777777" w:rsidR="009B242B" w:rsidRPr="00FE4ED3" w:rsidRDefault="0053524D" w:rsidP="00CD5CDB">
      <w:pPr>
        <w:tabs>
          <w:tab w:val="left" w:pos="-284"/>
          <w:tab w:val="left" w:pos="0"/>
          <w:tab w:val="left" w:pos="4751"/>
        </w:tabs>
        <w:spacing w:line="276" w:lineRule="auto"/>
        <w:ind w:right="51"/>
        <w:jc w:val="center"/>
        <w:rPr>
          <w:rFonts w:ascii="Arial" w:hAnsi="Arial" w:cs="Arial"/>
          <w:sz w:val="24"/>
          <w:szCs w:val="24"/>
        </w:rPr>
      </w:pPr>
      <w:r w:rsidRPr="00FE4ED3">
        <w:rPr>
          <w:rFonts w:ascii="Arial" w:hAnsi="Arial" w:cs="Arial"/>
          <w:sz w:val="24"/>
          <w:szCs w:val="24"/>
        </w:rPr>
        <w:t xml:space="preserve">Abogado </w:t>
      </w:r>
      <w:r w:rsidR="009B242B" w:rsidRPr="00FE4ED3">
        <w:rPr>
          <w:rFonts w:ascii="Arial" w:hAnsi="Arial" w:cs="Arial"/>
          <w:sz w:val="24"/>
          <w:szCs w:val="24"/>
        </w:rPr>
        <w:t>Secretari</w:t>
      </w:r>
      <w:r w:rsidR="00590980" w:rsidRPr="00FE4ED3">
        <w:rPr>
          <w:rFonts w:ascii="Arial" w:hAnsi="Arial" w:cs="Arial"/>
          <w:sz w:val="24"/>
          <w:szCs w:val="24"/>
        </w:rPr>
        <w:t>a</w:t>
      </w:r>
      <w:r w:rsidR="009B242B" w:rsidRPr="00FE4ED3">
        <w:rPr>
          <w:rFonts w:ascii="Arial" w:hAnsi="Arial" w:cs="Arial"/>
          <w:sz w:val="24"/>
          <w:szCs w:val="24"/>
        </w:rPr>
        <w:t xml:space="preserve"> de la Comisión</w:t>
      </w:r>
      <w:r w:rsidR="00590980" w:rsidRPr="00FE4ED3">
        <w:rPr>
          <w:rFonts w:ascii="Arial" w:hAnsi="Arial" w:cs="Arial"/>
          <w:sz w:val="24"/>
          <w:szCs w:val="24"/>
        </w:rPr>
        <w:t xml:space="preserve"> </w:t>
      </w:r>
    </w:p>
    <w:sectPr w:rsidR="009B242B" w:rsidRPr="00FE4ED3" w:rsidSect="00522F4C">
      <w:headerReference w:type="even" r:id="rId12"/>
      <w:headerReference w:type="default" r:id="rId13"/>
      <w:endnotePr>
        <w:numFmt w:val="decimal"/>
      </w:endnotePr>
      <w:pgSz w:w="12240" w:h="20160" w:code="5"/>
      <w:pgMar w:top="2835" w:right="1701" w:bottom="2835" w:left="1701" w:header="1418" w:footer="720" w:gutter="0"/>
      <w:paperSrc w:first="15" w:other="15"/>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6315" w14:textId="77777777" w:rsidR="00644085" w:rsidRDefault="00644085">
      <w:r>
        <w:separator/>
      </w:r>
    </w:p>
  </w:endnote>
  <w:endnote w:type="continuationSeparator" w:id="0">
    <w:p w14:paraId="04C49E2B" w14:textId="77777777" w:rsidR="00644085" w:rsidRDefault="0064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ic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20383" w14:textId="77777777" w:rsidR="00644085" w:rsidRDefault="00644085">
      <w:r>
        <w:separator/>
      </w:r>
    </w:p>
  </w:footnote>
  <w:footnote w:type="continuationSeparator" w:id="0">
    <w:p w14:paraId="153E8C97" w14:textId="77777777" w:rsidR="00644085" w:rsidRDefault="00644085">
      <w:r>
        <w:continuationSeparator/>
      </w:r>
    </w:p>
  </w:footnote>
  <w:footnote w:id="1">
    <w:p w14:paraId="60396D1E" w14:textId="77777777" w:rsidR="008E0851" w:rsidRPr="008E0851" w:rsidRDefault="008E0851" w:rsidP="008E0851">
      <w:pPr>
        <w:pStyle w:val="Textonotapie"/>
        <w:jc w:val="both"/>
        <w:rPr>
          <w:rFonts w:ascii="Arial" w:hAnsi="Arial" w:cs="Arial"/>
          <w:color w:val="333333"/>
          <w:sz w:val="18"/>
          <w:szCs w:val="18"/>
        </w:rPr>
      </w:pPr>
      <w:r>
        <w:rPr>
          <w:rStyle w:val="Refdenotaalpie"/>
        </w:rPr>
        <w:footnoteRef/>
      </w:r>
      <w:r>
        <w:t xml:space="preserve"> </w:t>
      </w:r>
      <w:r w:rsidRPr="008E0851">
        <w:rPr>
          <w:rFonts w:ascii="Arial" w:hAnsi="Arial" w:cs="Arial"/>
          <w:color w:val="333333"/>
          <w:sz w:val="18"/>
          <w:szCs w:val="18"/>
        </w:rPr>
        <w:t>Son atribuciones del Congreso: </w:t>
      </w:r>
    </w:p>
    <w:p w14:paraId="161BFE54" w14:textId="77777777" w:rsidR="008E0851" w:rsidRPr="008E0851" w:rsidRDefault="008E0851" w:rsidP="008E0851">
      <w:pPr>
        <w:jc w:val="both"/>
        <w:rPr>
          <w:rFonts w:ascii="Arial" w:hAnsi="Arial" w:cs="Arial"/>
          <w:color w:val="333333"/>
          <w:sz w:val="18"/>
          <w:szCs w:val="18"/>
        </w:rPr>
      </w:pPr>
      <w:r w:rsidRPr="008E0851">
        <w:rPr>
          <w:rFonts w:ascii="Arial" w:hAnsi="Arial" w:cs="Arial"/>
          <w:color w:val="333333"/>
          <w:sz w:val="18"/>
          <w:szCs w:val="18"/>
        </w:rPr>
        <w:t>1) Aprobar o desechar los tratados internacionales que le presentare el Presidente de la República antes de su ratificación. La aprobación de un tratado requerirá, en cada Cámara, de los quórum que corresponda, en conformidad al artículo 66, y se someterá, en lo pertinente, a los trámites de una ley.</w:t>
      </w:r>
    </w:p>
    <w:p w14:paraId="4AF89B9B" w14:textId="77777777" w:rsidR="008E0851" w:rsidRPr="008E0851" w:rsidRDefault="008E0851" w:rsidP="00E626DA">
      <w:pPr>
        <w:jc w:val="both"/>
      </w:pPr>
      <w:r w:rsidRPr="008E0851">
        <w:rPr>
          <w:rFonts w:ascii="Arial" w:hAnsi="Arial" w:cs="Arial"/>
          <w:i/>
          <w:color w:val="333333"/>
          <w:sz w:val="18"/>
          <w:szCs w:val="18"/>
        </w:rPr>
        <w:t>El Congreso podrá sugerir la formulación de reservas y declaraciones interpretativas a un tratado internacional, en el curso del trámite de su aprobación, siempre que ellas procedan de conformidad a lo previsto en el propio tratado o en las normas generales de derecho internacional</w:t>
      </w:r>
      <w:r w:rsidRPr="008E0851">
        <w:rPr>
          <w:rFonts w:ascii="Arial" w:hAnsi="Arial" w:cs="Arial"/>
          <w:color w:val="333333"/>
          <w:sz w:val="18"/>
          <w:szCs w:val="18"/>
        </w:rPr>
        <w:t>.</w:t>
      </w:r>
    </w:p>
  </w:footnote>
  <w:footnote w:id="2">
    <w:p w14:paraId="3E7660E6" w14:textId="77777777" w:rsidR="00593890" w:rsidRPr="00765813" w:rsidRDefault="00593890" w:rsidP="007B5C8D">
      <w:pPr>
        <w:pStyle w:val="Textonotapie"/>
        <w:jc w:val="both"/>
        <w:rPr>
          <w:lang w:val="es-MX"/>
        </w:rPr>
      </w:pPr>
      <w:r>
        <w:rPr>
          <w:rStyle w:val="Refdenotaalpie"/>
        </w:rPr>
        <w:footnoteRef/>
      </w:r>
      <w:r>
        <w:t xml:space="preserve"> </w:t>
      </w:r>
      <w:r w:rsidRPr="00FB2C41">
        <w:rPr>
          <w:rFonts w:ascii="Arial" w:hAnsi="Arial" w:cs="Arial"/>
          <w:sz w:val="18"/>
          <w:szCs w:val="18"/>
        </w:rPr>
        <w:t>Pablo Morales P., Coordinador Área Economía, Sección Asesoría Técnica Parlamentaria,</w:t>
      </w:r>
      <w:r>
        <w:rPr>
          <w:rFonts w:ascii="Arial" w:hAnsi="Arial" w:cs="Arial"/>
          <w:sz w:val="18"/>
          <w:szCs w:val="18"/>
        </w:rPr>
        <w:t xml:space="preserve"> Biblioteca del Congreso Nacional.</w:t>
      </w:r>
      <w:r w:rsidRPr="00FB2C41">
        <w:rPr>
          <w:rFonts w:ascii="Arial" w:hAnsi="Arial" w:cs="Arial"/>
          <w:sz w:val="18"/>
          <w:szCs w:val="18"/>
        </w:rPr>
        <w:t> </w:t>
      </w:r>
    </w:p>
  </w:footnote>
  <w:footnote w:id="3">
    <w:p w14:paraId="5E703E5B" w14:textId="77777777" w:rsidR="00926BD4" w:rsidRPr="00926BD4" w:rsidRDefault="00926BD4" w:rsidP="00926BD4">
      <w:pPr>
        <w:pStyle w:val="Textonotapie"/>
        <w:jc w:val="both"/>
        <w:rPr>
          <w:rFonts w:ascii="Arial" w:hAnsi="Arial" w:cs="Arial"/>
          <w:lang w:val="es-CL"/>
        </w:rPr>
      </w:pPr>
      <w:r w:rsidRPr="00926BD4">
        <w:rPr>
          <w:rStyle w:val="Refdenotaalpie"/>
          <w:rFonts w:ascii="Arial" w:hAnsi="Arial" w:cs="Arial"/>
        </w:rPr>
        <w:footnoteRef/>
      </w:r>
      <w:r w:rsidRPr="00926BD4">
        <w:rPr>
          <w:rFonts w:ascii="Arial" w:hAnsi="Arial" w:cs="Arial"/>
        </w:rPr>
        <w:t xml:space="preserve"> Según información publicada por la Direcon, en algunos acuerdos se permite cierta flexibilidad en el cumplimiento de los requisitos de origen en cuanto a la clasificación arancelaria. Esta disposición autoriza que un determinado porcentaje de insumos importados no originarios y restringidos en su uso por el requisito de origen, puedan ser utilizados en la producción de una mercancía sin que ésta pierda su condición de originaria. El porcentaje de insumos no originarios permitidos fluctúa entre 7% y 10%, porcentaje que se calcula sobre el valor de exportación de la mercancía, excepto para el caso de los productos textiles en algunos acuerdos, donde también se aplica “de minimis” pero el cálculo es en relación al  peso de la mercancía.</w:t>
      </w:r>
      <w:r>
        <w:rPr>
          <w:rFonts w:ascii="Arial" w:hAnsi="Arial" w:cs="Arial"/>
        </w:rPr>
        <w:t xml:space="preserve"> Disponible en: </w:t>
      </w:r>
      <w:r w:rsidRPr="00926BD4">
        <w:rPr>
          <w:rFonts w:ascii="Arial" w:hAnsi="Arial" w:cs="Arial"/>
        </w:rPr>
        <w:t>https://www.direcon.gob.cl/certificacion-de-origen/reglas-de-origen/de-minimis-o-flexibilidad/</w:t>
      </w:r>
    </w:p>
  </w:footnote>
  <w:footnote w:id="4">
    <w:p w14:paraId="13150AFE" w14:textId="77777777" w:rsidR="000F6588" w:rsidRPr="006427D9" w:rsidRDefault="000F6588" w:rsidP="000F6588">
      <w:pPr>
        <w:pStyle w:val="Textonotapie"/>
        <w:jc w:val="both"/>
        <w:rPr>
          <w:rFonts w:ascii="Arial" w:hAnsi="Arial" w:cs="Arial"/>
          <w:sz w:val="18"/>
          <w:szCs w:val="18"/>
          <w:lang w:val="es-CL"/>
        </w:rPr>
      </w:pPr>
      <w:r>
        <w:rPr>
          <w:rStyle w:val="Refdenotaalpie"/>
        </w:rPr>
        <w:footnoteRef/>
      </w:r>
      <w:r>
        <w:t xml:space="preserve"> </w:t>
      </w:r>
      <w:r w:rsidRPr="006427D9">
        <w:rPr>
          <w:rFonts w:ascii="Arial" w:hAnsi="Arial" w:cs="Arial"/>
          <w:sz w:val="18"/>
          <w:szCs w:val="18"/>
          <w:lang w:val="es-CL"/>
        </w:rPr>
        <w:t>Al respecto, el informe financiero N° 111, presentado el 18 de julio, después del debate, precisó lo solicitado sustitutendo la frase “mayor gasto fiscal” por “mayor gasto presupuestario”, como se</w:t>
      </w:r>
      <w:r>
        <w:rPr>
          <w:rFonts w:ascii="Arial" w:hAnsi="Arial" w:cs="Arial"/>
          <w:sz w:val="18"/>
          <w:szCs w:val="18"/>
          <w:lang w:val="es-CL"/>
        </w:rPr>
        <w:t xml:space="preserve"> </w:t>
      </w:r>
      <w:r w:rsidRPr="006427D9">
        <w:rPr>
          <w:rFonts w:ascii="Arial" w:hAnsi="Arial" w:cs="Arial"/>
          <w:sz w:val="18"/>
          <w:szCs w:val="18"/>
          <w:lang w:val="es-CL"/>
        </w:rPr>
        <w:t>explicara en el capítulo anterior.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F9F9" w14:textId="77777777" w:rsidR="00FC6FAC" w:rsidRDefault="00ED1094">
    <w:pPr>
      <w:pStyle w:val="Encabezado"/>
      <w:framePr w:wrap="around" w:vAnchor="text" w:hAnchor="margin" w:xAlign="right" w:y="1"/>
      <w:rPr>
        <w:rStyle w:val="Nmerodepgina"/>
      </w:rPr>
    </w:pPr>
    <w:r>
      <w:rPr>
        <w:rStyle w:val="Nmerodepgina"/>
      </w:rPr>
      <w:fldChar w:fldCharType="begin"/>
    </w:r>
    <w:r w:rsidR="00FC6FAC">
      <w:rPr>
        <w:rStyle w:val="Nmerodepgina"/>
      </w:rPr>
      <w:instrText xml:space="preserve">PAGE  </w:instrText>
    </w:r>
    <w:r>
      <w:rPr>
        <w:rStyle w:val="Nmerodepgina"/>
      </w:rPr>
      <w:fldChar w:fldCharType="end"/>
    </w:r>
  </w:p>
  <w:p w14:paraId="4A738B24" w14:textId="77777777" w:rsidR="00FC6FAC" w:rsidRDefault="00FC6FA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76F6" w14:textId="77777777" w:rsidR="00FC6FAC" w:rsidRPr="001B605A" w:rsidRDefault="00ED1094">
    <w:pPr>
      <w:pStyle w:val="Encabezado"/>
      <w:framePr w:wrap="around" w:vAnchor="text" w:hAnchor="margin" w:xAlign="right" w:y="1"/>
      <w:rPr>
        <w:rStyle w:val="Nmerodepgina"/>
        <w:rFonts w:ascii="Arial" w:hAnsi="Arial" w:cs="Arial"/>
        <w:sz w:val="22"/>
        <w:szCs w:val="22"/>
      </w:rPr>
    </w:pPr>
    <w:r w:rsidRPr="001B605A">
      <w:rPr>
        <w:rStyle w:val="Nmerodepgina"/>
        <w:rFonts w:ascii="Arial" w:hAnsi="Arial" w:cs="Arial"/>
        <w:sz w:val="22"/>
        <w:szCs w:val="22"/>
      </w:rPr>
      <w:fldChar w:fldCharType="begin"/>
    </w:r>
    <w:r w:rsidR="00FC6FAC" w:rsidRPr="001B605A">
      <w:rPr>
        <w:rStyle w:val="Nmerodepgina"/>
        <w:rFonts w:ascii="Arial" w:hAnsi="Arial" w:cs="Arial"/>
        <w:sz w:val="22"/>
        <w:szCs w:val="22"/>
      </w:rPr>
      <w:instrText xml:space="preserve">PAGE  </w:instrText>
    </w:r>
    <w:r w:rsidRPr="001B605A">
      <w:rPr>
        <w:rStyle w:val="Nmerodepgina"/>
        <w:rFonts w:ascii="Arial" w:hAnsi="Arial" w:cs="Arial"/>
        <w:sz w:val="22"/>
        <w:szCs w:val="22"/>
      </w:rPr>
      <w:fldChar w:fldCharType="separate"/>
    </w:r>
    <w:r w:rsidR="00ED4598">
      <w:rPr>
        <w:rStyle w:val="Nmerodepgina"/>
        <w:rFonts w:ascii="Arial" w:hAnsi="Arial" w:cs="Arial"/>
        <w:noProof/>
        <w:sz w:val="22"/>
        <w:szCs w:val="22"/>
      </w:rPr>
      <w:t>5</w:t>
    </w:r>
    <w:r w:rsidRPr="001B605A">
      <w:rPr>
        <w:rStyle w:val="Nmerodepgina"/>
        <w:rFonts w:ascii="Arial" w:hAnsi="Arial" w:cs="Arial"/>
        <w:sz w:val="22"/>
        <w:szCs w:val="22"/>
      </w:rPr>
      <w:fldChar w:fldCharType="end"/>
    </w:r>
  </w:p>
  <w:p w14:paraId="0356718B" w14:textId="77777777" w:rsidR="00FC6FAC" w:rsidRDefault="00FC6FAC">
    <w:pPr>
      <w:ind w:right="360"/>
      <w:jc w:val="center"/>
      <w:rPr>
        <w:rFonts w:ascii="pica" w:hAnsi="pic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B7"/>
    <w:multiLevelType w:val="hybridMultilevel"/>
    <w:tmpl w:val="4C1E978A"/>
    <w:lvl w:ilvl="0" w:tplc="D6BC93C4">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 w15:restartNumberingAfterBreak="0">
    <w:nsid w:val="0FDD54D2"/>
    <w:multiLevelType w:val="hybridMultilevel"/>
    <w:tmpl w:val="AF2A6FAE"/>
    <w:lvl w:ilvl="0" w:tplc="FADC6F28">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 w15:restartNumberingAfterBreak="0">
    <w:nsid w:val="175C5530"/>
    <w:multiLevelType w:val="hybridMultilevel"/>
    <w:tmpl w:val="84D2EBC6"/>
    <w:lvl w:ilvl="0" w:tplc="DCA2C7DA">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 w15:restartNumberingAfterBreak="0">
    <w:nsid w:val="22DE5422"/>
    <w:multiLevelType w:val="hybridMultilevel"/>
    <w:tmpl w:val="E5D235B6"/>
    <w:lvl w:ilvl="0" w:tplc="E24C00F2">
      <w:start w:val="1"/>
      <w:numFmt w:val="bullet"/>
      <w:lvlText w:val="•"/>
      <w:lvlJc w:val="left"/>
      <w:pPr>
        <w:tabs>
          <w:tab w:val="num" w:pos="720"/>
        </w:tabs>
        <w:ind w:left="720" w:hanging="360"/>
      </w:pPr>
      <w:rPr>
        <w:rFonts w:ascii="Arial" w:hAnsi="Arial" w:hint="default"/>
      </w:rPr>
    </w:lvl>
    <w:lvl w:ilvl="1" w:tplc="A454C7E4" w:tentative="1">
      <w:start w:val="1"/>
      <w:numFmt w:val="bullet"/>
      <w:lvlText w:val="•"/>
      <w:lvlJc w:val="left"/>
      <w:pPr>
        <w:tabs>
          <w:tab w:val="num" w:pos="1440"/>
        </w:tabs>
        <w:ind w:left="1440" w:hanging="360"/>
      </w:pPr>
      <w:rPr>
        <w:rFonts w:ascii="Arial" w:hAnsi="Arial" w:hint="default"/>
      </w:rPr>
    </w:lvl>
    <w:lvl w:ilvl="2" w:tplc="0F962BF0" w:tentative="1">
      <w:start w:val="1"/>
      <w:numFmt w:val="bullet"/>
      <w:lvlText w:val="•"/>
      <w:lvlJc w:val="left"/>
      <w:pPr>
        <w:tabs>
          <w:tab w:val="num" w:pos="2160"/>
        </w:tabs>
        <w:ind w:left="2160" w:hanging="360"/>
      </w:pPr>
      <w:rPr>
        <w:rFonts w:ascii="Arial" w:hAnsi="Arial" w:hint="default"/>
      </w:rPr>
    </w:lvl>
    <w:lvl w:ilvl="3" w:tplc="DFC2C364" w:tentative="1">
      <w:start w:val="1"/>
      <w:numFmt w:val="bullet"/>
      <w:lvlText w:val="•"/>
      <w:lvlJc w:val="left"/>
      <w:pPr>
        <w:tabs>
          <w:tab w:val="num" w:pos="2880"/>
        </w:tabs>
        <w:ind w:left="2880" w:hanging="360"/>
      </w:pPr>
      <w:rPr>
        <w:rFonts w:ascii="Arial" w:hAnsi="Arial" w:hint="default"/>
      </w:rPr>
    </w:lvl>
    <w:lvl w:ilvl="4" w:tplc="5EC087DA" w:tentative="1">
      <w:start w:val="1"/>
      <w:numFmt w:val="bullet"/>
      <w:lvlText w:val="•"/>
      <w:lvlJc w:val="left"/>
      <w:pPr>
        <w:tabs>
          <w:tab w:val="num" w:pos="3600"/>
        </w:tabs>
        <w:ind w:left="3600" w:hanging="360"/>
      </w:pPr>
      <w:rPr>
        <w:rFonts w:ascii="Arial" w:hAnsi="Arial" w:hint="default"/>
      </w:rPr>
    </w:lvl>
    <w:lvl w:ilvl="5" w:tplc="23CC9D78" w:tentative="1">
      <w:start w:val="1"/>
      <w:numFmt w:val="bullet"/>
      <w:lvlText w:val="•"/>
      <w:lvlJc w:val="left"/>
      <w:pPr>
        <w:tabs>
          <w:tab w:val="num" w:pos="4320"/>
        </w:tabs>
        <w:ind w:left="4320" w:hanging="360"/>
      </w:pPr>
      <w:rPr>
        <w:rFonts w:ascii="Arial" w:hAnsi="Arial" w:hint="default"/>
      </w:rPr>
    </w:lvl>
    <w:lvl w:ilvl="6" w:tplc="97A060F4" w:tentative="1">
      <w:start w:val="1"/>
      <w:numFmt w:val="bullet"/>
      <w:lvlText w:val="•"/>
      <w:lvlJc w:val="left"/>
      <w:pPr>
        <w:tabs>
          <w:tab w:val="num" w:pos="5040"/>
        </w:tabs>
        <w:ind w:left="5040" w:hanging="360"/>
      </w:pPr>
      <w:rPr>
        <w:rFonts w:ascii="Arial" w:hAnsi="Arial" w:hint="default"/>
      </w:rPr>
    </w:lvl>
    <w:lvl w:ilvl="7" w:tplc="CACCA36E" w:tentative="1">
      <w:start w:val="1"/>
      <w:numFmt w:val="bullet"/>
      <w:lvlText w:val="•"/>
      <w:lvlJc w:val="left"/>
      <w:pPr>
        <w:tabs>
          <w:tab w:val="num" w:pos="5760"/>
        </w:tabs>
        <w:ind w:left="5760" w:hanging="360"/>
      </w:pPr>
      <w:rPr>
        <w:rFonts w:ascii="Arial" w:hAnsi="Arial" w:hint="default"/>
      </w:rPr>
    </w:lvl>
    <w:lvl w:ilvl="8" w:tplc="1C461C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152136"/>
    <w:multiLevelType w:val="hybridMultilevel"/>
    <w:tmpl w:val="7E506262"/>
    <w:lvl w:ilvl="0" w:tplc="0C56898E">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E03A10"/>
    <w:multiLevelType w:val="hybridMultilevel"/>
    <w:tmpl w:val="62BAF25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8" w15:restartNumberingAfterBreak="0">
    <w:nsid w:val="475C69AF"/>
    <w:multiLevelType w:val="hybridMultilevel"/>
    <w:tmpl w:val="E72C108C"/>
    <w:lvl w:ilvl="0" w:tplc="68225726">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9" w15:restartNumberingAfterBreak="0">
    <w:nsid w:val="50F055C6"/>
    <w:multiLevelType w:val="hybridMultilevel"/>
    <w:tmpl w:val="DEA4C38E"/>
    <w:lvl w:ilvl="0" w:tplc="C2DABCF0">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0" w15:restartNumberingAfterBreak="0">
    <w:nsid w:val="53DB3A0C"/>
    <w:multiLevelType w:val="hybridMultilevel"/>
    <w:tmpl w:val="4606A2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92E590F"/>
    <w:multiLevelType w:val="hybridMultilevel"/>
    <w:tmpl w:val="DD28F296"/>
    <w:lvl w:ilvl="0" w:tplc="EFB482E8">
      <w:start w:val="1"/>
      <w:numFmt w:val="bullet"/>
      <w:lvlText w:val="•"/>
      <w:lvlJc w:val="left"/>
      <w:pPr>
        <w:tabs>
          <w:tab w:val="num" w:pos="720"/>
        </w:tabs>
        <w:ind w:left="720" w:hanging="360"/>
      </w:pPr>
      <w:rPr>
        <w:rFonts w:ascii="Arial" w:hAnsi="Arial" w:hint="default"/>
      </w:rPr>
    </w:lvl>
    <w:lvl w:ilvl="1" w:tplc="6C7E86F4" w:tentative="1">
      <w:start w:val="1"/>
      <w:numFmt w:val="bullet"/>
      <w:lvlText w:val="•"/>
      <w:lvlJc w:val="left"/>
      <w:pPr>
        <w:tabs>
          <w:tab w:val="num" w:pos="1440"/>
        </w:tabs>
        <w:ind w:left="1440" w:hanging="360"/>
      </w:pPr>
      <w:rPr>
        <w:rFonts w:ascii="Arial" w:hAnsi="Arial" w:hint="default"/>
      </w:rPr>
    </w:lvl>
    <w:lvl w:ilvl="2" w:tplc="DD7C79BC" w:tentative="1">
      <w:start w:val="1"/>
      <w:numFmt w:val="bullet"/>
      <w:lvlText w:val="•"/>
      <w:lvlJc w:val="left"/>
      <w:pPr>
        <w:tabs>
          <w:tab w:val="num" w:pos="2160"/>
        </w:tabs>
        <w:ind w:left="2160" w:hanging="360"/>
      </w:pPr>
      <w:rPr>
        <w:rFonts w:ascii="Arial" w:hAnsi="Arial" w:hint="default"/>
      </w:rPr>
    </w:lvl>
    <w:lvl w:ilvl="3" w:tplc="89E8F7BA" w:tentative="1">
      <w:start w:val="1"/>
      <w:numFmt w:val="bullet"/>
      <w:lvlText w:val="•"/>
      <w:lvlJc w:val="left"/>
      <w:pPr>
        <w:tabs>
          <w:tab w:val="num" w:pos="2880"/>
        </w:tabs>
        <w:ind w:left="2880" w:hanging="360"/>
      </w:pPr>
      <w:rPr>
        <w:rFonts w:ascii="Arial" w:hAnsi="Arial" w:hint="default"/>
      </w:rPr>
    </w:lvl>
    <w:lvl w:ilvl="4" w:tplc="334C51E2" w:tentative="1">
      <w:start w:val="1"/>
      <w:numFmt w:val="bullet"/>
      <w:lvlText w:val="•"/>
      <w:lvlJc w:val="left"/>
      <w:pPr>
        <w:tabs>
          <w:tab w:val="num" w:pos="3600"/>
        </w:tabs>
        <w:ind w:left="3600" w:hanging="360"/>
      </w:pPr>
      <w:rPr>
        <w:rFonts w:ascii="Arial" w:hAnsi="Arial" w:hint="default"/>
      </w:rPr>
    </w:lvl>
    <w:lvl w:ilvl="5" w:tplc="BDF635CA" w:tentative="1">
      <w:start w:val="1"/>
      <w:numFmt w:val="bullet"/>
      <w:lvlText w:val="•"/>
      <w:lvlJc w:val="left"/>
      <w:pPr>
        <w:tabs>
          <w:tab w:val="num" w:pos="4320"/>
        </w:tabs>
        <w:ind w:left="4320" w:hanging="360"/>
      </w:pPr>
      <w:rPr>
        <w:rFonts w:ascii="Arial" w:hAnsi="Arial" w:hint="default"/>
      </w:rPr>
    </w:lvl>
    <w:lvl w:ilvl="6" w:tplc="18028D1E" w:tentative="1">
      <w:start w:val="1"/>
      <w:numFmt w:val="bullet"/>
      <w:lvlText w:val="•"/>
      <w:lvlJc w:val="left"/>
      <w:pPr>
        <w:tabs>
          <w:tab w:val="num" w:pos="5040"/>
        </w:tabs>
        <w:ind w:left="5040" w:hanging="360"/>
      </w:pPr>
      <w:rPr>
        <w:rFonts w:ascii="Arial" w:hAnsi="Arial" w:hint="default"/>
      </w:rPr>
    </w:lvl>
    <w:lvl w:ilvl="7" w:tplc="2F5404CA" w:tentative="1">
      <w:start w:val="1"/>
      <w:numFmt w:val="bullet"/>
      <w:lvlText w:val="•"/>
      <w:lvlJc w:val="left"/>
      <w:pPr>
        <w:tabs>
          <w:tab w:val="num" w:pos="5760"/>
        </w:tabs>
        <w:ind w:left="5760" w:hanging="360"/>
      </w:pPr>
      <w:rPr>
        <w:rFonts w:ascii="Arial" w:hAnsi="Arial" w:hint="default"/>
      </w:rPr>
    </w:lvl>
    <w:lvl w:ilvl="8" w:tplc="32E615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A61594"/>
    <w:multiLevelType w:val="hybridMultilevel"/>
    <w:tmpl w:val="AC12D236"/>
    <w:lvl w:ilvl="0" w:tplc="0218AB5E">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3" w15:restartNumberingAfterBreak="0">
    <w:nsid w:val="7ACE14BB"/>
    <w:multiLevelType w:val="hybridMultilevel"/>
    <w:tmpl w:val="182C8F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EF41D28"/>
    <w:multiLevelType w:val="hybridMultilevel"/>
    <w:tmpl w:val="8092FC10"/>
    <w:lvl w:ilvl="0" w:tplc="30CC7290">
      <w:start w:val="1"/>
      <w:numFmt w:val="lowerRoman"/>
      <w:lvlText w:val="%1."/>
      <w:lvlJc w:val="left"/>
      <w:pPr>
        <w:ind w:left="1571"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5"/>
  </w:num>
  <w:num w:numId="2">
    <w:abstractNumId w:val="7"/>
  </w:num>
  <w:num w:numId="3">
    <w:abstractNumId w:val="13"/>
  </w:num>
  <w:num w:numId="4">
    <w:abstractNumId w:val="6"/>
  </w:num>
  <w:num w:numId="5">
    <w:abstractNumId w:val="10"/>
  </w:num>
  <w:num w:numId="6">
    <w:abstractNumId w:val="9"/>
  </w:num>
  <w:num w:numId="7">
    <w:abstractNumId w:val="12"/>
  </w:num>
  <w:num w:numId="8">
    <w:abstractNumId w:val="0"/>
  </w:num>
  <w:num w:numId="9">
    <w:abstractNumId w:val="2"/>
  </w:num>
  <w:num w:numId="10">
    <w:abstractNumId w:val="14"/>
  </w:num>
  <w:num w:numId="11">
    <w:abstractNumId w:val="8"/>
  </w:num>
  <w:num w:numId="12">
    <w:abstractNumId w:val="3"/>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8C"/>
    <w:rsid w:val="00007C7B"/>
    <w:rsid w:val="00017075"/>
    <w:rsid w:val="00032190"/>
    <w:rsid w:val="00033C6D"/>
    <w:rsid w:val="00036957"/>
    <w:rsid w:val="00045013"/>
    <w:rsid w:val="00047F6C"/>
    <w:rsid w:val="0005600E"/>
    <w:rsid w:val="00062B53"/>
    <w:rsid w:val="00064DA1"/>
    <w:rsid w:val="00073427"/>
    <w:rsid w:val="00075AFA"/>
    <w:rsid w:val="00080895"/>
    <w:rsid w:val="000930D5"/>
    <w:rsid w:val="00097235"/>
    <w:rsid w:val="000A607D"/>
    <w:rsid w:val="000B1704"/>
    <w:rsid w:val="000B1765"/>
    <w:rsid w:val="000B1A1B"/>
    <w:rsid w:val="000B47BD"/>
    <w:rsid w:val="000B777A"/>
    <w:rsid w:val="000C6734"/>
    <w:rsid w:val="000C6E84"/>
    <w:rsid w:val="000D29EB"/>
    <w:rsid w:val="000D6BC9"/>
    <w:rsid w:val="000F6588"/>
    <w:rsid w:val="001023B1"/>
    <w:rsid w:val="001025AE"/>
    <w:rsid w:val="00104A72"/>
    <w:rsid w:val="001055A9"/>
    <w:rsid w:val="00110CAA"/>
    <w:rsid w:val="00114E47"/>
    <w:rsid w:val="00115B00"/>
    <w:rsid w:val="00117634"/>
    <w:rsid w:val="00120086"/>
    <w:rsid w:val="001202A0"/>
    <w:rsid w:val="001254D1"/>
    <w:rsid w:val="00127ADF"/>
    <w:rsid w:val="0013609E"/>
    <w:rsid w:val="00140BD5"/>
    <w:rsid w:val="00144902"/>
    <w:rsid w:val="00147C92"/>
    <w:rsid w:val="00154CAA"/>
    <w:rsid w:val="0015566F"/>
    <w:rsid w:val="00162C99"/>
    <w:rsid w:val="0017367F"/>
    <w:rsid w:val="001743DC"/>
    <w:rsid w:val="0018209F"/>
    <w:rsid w:val="00187E34"/>
    <w:rsid w:val="001A03B8"/>
    <w:rsid w:val="001A4626"/>
    <w:rsid w:val="001A5EF5"/>
    <w:rsid w:val="001A68AE"/>
    <w:rsid w:val="001B1AFF"/>
    <w:rsid w:val="001B605A"/>
    <w:rsid w:val="001C17A3"/>
    <w:rsid w:val="001C2011"/>
    <w:rsid w:val="001C2023"/>
    <w:rsid w:val="001C626E"/>
    <w:rsid w:val="001C7271"/>
    <w:rsid w:val="001D1329"/>
    <w:rsid w:val="001D318A"/>
    <w:rsid w:val="001D32A9"/>
    <w:rsid w:val="001F53E9"/>
    <w:rsid w:val="00206AD0"/>
    <w:rsid w:val="00215D07"/>
    <w:rsid w:val="0022379E"/>
    <w:rsid w:val="00234873"/>
    <w:rsid w:val="0023797E"/>
    <w:rsid w:val="00237DB3"/>
    <w:rsid w:val="002408A6"/>
    <w:rsid w:val="00246C4C"/>
    <w:rsid w:val="0025712B"/>
    <w:rsid w:val="0026026D"/>
    <w:rsid w:val="002619ED"/>
    <w:rsid w:val="00261DD7"/>
    <w:rsid w:val="002761F9"/>
    <w:rsid w:val="00280A84"/>
    <w:rsid w:val="002860C4"/>
    <w:rsid w:val="002905F2"/>
    <w:rsid w:val="00295755"/>
    <w:rsid w:val="002A0C48"/>
    <w:rsid w:val="002C5C44"/>
    <w:rsid w:val="002D461F"/>
    <w:rsid w:val="002D6E8C"/>
    <w:rsid w:val="002E42D2"/>
    <w:rsid w:val="003227CE"/>
    <w:rsid w:val="00330EC1"/>
    <w:rsid w:val="00332C00"/>
    <w:rsid w:val="003432A5"/>
    <w:rsid w:val="00344C67"/>
    <w:rsid w:val="003538BB"/>
    <w:rsid w:val="003570F9"/>
    <w:rsid w:val="003623B5"/>
    <w:rsid w:val="00362B5E"/>
    <w:rsid w:val="00364234"/>
    <w:rsid w:val="00367062"/>
    <w:rsid w:val="00367D8C"/>
    <w:rsid w:val="003761A5"/>
    <w:rsid w:val="00381844"/>
    <w:rsid w:val="003A580B"/>
    <w:rsid w:val="003C18B2"/>
    <w:rsid w:val="003D3F55"/>
    <w:rsid w:val="003F480A"/>
    <w:rsid w:val="003F7070"/>
    <w:rsid w:val="00417061"/>
    <w:rsid w:val="0042114F"/>
    <w:rsid w:val="00425A1C"/>
    <w:rsid w:val="00431794"/>
    <w:rsid w:val="004349DF"/>
    <w:rsid w:val="00436581"/>
    <w:rsid w:val="00440A6A"/>
    <w:rsid w:val="00442E68"/>
    <w:rsid w:val="00444166"/>
    <w:rsid w:val="00454067"/>
    <w:rsid w:val="00461D5A"/>
    <w:rsid w:val="00467F9F"/>
    <w:rsid w:val="004729A5"/>
    <w:rsid w:val="00473371"/>
    <w:rsid w:val="0048119F"/>
    <w:rsid w:val="004856E5"/>
    <w:rsid w:val="004937A2"/>
    <w:rsid w:val="00496CF9"/>
    <w:rsid w:val="004A19A5"/>
    <w:rsid w:val="004A5142"/>
    <w:rsid w:val="004A5808"/>
    <w:rsid w:val="004A74BC"/>
    <w:rsid w:val="004B1561"/>
    <w:rsid w:val="004B7E51"/>
    <w:rsid w:val="004C4805"/>
    <w:rsid w:val="004C4C1B"/>
    <w:rsid w:val="004C6E0B"/>
    <w:rsid w:val="004D5492"/>
    <w:rsid w:val="004E1A40"/>
    <w:rsid w:val="004E6E87"/>
    <w:rsid w:val="00500D95"/>
    <w:rsid w:val="005065C1"/>
    <w:rsid w:val="005106B1"/>
    <w:rsid w:val="00510C09"/>
    <w:rsid w:val="0051179B"/>
    <w:rsid w:val="00512B4F"/>
    <w:rsid w:val="005135FA"/>
    <w:rsid w:val="0051378F"/>
    <w:rsid w:val="00515532"/>
    <w:rsid w:val="00520815"/>
    <w:rsid w:val="00522E18"/>
    <w:rsid w:val="00522F4C"/>
    <w:rsid w:val="005300C1"/>
    <w:rsid w:val="005347A1"/>
    <w:rsid w:val="0053524D"/>
    <w:rsid w:val="00536BF1"/>
    <w:rsid w:val="00546A36"/>
    <w:rsid w:val="005471DF"/>
    <w:rsid w:val="00551CAD"/>
    <w:rsid w:val="00562074"/>
    <w:rsid w:val="0056459E"/>
    <w:rsid w:val="00584A87"/>
    <w:rsid w:val="00584E76"/>
    <w:rsid w:val="00590980"/>
    <w:rsid w:val="005923C3"/>
    <w:rsid w:val="00593890"/>
    <w:rsid w:val="005A30EA"/>
    <w:rsid w:val="005A5020"/>
    <w:rsid w:val="005A5317"/>
    <w:rsid w:val="005B70FC"/>
    <w:rsid w:val="005D5FC5"/>
    <w:rsid w:val="005D7359"/>
    <w:rsid w:val="005E0E62"/>
    <w:rsid w:val="005E16FE"/>
    <w:rsid w:val="005E429A"/>
    <w:rsid w:val="005E7B5A"/>
    <w:rsid w:val="005F2D5D"/>
    <w:rsid w:val="005F2DBF"/>
    <w:rsid w:val="005F5772"/>
    <w:rsid w:val="006009A6"/>
    <w:rsid w:val="006022A0"/>
    <w:rsid w:val="0060687C"/>
    <w:rsid w:val="00612DF5"/>
    <w:rsid w:val="00613EDC"/>
    <w:rsid w:val="0063120A"/>
    <w:rsid w:val="0063211A"/>
    <w:rsid w:val="00634410"/>
    <w:rsid w:val="006369CA"/>
    <w:rsid w:val="006427D9"/>
    <w:rsid w:val="00642CE8"/>
    <w:rsid w:val="00644085"/>
    <w:rsid w:val="00654DD7"/>
    <w:rsid w:val="00655889"/>
    <w:rsid w:val="00656B31"/>
    <w:rsid w:val="006579DE"/>
    <w:rsid w:val="0066027A"/>
    <w:rsid w:val="0066440B"/>
    <w:rsid w:val="0066471D"/>
    <w:rsid w:val="00664C1C"/>
    <w:rsid w:val="006719FD"/>
    <w:rsid w:val="0068004A"/>
    <w:rsid w:val="006801B8"/>
    <w:rsid w:val="0068572F"/>
    <w:rsid w:val="00687C1D"/>
    <w:rsid w:val="006A0CAF"/>
    <w:rsid w:val="006B6BA6"/>
    <w:rsid w:val="006B72FB"/>
    <w:rsid w:val="006C080A"/>
    <w:rsid w:val="006D7F8C"/>
    <w:rsid w:val="006F1061"/>
    <w:rsid w:val="006F6F8D"/>
    <w:rsid w:val="006F7AF1"/>
    <w:rsid w:val="007033D6"/>
    <w:rsid w:val="007046B5"/>
    <w:rsid w:val="00716580"/>
    <w:rsid w:val="00723E6A"/>
    <w:rsid w:val="00724B25"/>
    <w:rsid w:val="00734490"/>
    <w:rsid w:val="00765813"/>
    <w:rsid w:val="00772F42"/>
    <w:rsid w:val="00776C13"/>
    <w:rsid w:val="007839A0"/>
    <w:rsid w:val="007849B5"/>
    <w:rsid w:val="00792019"/>
    <w:rsid w:val="007973DF"/>
    <w:rsid w:val="007A2EA1"/>
    <w:rsid w:val="007A47CA"/>
    <w:rsid w:val="007A6A6D"/>
    <w:rsid w:val="007B0273"/>
    <w:rsid w:val="007B1E6C"/>
    <w:rsid w:val="007B46CD"/>
    <w:rsid w:val="007B5C8D"/>
    <w:rsid w:val="007C7EDC"/>
    <w:rsid w:val="007D2C56"/>
    <w:rsid w:val="007E0867"/>
    <w:rsid w:val="007E6FB8"/>
    <w:rsid w:val="00801A3B"/>
    <w:rsid w:val="008023AB"/>
    <w:rsid w:val="008036A8"/>
    <w:rsid w:val="00814883"/>
    <w:rsid w:val="00831542"/>
    <w:rsid w:val="0083246B"/>
    <w:rsid w:val="0083444C"/>
    <w:rsid w:val="0083537D"/>
    <w:rsid w:val="00843816"/>
    <w:rsid w:val="00855E3B"/>
    <w:rsid w:val="008605B7"/>
    <w:rsid w:val="00863503"/>
    <w:rsid w:val="00863A6B"/>
    <w:rsid w:val="008706C2"/>
    <w:rsid w:val="00877167"/>
    <w:rsid w:val="008A115B"/>
    <w:rsid w:val="008A32CC"/>
    <w:rsid w:val="008A7729"/>
    <w:rsid w:val="008B0553"/>
    <w:rsid w:val="008B0D17"/>
    <w:rsid w:val="008B2DFA"/>
    <w:rsid w:val="008B430E"/>
    <w:rsid w:val="008B4983"/>
    <w:rsid w:val="008C1CDD"/>
    <w:rsid w:val="008C4D46"/>
    <w:rsid w:val="008C702E"/>
    <w:rsid w:val="008E0851"/>
    <w:rsid w:val="008E0EF8"/>
    <w:rsid w:val="008E6420"/>
    <w:rsid w:val="008F0D78"/>
    <w:rsid w:val="008F1A0C"/>
    <w:rsid w:val="009009A4"/>
    <w:rsid w:val="0090641F"/>
    <w:rsid w:val="009133DB"/>
    <w:rsid w:val="009230DD"/>
    <w:rsid w:val="00926BD4"/>
    <w:rsid w:val="00930416"/>
    <w:rsid w:val="009331A7"/>
    <w:rsid w:val="00933E5E"/>
    <w:rsid w:val="00941659"/>
    <w:rsid w:val="00952728"/>
    <w:rsid w:val="00952B98"/>
    <w:rsid w:val="00970725"/>
    <w:rsid w:val="009732D1"/>
    <w:rsid w:val="009822F8"/>
    <w:rsid w:val="00990113"/>
    <w:rsid w:val="009A247F"/>
    <w:rsid w:val="009A52F8"/>
    <w:rsid w:val="009B242B"/>
    <w:rsid w:val="009B38C2"/>
    <w:rsid w:val="009C20BA"/>
    <w:rsid w:val="009C4785"/>
    <w:rsid w:val="009C5926"/>
    <w:rsid w:val="009D2537"/>
    <w:rsid w:val="009D79BC"/>
    <w:rsid w:val="009F4319"/>
    <w:rsid w:val="00A04551"/>
    <w:rsid w:val="00A04C99"/>
    <w:rsid w:val="00A07794"/>
    <w:rsid w:val="00A20A7C"/>
    <w:rsid w:val="00A231FF"/>
    <w:rsid w:val="00A237EF"/>
    <w:rsid w:val="00A26D98"/>
    <w:rsid w:val="00A319DB"/>
    <w:rsid w:val="00A32013"/>
    <w:rsid w:val="00A34356"/>
    <w:rsid w:val="00A4206A"/>
    <w:rsid w:val="00A4792A"/>
    <w:rsid w:val="00A6123A"/>
    <w:rsid w:val="00A70366"/>
    <w:rsid w:val="00A73631"/>
    <w:rsid w:val="00A748DD"/>
    <w:rsid w:val="00A8704D"/>
    <w:rsid w:val="00A9730C"/>
    <w:rsid w:val="00AA57D1"/>
    <w:rsid w:val="00AA6EBB"/>
    <w:rsid w:val="00AA7F86"/>
    <w:rsid w:val="00AB6222"/>
    <w:rsid w:val="00AC1B26"/>
    <w:rsid w:val="00AC5B4D"/>
    <w:rsid w:val="00AC67AC"/>
    <w:rsid w:val="00AD01A9"/>
    <w:rsid w:val="00AD23EB"/>
    <w:rsid w:val="00AE6896"/>
    <w:rsid w:val="00AE792F"/>
    <w:rsid w:val="00B00B1F"/>
    <w:rsid w:val="00B12AE5"/>
    <w:rsid w:val="00B15644"/>
    <w:rsid w:val="00B159B4"/>
    <w:rsid w:val="00B213FE"/>
    <w:rsid w:val="00B22DF5"/>
    <w:rsid w:val="00B230A7"/>
    <w:rsid w:val="00B264D8"/>
    <w:rsid w:val="00B31DFD"/>
    <w:rsid w:val="00B32C90"/>
    <w:rsid w:val="00B35178"/>
    <w:rsid w:val="00B358F8"/>
    <w:rsid w:val="00B52610"/>
    <w:rsid w:val="00B535A4"/>
    <w:rsid w:val="00B542FA"/>
    <w:rsid w:val="00B64CAA"/>
    <w:rsid w:val="00B714BC"/>
    <w:rsid w:val="00BA10F6"/>
    <w:rsid w:val="00BA2D3B"/>
    <w:rsid w:val="00BC5CA7"/>
    <w:rsid w:val="00BD7AC5"/>
    <w:rsid w:val="00BE1D8D"/>
    <w:rsid w:val="00BF3834"/>
    <w:rsid w:val="00BF3EFB"/>
    <w:rsid w:val="00BF7527"/>
    <w:rsid w:val="00C03C04"/>
    <w:rsid w:val="00C04839"/>
    <w:rsid w:val="00C17D1A"/>
    <w:rsid w:val="00C20E61"/>
    <w:rsid w:val="00C27F7C"/>
    <w:rsid w:val="00C30B01"/>
    <w:rsid w:val="00C35380"/>
    <w:rsid w:val="00C37915"/>
    <w:rsid w:val="00C47476"/>
    <w:rsid w:val="00C53F93"/>
    <w:rsid w:val="00C57470"/>
    <w:rsid w:val="00C57B2D"/>
    <w:rsid w:val="00C606B5"/>
    <w:rsid w:val="00C75DF0"/>
    <w:rsid w:val="00C77FC7"/>
    <w:rsid w:val="00C92A4E"/>
    <w:rsid w:val="00C94C1C"/>
    <w:rsid w:val="00C950D5"/>
    <w:rsid w:val="00C95B34"/>
    <w:rsid w:val="00CA205D"/>
    <w:rsid w:val="00CA6BE9"/>
    <w:rsid w:val="00CA7258"/>
    <w:rsid w:val="00CA7FE6"/>
    <w:rsid w:val="00CB0433"/>
    <w:rsid w:val="00CC221C"/>
    <w:rsid w:val="00CC730B"/>
    <w:rsid w:val="00CD41AC"/>
    <w:rsid w:val="00CD5CDB"/>
    <w:rsid w:val="00CE41B3"/>
    <w:rsid w:val="00CF2C54"/>
    <w:rsid w:val="00CF4CCC"/>
    <w:rsid w:val="00CF5882"/>
    <w:rsid w:val="00D06452"/>
    <w:rsid w:val="00D155A4"/>
    <w:rsid w:val="00D20C1B"/>
    <w:rsid w:val="00D22141"/>
    <w:rsid w:val="00D233B9"/>
    <w:rsid w:val="00D25B4C"/>
    <w:rsid w:val="00D3025E"/>
    <w:rsid w:val="00D33897"/>
    <w:rsid w:val="00D35894"/>
    <w:rsid w:val="00D41BF2"/>
    <w:rsid w:val="00D4469E"/>
    <w:rsid w:val="00D57DDA"/>
    <w:rsid w:val="00D62D6B"/>
    <w:rsid w:val="00D75516"/>
    <w:rsid w:val="00D9362B"/>
    <w:rsid w:val="00D94DAB"/>
    <w:rsid w:val="00DA3928"/>
    <w:rsid w:val="00DA76C2"/>
    <w:rsid w:val="00DC04F5"/>
    <w:rsid w:val="00DC59B0"/>
    <w:rsid w:val="00DF2AAD"/>
    <w:rsid w:val="00DF328C"/>
    <w:rsid w:val="00DF7749"/>
    <w:rsid w:val="00DF7F7F"/>
    <w:rsid w:val="00E0716C"/>
    <w:rsid w:val="00E072B4"/>
    <w:rsid w:val="00E1485F"/>
    <w:rsid w:val="00E1743F"/>
    <w:rsid w:val="00E21566"/>
    <w:rsid w:val="00E21F54"/>
    <w:rsid w:val="00E22BBA"/>
    <w:rsid w:val="00E30084"/>
    <w:rsid w:val="00E30C9F"/>
    <w:rsid w:val="00E313FD"/>
    <w:rsid w:val="00E34F75"/>
    <w:rsid w:val="00E379C4"/>
    <w:rsid w:val="00E450B5"/>
    <w:rsid w:val="00E5016F"/>
    <w:rsid w:val="00E605A1"/>
    <w:rsid w:val="00E626DA"/>
    <w:rsid w:val="00E706CC"/>
    <w:rsid w:val="00E74EF2"/>
    <w:rsid w:val="00E80F1C"/>
    <w:rsid w:val="00E906CB"/>
    <w:rsid w:val="00E97E0E"/>
    <w:rsid w:val="00EA4572"/>
    <w:rsid w:val="00EA4A98"/>
    <w:rsid w:val="00ED1094"/>
    <w:rsid w:val="00ED3D6E"/>
    <w:rsid w:val="00ED3DC8"/>
    <w:rsid w:val="00ED4598"/>
    <w:rsid w:val="00EE0170"/>
    <w:rsid w:val="00EE2A4B"/>
    <w:rsid w:val="00EE68AE"/>
    <w:rsid w:val="00EF4ED8"/>
    <w:rsid w:val="00F01FAE"/>
    <w:rsid w:val="00F14FAE"/>
    <w:rsid w:val="00F20F3E"/>
    <w:rsid w:val="00F26807"/>
    <w:rsid w:val="00F27930"/>
    <w:rsid w:val="00F27EC0"/>
    <w:rsid w:val="00F30CFD"/>
    <w:rsid w:val="00F332CE"/>
    <w:rsid w:val="00F562EC"/>
    <w:rsid w:val="00F70692"/>
    <w:rsid w:val="00F712C2"/>
    <w:rsid w:val="00F71A7E"/>
    <w:rsid w:val="00F774E1"/>
    <w:rsid w:val="00F972FD"/>
    <w:rsid w:val="00FA26E8"/>
    <w:rsid w:val="00FA28E8"/>
    <w:rsid w:val="00FA310F"/>
    <w:rsid w:val="00FA58AE"/>
    <w:rsid w:val="00FA6687"/>
    <w:rsid w:val="00FB065D"/>
    <w:rsid w:val="00FB6DF9"/>
    <w:rsid w:val="00FC4F28"/>
    <w:rsid w:val="00FC6FAC"/>
    <w:rsid w:val="00FD2E8D"/>
    <w:rsid w:val="00FE30DB"/>
    <w:rsid w:val="00FE420B"/>
    <w:rsid w:val="00FE4ED3"/>
    <w:rsid w:val="00FF00C8"/>
    <w:rsid w:val="00FF5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9DCFFE"/>
  <w15:docId w15:val="{480EEB32-51DA-4A0A-A124-F05A9977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imes New Roman" w:hAnsi="Century"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4D8"/>
    <w:rPr>
      <w:rFonts w:ascii="CG Times (WN)" w:hAnsi="CG Times (WN)"/>
      <w:lang w:val="es-ES_tradnl"/>
    </w:rPr>
  </w:style>
  <w:style w:type="paragraph" w:styleId="Ttulo1">
    <w:name w:val="heading 1"/>
    <w:basedOn w:val="Normal"/>
    <w:next w:val="Normal"/>
    <w:qFormat/>
    <w:rsid w:val="00B264D8"/>
    <w:pPr>
      <w:keepNext/>
      <w:tabs>
        <w:tab w:val="left" w:pos="3402"/>
        <w:tab w:val="left" w:pos="4751"/>
      </w:tabs>
      <w:spacing w:line="360" w:lineRule="atLeast"/>
      <w:ind w:right="51"/>
      <w:jc w:val="both"/>
      <w:outlineLvl w:val="0"/>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B264D8"/>
  </w:style>
  <w:style w:type="paragraph" w:styleId="Encabezado">
    <w:name w:val="header"/>
    <w:basedOn w:val="Normal"/>
    <w:link w:val="EncabezadoCar"/>
    <w:uiPriority w:val="99"/>
    <w:rsid w:val="00B264D8"/>
    <w:pPr>
      <w:tabs>
        <w:tab w:val="center" w:pos="4252"/>
        <w:tab w:val="right" w:pos="8504"/>
      </w:tabs>
    </w:pPr>
  </w:style>
  <w:style w:type="character" w:styleId="Nmerodepgina">
    <w:name w:val="page number"/>
    <w:basedOn w:val="Fuentedeprrafopredeter"/>
    <w:rsid w:val="00B264D8"/>
  </w:style>
  <w:style w:type="paragraph" w:styleId="Piedepgina">
    <w:name w:val="footer"/>
    <w:basedOn w:val="Normal"/>
    <w:rsid w:val="00B264D8"/>
    <w:pPr>
      <w:tabs>
        <w:tab w:val="center" w:pos="4252"/>
        <w:tab w:val="right" w:pos="8504"/>
      </w:tabs>
    </w:pPr>
  </w:style>
  <w:style w:type="paragraph" w:styleId="Textoindependiente">
    <w:name w:val="Body Text"/>
    <w:basedOn w:val="Normal"/>
    <w:rsid w:val="00B264D8"/>
    <w:pPr>
      <w:pBdr>
        <w:bottom w:val="single" w:sz="4" w:space="1" w:color="auto"/>
      </w:pBdr>
      <w:tabs>
        <w:tab w:val="left" w:pos="3402"/>
      </w:tabs>
      <w:jc w:val="both"/>
    </w:pPr>
    <w:rPr>
      <w:rFonts w:ascii="Arial" w:hAnsi="Arial"/>
      <w:b/>
      <w:sz w:val="24"/>
    </w:rPr>
  </w:style>
  <w:style w:type="character" w:customStyle="1" w:styleId="EncabezadoCar">
    <w:name w:val="Encabezado Car"/>
    <w:link w:val="Encabezado"/>
    <w:uiPriority w:val="99"/>
    <w:rsid w:val="00E30084"/>
    <w:rPr>
      <w:rFonts w:ascii="CG Times (WN)" w:hAnsi="CG Times (WN)"/>
      <w:lang w:val="es-ES_tradnl" w:eastAsia="es-ES"/>
    </w:rPr>
  </w:style>
  <w:style w:type="table" w:styleId="Tablaconcuadrcula">
    <w:name w:val="Table Grid"/>
    <w:basedOn w:val="Tablanormal"/>
    <w:rsid w:val="00AA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26026D"/>
    <w:pPr>
      <w:spacing w:after="120"/>
      <w:ind w:left="283"/>
    </w:pPr>
  </w:style>
  <w:style w:type="character" w:customStyle="1" w:styleId="SangradetextonormalCar">
    <w:name w:val="Sangría de texto normal Car"/>
    <w:link w:val="Sangradetextonormal"/>
    <w:rsid w:val="0026026D"/>
    <w:rPr>
      <w:rFonts w:ascii="CG Times (WN)" w:hAnsi="CG Times (WN)"/>
      <w:lang w:val="es-ES_tradnl" w:eastAsia="es-ES"/>
    </w:rPr>
  </w:style>
  <w:style w:type="paragraph" w:customStyle="1" w:styleId="Estilo">
    <w:name w:val="Estilo"/>
    <w:basedOn w:val="Normal"/>
    <w:next w:val="Sangradetextonormal"/>
    <w:uiPriority w:val="99"/>
    <w:rsid w:val="0026026D"/>
    <w:pPr>
      <w:numPr>
        <w:ilvl w:val="8"/>
        <w:numId w:val="2"/>
      </w:numPr>
      <w:tabs>
        <w:tab w:val="num" w:pos="3195"/>
        <w:tab w:val="left" w:pos="3544"/>
      </w:tabs>
      <w:spacing w:before="240" w:after="120"/>
      <w:ind w:left="2835" w:firstLine="0"/>
      <w:jc w:val="both"/>
    </w:pPr>
    <w:rPr>
      <w:rFonts w:ascii="Courier" w:hAnsi="Courier"/>
      <w:spacing w:val="-3"/>
      <w:sz w:val="24"/>
    </w:rPr>
  </w:style>
  <w:style w:type="paragraph" w:styleId="Textodeglobo">
    <w:name w:val="Balloon Text"/>
    <w:basedOn w:val="Normal"/>
    <w:link w:val="TextodegloboCar"/>
    <w:rsid w:val="003623B5"/>
    <w:rPr>
      <w:rFonts w:ascii="Segoe UI" w:hAnsi="Segoe UI" w:cs="Segoe UI"/>
      <w:sz w:val="18"/>
      <w:szCs w:val="18"/>
    </w:rPr>
  </w:style>
  <w:style w:type="character" w:customStyle="1" w:styleId="TextodegloboCar">
    <w:name w:val="Texto de globo Car"/>
    <w:link w:val="Textodeglobo"/>
    <w:rsid w:val="003623B5"/>
    <w:rPr>
      <w:rFonts w:ascii="Segoe UI" w:hAnsi="Segoe UI" w:cs="Segoe UI"/>
      <w:sz w:val="18"/>
      <w:szCs w:val="18"/>
      <w:lang w:val="es-ES_tradnl" w:eastAsia="es-ES"/>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CB0433"/>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link w:val="Textonotapie"/>
    <w:uiPriority w:val="99"/>
    <w:rsid w:val="00CB0433"/>
    <w:rPr>
      <w:rFonts w:ascii="CG Times (WN)" w:hAnsi="CG Times (WN)"/>
      <w:lang w:val="es-ES_tradnl" w:eastAsia="es-ES"/>
    </w:rPr>
  </w:style>
  <w:style w:type="character" w:styleId="Refdenotaalpie">
    <w:name w:val="footnote reference"/>
    <w:aliases w:val="Footnote Reference.SES,16 Point,Superscript 6 Point,Superscript 6 Point + 11 ...,Ref,de nota al pie"/>
    <w:rsid w:val="00CB0433"/>
    <w:rPr>
      <w:vertAlign w:val="superscript"/>
    </w:rPr>
  </w:style>
  <w:style w:type="paragraph" w:styleId="HTMLconformatoprevio">
    <w:name w:val="HTML Preformatted"/>
    <w:basedOn w:val="Normal"/>
    <w:link w:val="HTMLconformatoprevioCar"/>
    <w:rsid w:val="001A4626"/>
    <w:rPr>
      <w:rFonts w:ascii="Courier New" w:hAnsi="Courier New" w:cs="Courier New"/>
    </w:rPr>
  </w:style>
  <w:style w:type="character" w:customStyle="1" w:styleId="HTMLconformatoprevioCar">
    <w:name w:val="HTML con formato previo Car"/>
    <w:link w:val="HTMLconformatoprevio"/>
    <w:rsid w:val="001A4626"/>
    <w:rPr>
      <w:rFonts w:ascii="Courier New" w:hAnsi="Courier New" w:cs="Courier New"/>
      <w:lang w:val="es-ES_tradnl" w:eastAsia="es-ES"/>
    </w:rPr>
  </w:style>
  <w:style w:type="paragraph" w:styleId="Prrafodelista">
    <w:name w:val="List Paragraph"/>
    <w:basedOn w:val="Normal"/>
    <w:uiPriority w:val="34"/>
    <w:qFormat/>
    <w:rsid w:val="00CD5CDB"/>
    <w:pPr>
      <w:spacing w:after="160" w:line="259" w:lineRule="auto"/>
      <w:ind w:left="720"/>
      <w:contextualSpacing/>
    </w:pPr>
    <w:rPr>
      <w:rFonts w:ascii="Calibri" w:eastAsia="Calibri" w:hAnsi="Calibri"/>
      <w:sz w:val="22"/>
      <w:szCs w:val="22"/>
      <w:lang w:val="es-CL" w:eastAsia="en-US"/>
    </w:rPr>
  </w:style>
  <w:style w:type="character" w:styleId="Hipervnculo">
    <w:name w:val="Hyperlink"/>
    <w:rsid w:val="000B1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20687">
      <w:bodyDiv w:val="1"/>
      <w:marLeft w:val="0"/>
      <w:marRight w:val="0"/>
      <w:marTop w:val="0"/>
      <w:marBottom w:val="0"/>
      <w:divBdr>
        <w:top w:val="none" w:sz="0" w:space="0" w:color="auto"/>
        <w:left w:val="none" w:sz="0" w:space="0" w:color="auto"/>
        <w:bottom w:val="none" w:sz="0" w:space="0" w:color="auto"/>
        <w:right w:val="none" w:sz="0" w:space="0" w:color="auto"/>
      </w:divBdr>
    </w:div>
    <w:div w:id="471021423">
      <w:bodyDiv w:val="1"/>
      <w:marLeft w:val="0"/>
      <w:marRight w:val="0"/>
      <w:marTop w:val="0"/>
      <w:marBottom w:val="0"/>
      <w:divBdr>
        <w:top w:val="none" w:sz="0" w:space="0" w:color="auto"/>
        <w:left w:val="none" w:sz="0" w:space="0" w:color="auto"/>
        <w:bottom w:val="none" w:sz="0" w:space="0" w:color="auto"/>
        <w:right w:val="none" w:sz="0" w:space="0" w:color="auto"/>
      </w:divBdr>
      <w:divsChild>
        <w:div w:id="941693918">
          <w:marLeft w:val="446"/>
          <w:marRight w:val="0"/>
          <w:marTop w:val="0"/>
          <w:marBottom w:val="0"/>
          <w:divBdr>
            <w:top w:val="none" w:sz="0" w:space="0" w:color="auto"/>
            <w:left w:val="none" w:sz="0" w:space="0" w:color="auto"/>
            <w:bottom w:val="none" w:sz="0" w:space="0" w:color="auto"/>
            <w:right w:val="none" w:sz="0" w:space="0" w:color="auto"/>
          </w:divBdr>
        </w:div>
        <w:div w:id="953829622">
          <w:marLeft w:val="446"/>
          <w:marRight w:val="0"/>
          <w:marTop w:val="0"/>
          <w:marBottom w:val="0"/>
          <w:divBdr>
            <w:top w:val="none" w:sz="0" w:space="0" w:color="auto"/>
            <w:left w:val="none" w:sz="0" w:space="0" w:color="auto"/>
            <w:bottom w:val="none" w:sz="0" w:space="0" w:color="auto"/>
            <w:right w:val="none" w:sz="0" w:space="0" w:color="auto"/>
          </w:divBdr>
        </w:div>
        <w:div w:id="1446191792">
          <w:marLeft w:val="446"/>
          <w:marRight w:val="0"/>
          <w:marTop w:val="0"/>
          <w:marBottom w:val="0"/>
          <w:divBdr>
            <w:top w:val="none" w:sz="0" w:space="0" w:color="auto"/>
            <w:left w:val="none" w:sz="0" w:space="0" w:color="auto"/>
            <w:bottom w:val="none" w:sz="0" w:space="0" w:color="auto"/>
            <w:right w:val="none" w:sz="0" w:space="0" w:color="auto"/>
          </w:divBdr>
        </w:div>
      </w:divsChild>
    </w:div>
    <w:div w:id="47772374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44">
          <w:marLeft w:val="950"/>
          <w:marRight w:val="0"/>
          <w:marTop w:val="0"/>
          <w:marBottom w:val="0"/>
          <w:divBdr>
            <w:top w:val="none" w:sz="0" w:space="0" w:color="auto"/>
            <w:left w:val="none" w:sz="0" w:space="0" w:color="auto"/>
            <w:bottom w:val="none" w:sz="0" w:space="0" w:color="auto"/>
            <w:right w:val="none" w:sz="0" w:space="0" w:color="auto"/>
          </w:divBdr>
        </w:div>
        <w:div w:id="593248024">
          <w:marLeft w:val="950"/>
          <w:marRight w:val="0"/>
          <w:marTop w:val="0"/>
          <w:marBottom w:val="0"/>
          <w:divBdr>
            <w:top w:val="none" w:sz="0" w:space="0" w:color="auto"/>
            <w:left w:val="none" w:sz="0" w:space="0" w:color="auto"/>
            <w:bottom w:val="none" w:sz="0" w:space="0" w:color="auto"/>
            <w:right w:val="none" w:sz="0" w:space="0" w:color="auto"/>
          </w:divBdr>
        </w:div>
      </w:divsChild>
    </w:div>
    <w:div w:id="634683325">
      <w:bodyDiv w:val="1"/>
      <w:marLeft w:val="0"/>
      <w:marRight w:val="0"/>
      <w:marTop w:val="0"/>
      <w:marBottom w:val="0"/>
      <w:divBdr>
        <w:top w:val="none" w:sz="0" w:space="0" w:color="auto"/>
        <w:left w:val="none" w:sz="0" w:space="0" w:color="auto"/>
        <w:bottom w:val="none" w:sz="0" w:space="0" w:color="auto"/>
        <w:right w:val="none" w:sz="0" w:space="0" w:color="auto"/>
      </w:divBdr>
    </w:div>
    <w:div w:id="760220862">
      <w:bodyDiv w:val="1"/>
      <w:marLeft w:val="0"/>
      <w:marRight w:val="0"/>
      <w:marTop w:val="0"/>
      <w:marBottom w:val="0"/>
      <w:divBdr>
        <w:top w:val="none" w:sz="0" w:space="0" w:color="auto"/>
        <w:left w:val="none" w:sz="0" w:space="0" w:color="auto"/>
        <w:bottom w:val="none" w:sz="0" w:space="0" w:color="auto"/>
        <w:right w:val="none" w:sz="0" w:space="0" w:color="auto"/>
      </w:divBdr>
    </w:div>
    <w:div w:id="771969808">
      <w:bodyDiv w:val="1"/>
      <w:marLeft w:val="0"/>
      <w:marRight w:val="0"/>
      <w:marTop w:val="0"/>
      <w:marBottom w:val="0"/>
      <w:divBdr>
        <w:top w:val="none" w:sz="0" w:space="0" w:color="auto"/>
        <w:left w:val="none" w:sz="0" w:space="0" w:color="auto"/>
        <w:bottom w:val="none" w:sz="0" w:space="0" w:color="auto"/>
        <w:right w:val="none" w:sz="0" w:space="0" w:color="auto"/>
      </w:divBdr>
    </w:div>
    <w:div w:id="1169179105">
      <w:bodyDiv w:val="1"/>
      <w:marLeft w:val="0"/>
      <w:marRight w:val="0"/>
      <w:marTop w:val="0"/>
      <w:marBottom w:val="0"/>
      <w:divBdr>
        <w:top w:val="none" w:sz="0" w:space="0" w:color="auto"/>
        <w:left w:val="none" w:sz="0" w:space="0" w:color="auto"/>
        <w:bottom w:val="none" w:sz="0" w:space="0" w:color="auto"/>
        <w:right w:val="none" w:sz="0" w:space="0" w:color="auto"/>
      </w:divBdr>
    </w:div>
    <w:div w:id="1551577831">
      <w:bodyDiv w:val="1"/>
      <w:marLeft w:val="0"/>
      <w:marRight w:val="0"/>
      <w:marTop w:val="0"/>
      <w:marBottom w:val="0"/>
      <w:divBdr>
        <w:top w:val="none" w:sz="0" w:space="0" w:color="auto"/>
        <w:left w:val="none" w:sz="0" w:space="0" w:color="auto"/>
        <w:bottom w:val="none" w:sz="0" w:space="0" w:color="auto"/>
        <w:right w:val="none" w:sz="0" w:space="0" w:color="auto"/>
      </w:divBdr>
    </w:div>
    <w:div w:id="1773939510">
      <w:bodyDiv w:val="1"/>
      <w:marLeft w:val="0"/>
      <w:marRight w:val="0"/>
      <w:marTop w:val="0"/>
      <w:marBottom w:val="0"/>
      <w:divBdr>
        <w:top w:val="none" w:sz="0" w:space="0" w:color="auto"/>
        <w:left w:val="none" w:sz="0" w:space="0" w:color="auto"/>
        <w:bottom w:val="none" w:sz="0" w:space="0" w:color="auto"/>
        <w:right w:val="none" w:sz="0" w:space="0" w:color="auto"/>
      </w:divBdr>
      <w:divsChild>
        <w:div w:id="66651678">
          <w:marLeft w:val="446"/>
          <w:marRight w:val="0"/>
          <w:marTop w:val="0"/>
          <w:marBottom w:val="0"/>
          <w:divBdr>
            <w:top w:val="none" w:sz="0" w:space="0" w:color="auto"/>
            <w:left w:val="none" w:sz="0" w:space="0" w:color="auto"/>
            <w:bottom w:val="none" w:sz="0" w:space="0" w:color="auto"/>
            <w:right w:val="none" w:sz="0" w:space="0" w:color="auto"/>
          </w:divBdr>
        </w:div>
        <w:div w:id="846597994">
          <w:marLeft w:val="446"/>
          <w:marRight w:val="0"/>
          <w:marTop w:val="0"/>
          <w:marBottom w:val="0"/>
          <w:divBdr>
            <w:top w:val="none" w:sz="0" w:space="0" w:color="auto"/>
            <w:left w:val="none" w:sz="0" w:space="0" w:color="auto"/>
            <w:bottom w:val="none" w:sz="0" w:space="0" w:color="auto"/>
            <w:right w:val="none" w:sz="0" w:space="0" w:color="auto"/>
          </w:divBdr>
        </w:div>
        <w:div w:id="1688603481">
          <w:marLeft w:val="446"/>
          <w:marRight w:val="0"/>
          <w:marTop w:val="0"/>
          <w:marBottom w:val="0"/>
          <w:divBdr>
            <w:top w:val="none" w:sz="0" w:space="0" w:color="auto"/>
            <w:left w:val="none" w:sz="0" w:space="0" w:color="auto"/>
            <w:bottom w:val="none" w:sz="0" w:space="0" w:color="auto"/>
            <w:right w:val="none" w:sz="0" w:space="0" w:color="auto"/>
          </w:divBdr>
        </w:div>
      </w:divsChild>
    </w:div>
    <w:div w:id="1802460613">
      <w:bodyDiv w:val="1"/>
      <w:marLeft w:val="0"/>
      <w:marRight w:val="0"/>
      <w:marTop w:val="0"/>
      <w:marBottom w:val="0"/>
      <w:divBdr>
        <w:top w:val="none" w:sz="0" w:space="0" w:color="auto"/>
        <w:left w:val="none" w:sz="0" w:space="0" w:color="auto"/>
        <w:bottom w:val="none" w:sz="0" w:space="0" w:color="auto"/>
        <w:right w:val="none" w:sz="0" w:space="0" w:color="auto"/>
      </w:divBdr>
    </w:div>
    <w:div w:id="20878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E6EF2-8C7E-4CF6-9357-A1AAFE156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C9DEDE-17CE-4381-AE36-BCD49584002A}">
  <ds:schemaRefs>
    <ds:schemaRef ds:uri="http://schemas.microsoft.com/sharepoint/v3/contenttype/forms"/>
  </ds:schemaRefs>
</ds:datastoreItem>
</file>

<file path=customXml/itemProps3.xml><?xml version="1.0" encoding="utf-8"?>
<ds:datastoreItem xmlns:ds="http://schemas.openxmlformats.org/officeDocument/2006/customXml" ds:itemID="{2B6B6D48-F6DA-460C-BE7D-737F95D003B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DF4648C-4E25-4BED-928B-B9188885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2650</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INFORME DE LA COMISION DE HACIENDA RECAIDO EN EL PROYECTO DE LEY QUE</vt:lpstr>
    </vt:vector>
  </TitlesOfParts>
  <Company>CAMARA DE DIPUTADOS</Company>
  <LinksUpToDate>false</LinksUpToDate>
  <CharactersWithSpaces>17197</CharactersWithSpaces>
  <SharedDoc>false</SharedDoc>
  <HLinks>
    <vt:vector size="6" baseType="variant">
      <vt:variant>
        <vt:i4>655373</vt:i4>
      </vt:variant>
      <vt:variant>
        <vt:i4>0</vt:i4>
      </vt:variant>
      <vt:variant>
        <vt:i4>0</vt:i4>
      </vt:variant>
      <vt:variant>
        <vt:i4>5</vt:i4>
      </vt:variant>
      <vt:variant>
        <vt:lpwstr>https://www.direcon.gob.cl/2017/06/acuerdo-de-complementacion-economica-chile-mercosur-2/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HACIENDA RECAIDO EN EL PROYECTO DE LEY QUE</dc:title>
  <dc:creator>JRosselot</dc:creator>
  <cp:lastModifiedBy>Erika Suarez Benitez</cp:lastModifiedBy>
  <cp:revision>5</cp:revision>
  <cp:lastPrinted>2018-03-16T13:49:00Z</cp:lastPrinted>
  <dcterms:created xsi:type="dcterms:W3CDTF">2018-07-30T14:12:00Z</dcterms:created>
  <dcterms:modified xsi:type="dcterms:W3CDTF">2018-07-30T14:25:00Z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