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2DF" w:rsidRPr="00E03953" w:rsidRDefault="00294656" w:rsidP="008C141B">
      <w:pPr>
        <w:pStyle w:val="Textoindependiente3"/>
        <w:pBdr>
          <w:bottom w:val="single" w:sz="4" w:space="1" w:color="auto"/>
        </w:pBdr>
        <w:tabs>
          <w:tab w:val="clear" w:pos="2340"/>
          <w:tab w:val="left" w:pos="709"/>
        </w:tabs>
        <w:rPr>
          <w:sz w:val="24"/>
        </w:rPr>
      </w:pPr>
      <w:r w:rsidRPr="00E03953">
        <w:rPr>
          <w:sz w:val="24"/>
        </w:rPr>
        <w:t xml:space="preserve">INFORME DE LA COMISIÓN DE EDUCACIÓN </w:t>
      </w:r>
      <w:r>
        <w:rPr>
          <w:sz w:val="24"/>
        </w:rPr>
        <w:t>RESPECTO DEL PROYECTO DE LEY</w:t>
      </w:r>
      <w:r w:rsidRPr="000B238E">
        <w:rPr>
          <w:sz w:val="24"/>
        </w:rPr>
        <w:t xml:space="preserve"> QUE</w:t>
      </w:r>
      <w:r>
        <w:rPr>
          <w:sz w:val="24"/>
        </w:rPr>
        <w:t xml:space="preserve"> </w:t>
      </w:r>
      <w:r w:rsidRPr="00294656">
        <w:rPr>
          <w:lang w:val="es-CL"/>
        </w:rPr>
        <w:t>ELIMINA EL APORTE FISCAL INDIRECTO PARA LAS INSTITUCIONES DE EDUCACIÓN SUPERIOR, ESTABLECIENDO UNA REGULACIÓN TRANSITORIA PARA EL AÑO 2017</w:t>
      </w:r>
      <w:r w:rsidRPr="000B238E">
        <w:rPr>
          <w:sz w:val="24"/>
        </w:rPr>
        <w:t>.</w:t>
      </w:r>
    </w:p>
    <w:p w:rsidR="003933C1" w:rsidRPr="00E03953" w:rsidRDefault="00D953F1" w:rsidP="008C141B">
      <w:pPr>
        <w:pStyle w:val="Textoindependiente2"/>
        <w:tabs>
          <w:tab w:val="left" w:pos="709"/>
        </w:tabs>
        <w:spacing w:line="240" w:lineRule="auto"/>
        <w:jc w:val="right"/>
        <w:rPr>
          <w:b/>
          <w:sz w:val="24"/>
        </w:rPr>
      </w:pPr>
      <w:r w:rsidRPr="00E03953">
        <w:rPr>
          <w:b/>
          <w:sz w:val="24"/>
        </w:rPr>
        <w:t>BOLET</w:t>
      </w:r>
      <w:r w:rsidR="000B238E">
        <w:rPr>
          <w:b/>
          <w:sz w:val="24"/>
        </w:rPr>
        <w:t>I</w:t>
      </w:r>
      <w:r w:rsidRPr="00E03953">
        <w:rPr>
          <w:b/>
          <w:sz w:val="24"/>
        </w:rPr>
        <w:t xml:space="preserve">N N° </w:t>
      </w:r>
      <w:r w:rsidR="000B238E">
        <w:rPr>
          <w:b/>
          <w:sz w:val="24"/>
        </w:rPr>
        <w:t>1</w:t>
      </w:r>
      <w:r w:rsidR="00482B19">
        <w:rPr>
          <w:b/>
          <w:sz w:val="24"/>
        </w:rPr>
        <w:t>1</w:t>
      </w:r>
      <w:r w:rsidR="000B238E">
        <w:rPr>
          <w:b/>
          <w:sz w:val="24"/>
        </w:rPr>
        <w:t>.2</w:t>
      </w:r>
      <w:r w:rsidR="00294656">
        <w:rPr>
          <w:b/>
          <w:sz w:val="24"/>
        </w:rPr>
        <w:t>57</w:t>
      </w:r>
      <w:r w:rsidR="000B238E">
        <w:rPr>
          <w:b/>
          <w:sz w:val="24"/>
        </w:rPr>
        <w:t>-04-S</w:t>
      </w:r>
    </w:p>
    <w:p w:rsidR="00F746CE" w:rsidRPr="00E03953" w:rsidRDefault="00F746CE" w:rsidP="00DF67FB">
      <w:pPr>
        <w:pStyle w:val="Textoindependiente2"/>
        <w:tabs>
          <w:tab w:val="left" w:pos="709"/>
        </w:tabs>
        <w:spacing w:before="600" w:line="240" w:lineRule="auto"/>
        <w:rPr>
          <w:sz w:val="24"/>
        </w:rPr>
      </w:pPr>
      <w:r w:rsidRPr="00E03953">
        <w:rPr>
          <w:sz w:val="24"/>
        </w:rPr>
        <w:t>HONORABLE CÁMARA:</w:t>
      </w:r>
    </w:p>
    <w:p w:rsidR="00A52BDA" w:rsidRPr="00E03953" w:rsidRDefault="00F746CE" w:rsidP="008C141B">
      <w:pPr>
        <w:pStyle w:val="Textoindependiente2"/>
        <w:tabs>
          <w:tab w:val="left" w:pos="709"/>
        </w:tabs>
        <w:spacing w:before="360" w:line="240" w:lineRule="auto"/>
        <w:rPr>
          <w:sz w:val="24"/>
        </w:rPr>
      </w:pPr>
      <w:r w:rsidRPr="00E03953">
        <w:rPr>
          <w:sz w:val="24"/>
        </w:rPr>
        <w:tab/>
      </w:r>
      <w:smartTag w:uri="urn:schemas-microsoft-com:office:smarttags" w:element="PersonName">
        <w:smartTagPr>
          <w:attr w:name="ProductID" w:val="La Comisi￳n"/>
        </w:smartTagPr>
        <w:r w:rsidRPr="00E03953">
          <w:rPr>
            <w:sz w:val="24"/>
          </w:rPr>
          <w:t xml:space="preserve">La </w:t>
        </w:r>
        <w:r w:rsidRPr="00E03953">
          <w:rPr>
            <w:bCs/>
            <w:sz w:val="24"/>
          </w:rPr>
          <w:t>Comisión</w:t>
        </w:r>
      </w:smartTag>
      <w:r w:rsidRPr="00E03953">
        <w:rPr>
          <w:bCs/>
          <w:sz w:val="24"/>
        </w:rPr>
        <w:t xml:space="preserve"> de </w:t>
      </w:r>
      <w:r w:rsidR="00E03953" w:rsidRPr="00E03953">
        <w:rPr>
          <w:bCs/>
          <w:sz w:val="24"/>
        </w:rPr>
        <w:t xml:space="preserve">Educación </w:t>
      </w:r>
      <w:r w:rsidR="00A52BDA" w:rsidRPr="00E03953">
        <w:rPr>
          <w:sz w:val="24"/>
        </w:rPr>
        <w:t xml:space="preserve">pasa a informar </w:t>
      </w:r>
      <w:r w:rsidR="00C628AC">
        <w:rPr>
          <w:sz w:val="24"/>
        </w:rPr>
        <w:t>e</w:t>
      </w:r>
      <w:r w:rsidR="00A52BDA" w:rsidRPr="00E03953">
        <w:rPr>
          <w:sz w:val="24"/>
        </w:rPr>
        <w:t xml:space="preserve">l proyecto de ley referido en el epígrafe, de origen en </w:t>
      </w:r>
      <w:r w:rsidR="00294656">
        <w:rPr>
          <w:sz w:val="24"/>
        </w:rPr>
        <w:t>mensaje</w:t>
      </w:r>
      <w:r w:rsidR="00AD54A9">
        <w:rPr>
          <w:sz w:val="24"/>
        </w:rPr>
        <w:t>,</w:t>
      </w:r>
      <w:r w:rsidR="00294656">
        <w:rPr>
          <w:sz w:val="24"/>
        </w:rPr>
        <w:t xml:space="preserve"> </w:t>
      </w:r>
      <w:r w:rsidR="00A52BDA" w:rsidRPr="00E03953">
        <w:rPr>
          <w:sz w:val="24"/>
        </w:rPr>
        <w:t>en segundo trámite constitucional y primero reglamentario</w:t>
      </w:r>
      <w:r w:rsidR="00B07E08">
        <w:rPr>
          <w:sz w:val="24"/>
        </w:rPr>
        <w:t>, con</w:t>
      </w:r>
      <w:r w:rsidR="007532D2" w:rsidRPr="00E03953">
        <w:rPr>
          <w:sz w:val="24"/>
        </w:rPr>
        <w:t xml:space="preserve"> urgencia califica</w:t>
      </w:r>
      <w:r w:rsidR="00B07E08">
        <w:rPr>
          <w:sz w:val="24"/>
        </w:rPr>
        <w:t>da</w:t>
      </w:r>
      <w:r w:rsidR="007532D2" w:rsidRPr="00E03953">
        <w:rPr>
          <w:sz w:val="24"/>
        </w:rPr>
        <w:t xml:space="preserve"> de “</w:t>
      </w:r>
      <w:r w:rsidR="00294656">
        <w:rPr>
          <w:sz w:val="24"/>
        </w:rPr>
        <w:t>suma</w:t>
      </w:r>
      <w:r w:rsidR="007532D2" w:rsidRPr="00E03953">
        <w:rPr>
          <w:sz w:val="24"/>
        </w:rPr>
        <w:t>”.</w:t>
      </w:r>
    </w:p>
    <w:p w:rsidR="00294656" w:rsidRDefault="007532D2" w:rsidP="008C141B">
      <w:pPr>
        <w:tabs>
          <w:tab w:val="left" w:pos="709"/>
        </w:tabs>
        <w:spacing w:before="120"/>
        <w:jc w:val="both"/>
        <w:rPr>
          <w:rFonts w:ascii="Arial" w:hAnsi="Arial" w:cs="Arial"/>
        </w:rPr>
      </w:pPr>
      <w:r w:rsidRPr="00E03953">
        <w:rPr>
          <w:rFonts w:ascii="Arial" w:hAnsi="Arial" w:cs="Arial"/>
        </w:rPr>
        <w:tab/>
        <w:t xml:space="preserve">Durante el análisis de esta iniciativa legal la Comisión contó con la </w:t>
      </w:r>
      <w:r w:rsidR="00F21038">
        <w:rPr>
          <w:rFonts w:ascii="Arial" w:hAnsi="Arial" w:cs="Arial"/>
        </w:rPr>
        <w:t xml:space="preserve">asistencia </w:t>
      </w:r>
      <w:r w:rsidRPr="002B2FFB">
        <w:rPr>
          <w:rFonts w:ascii="Arial" w:hAnsi="Arial" w:cs="Arial"/>
        </w:rPr>
        <w:t>de</w:t>
      </w:r>
      <w:r w:rsidR="00EC0F74" w:rsidRPr="002B2FFB">
        <w:rPr>
          <w:rFonts w:ascii="Arial" w:hAnsi="Arial" w:cs="Arial"/>
        </w:rPr>
        <w:t xml:space="preserve"> </w:t>
      </w:r>
      <w:r w:rsidR="001F446D">
        <w:rPr>
          <w:rFonts w:ascii="Arial" w:hAnsi="Arial" w:cs="Arial"/>
        </w:rPr>
        <w:t>la Jefa de la División de Educación Superior</w:t>
      </w:r>
      <w:r w:rsidR="001B40C7">
        <w:rPr>
          <w:rFonts w:ascii="Arial" w:hAnsi="Arial" w:cs="Arial"/>
        </w:rPr>
        <w:t xml:space="preserve"> del Ministerio de Educación</w:t>
      </w:r>
      <w:r w:rsidR="001F446D">
        <w:rPr>
          <w:rFonts w:ascii="Arial" w:hAnsi="Arial" w:cs="Arial"/>
        </w:rPr>
        <w:t xml:space="preserve">, señora Alejandra Contreras </w:t>
      </w:r>
      <w:proofErr w:type="spellStart"/>
      <w:r w:rsidR="001F446D">
        <w:rPr>
          <w:rFonts w:ascii="Arial" w:hAnsi="Arial" w:cs="Arial"/>
        </w:rPr>
        <w:t>Altmann</w:t>
      </w:r>
      <w:proofErr w:type="spellEnd"/>
      <w:r w:rsidR="001F446D">
        <w:rPr>
          <w:rFonts w:ascii="Arial" w:hAnsi="Arial" w:cs="Arial"/>
        </w:rPr>
        <w:t>.</w:t>
      </w:r>
    </w:p>
    <w:p w:rsidR="00F746CE" w:rsidRPr="0079366F" w:rsidRDefault="0028359B" w:rsidP="00A64ABF">
      <w:pPr>
        <w:pStyle w:val="Ttulo1"/>
        <w:tabs>
          <w:tab w:val="left" w:pos="709"/>
        </w:tabs>
        <w:spacing w:before="600"/>
        <w:jc w:val="both"/>
        <w:rPr>
          <w:bCs w:val="0"/>
        </w:rPr>
      </w:pPr>
      <w:bookmarkStart w:id="0" w:name="_Toc408309924"/>
      <w:bookmarkStart w:id="1" w:name="_Toc409556907"/>
      <w:bookmarkStart w:id="2" w:name="_Toc499712179"/>
      <w:r w:rsidRPr="0079366F">
        <w:rPr>
          <w:bCs w:val="0"/>
        </w:rPr>
        <w:t xml:space="preserve">I. </w:t>
      </w:r>
      <w:r w:rsidR="00F746CE" w:rsidRPr="0079366F">
        <w:rPr>
          <w:bCs w:val="0"/>
        </w:rPr>
        <w:t>CONSTANCIAS REGLAMENTARIAS PREVIAS.</w:t>
      </w:r>
      <w:bookmarkEnd w:id="0"/>
      <w:bookmarkEnd w:id="1"/>
      <w:bookmarkEnd w:id="2"/>
    </w:p>
    <w:p w:rsidR="00C32A16" w:rsidRPr="00E03953" w:rsidRDefault="00F746CE" w:rsidP="008C141B">
      <w:pPr>
        <w:pStyle w:val="Ttulo2"/>
        <w:tabs>
          <w:tab w:val="left" w:pos="709"/>
        </w:tabs>
        <w:spacing w:before="240"/>
        <w:rPr>
          <w:rFonts w:cs="Arial"/>
          <w:szCs w:val="24"/>
        </w:rPr>
      </w:pPr>
      <w:bookmarkStart w:id="3" w:name="_Toc408309925"/>
      <w:bookmarkStart w:id="4" w:name="_Toc409556908"/>
      <w:bookmarkStart w:id="5" w:name="_Toc499712180"/>
      <w:r w:rsidRPr="00E03953">
        <w:rPr>
          <w:rFonts w:cs="Arial"/>
          <w:szCs w:val="24"/>
        </w:rPr>
        <w:t xml:space="preserve">1) </w:t>
      </w:r>
      <w:r w:rsidR="00464D9C" w:rsidRPr="00E03953">
        <w:rPr>
          <w:rFonts w:cs="Arial"/>
          <w:szCs w:val="24"/>
        </w:rPr>
        <w:t>La idea matri</w:t>
      </w:r>
      <w:r w:rsidR="00E95BEA" w:rsidRPr="00E03953">
        <w:rPr>
          <w:rFonts w:cs="Arial"/>
          <w:szCs w:val="24"/>
        </w:rPr>
        <w:t>z</w:t>
      </w:r>
      <w:r w:rsidR="00464D9C" w:rsidRPr="00E03953">
        <w:rPr>
          <w:rFonts w:cs="Arial"/>
          <w:szCs w:val="24"/>
        </w:rPr>
        <w:t xml:space="preserve"> o fundamental del proyecto</w:t>
      </w:r>
      <w:r w:rsidR="00C32A16" w:rsidRPr="00E03953">
        <w:rPr>
          <w:rFonts w:cs="Arial"/>
          <w:szCs w:val="24"/>
        </w:rPr>
        <w:t>.</w:t>
      </w:r>
      <w:bookmarkEnd w:id="3"/>
      <w:bookmarkEnd w:id="4"/>
      <w:bookmarkEnd w:id="5"/>
    </w:p>
    <w:p w:rsidR="00AD54A9" w:rsidRPr="00D30C14" w:rsidRDefault="00C32A16" w:rsidP="008C141B">
      <w:pPr>
        <w:tabs>
          <w:tab w:val="left" w:pos="709"/>
        </w:tabs>
        <w:spacing w:before="120"/>
        <w:jc w:val="both"/>
        <w:rPr>
          <w:rFonts w:ascii="Arial" w:hAnsi="Arial" w:cs="Arial"/>
        </w:rPr>
      </w:pPr>
      <w:r w:rsidRPr="00E03953">
        <w:rPr>
          <w:rFonts w:ascii="Arial" w:hAnsi="Arial" w:cs="Arial"/>
        </w:rPr>
        <w:tab/>
        <w:t xml:space="preserve">La idea matriz o fundamental del proyecto </w:t>
      </w:r>
      <w:r w:rsidR="00E03953">
        <w:rPr>
          <w:rFonts w:ascii="Arial" w:hAnsi="Arial" w:cs="Arial"/>
        </w:rPr>
        <w:t>consiste</w:t>
      </w:r>
      <w:r w:rsidR="0079366F">
        <w:rPr>
          <w:rFonts w:ascii="Arial" w:hAnsi="Arial" w:cs="Arial"/>
        </w:rPr>
        <w:t xml:space="preserve"> en </w:t>
      </w:r>
      <w:r w:rsidR="00174C5D" w:rsidRPr="00174C5D">
        <w:rPr>
          <w:rFonts w:ascii="Arial" w:hAnsi="Arial" w:cs="Arial"/>
        </w:rPr>
        <w:t>suprimir el aporte fiscal indirecto para las instituciones de educación superior, estableciendo una regulación transitoria para el año 2017.</w:t>
      </w:r>
    </w:p>
    <w:p w:rsidR="00F746CE" w:rsidRPr="00E03953" w:rsidRDefault="00F746CE" w:rsidP="00A64ABF">
      <w:pPr>
        <w:pStyle w:val="Ttulo2"/>
        <w:tabs>
          <w:tab w:val="left" w:pos="709"/>
        </w:tabs>
        <w:spacing w:before="240"/>
        <w:rPr>
          <w:rFonts w:cs="Arial"/>
          <w:szCs w:val="24"/>
        </w:rPr>
      </w:pPr>
      <w:bookmarkStart w:id="6" w:name="_Toc408309926"/>
      <w:bookmarkStart w:id="7" w:name="_Toc409556909"/>
      <w:bookmarkStart w:id="8" w:name="_Toc499712181"/>
      <w:r w:rsidRPr="00E03953">
        <w:rPr>
          <w:rFonts w:cs="Arial"/>
          <w:szCs w:val="24"/>
        </w:rPr>
        <w:t>2) Normas de carácter orgánico constitucional</w:t>
      </w:r>
      <w:r w:rsidR="00EA1C6F" w:rsidRPr="00EA1C6F">
        <w:rPr>
          <w:snapToGrid w:val="0"/>
        </w:rPr>
        <w:t xml:space="preserve"> </w:t>
      </w:r>
      <w:r w:rsidR="00EA1C6F">
        <w:rPr>
          <w:snapToGrid w:val="0"/>
        </w:rPr>
        <w:t xml:space="preserve">o </w:t>
      </w:r>
      <w:r w:rsidR="00EA1C6F" w:rsidRPr="00E03953">
        <w:rPr>
          <w:snapToGrid w:val="0"/>
        </w:rPr>
        <w:t>de quórum calificado</w:t>
      </w:r>
      <w:r w:rsidRPr="00E03953">
        <w:rPr>
          <w:rFonts w:cs="Arial"/>
          <w:szCs w:val="24"/>
        </w:rPr>
        <w:t>.</w:t>
      </w:r>
      <w:bookmarkEnd w:id="6"/>
      <w:bookmarkEnd w:id="7"/>
      <w:bookmarkEnd w:id="8"/>
    </w:p>
    <w:p w:rsidR="00803B0E" w:rsidRDefault="00AC2A39" w:rsidP="008C141B">
      <w:pPr>
        <w:tabs>
          <w:tab w:val="left" w:pos="709"/>
        </w:tabs>
        <w:spacing w:before="120"/>
        <w:jc w:val="both"/>
        <w:rPr>
          <w:rFonts w:ascii="Arial" w:hAnsi="Arial" w:cs="Arial"/>
        </w:rPr>
      </w:pPr>
      <w:r w:rsidRPr="00AC2A39">
        <w:rPr>
          <w:rFonts w:ascii="Arial" w:hAnsi="Arial" w:cs="Arial"/>
        </w:rPr>
        <w:tab/>
      </w:r>
      <w:r w:rsidR="00803B0E">
        <w:rPr>
          <w:rFonts w:ascii="Arial" w:hAnsi="Arial" w:cs="Arial"/>
        </w:rPr>
        <w:t xml:space="preserve">No </w:t>
      </w:r>
      <w:r w:rsidR="00AD54A9">
        <w:rPr>
          <w:rFonts w:ascii="Arial" w:hAnsi="Arial" w:cs="Arial"/>
        </w:rPr>
        <w:t>tiene</w:t>
      </w:r>
      <w:r w:rsidR="00803B0E">
        <w:rPr>
          <w:rFonts w:ascii="Arial" w:hAnsi="Arial" w:cs="Arial"/>
        </w:rPr>
        <w:t>.</w:t>
      </w:r>
    </w:p>
    <w:p w:rsidR="00F746CE" w:rsidRPr="00E03953" w:rsidRDefault="00862BDF" w:rsidP="008C141B">
      <w:pPr>
        <w:pStyle w:val="Ttulo2"/>
        <w:tabs>
          <w:tab w:val="left" w:pos="709"/>
        </w:tabs>
        <w:spacing w:before="240"/>
        <w:rPr>
          <w:rFonts w:cs="Arial"/>
          <w:szCs w:val="24"/>
        </w:rPr>
      </w:pPr>
      <w:bookmarkStart w:id="9" w:name="_Toc408309927"/>
      <w:bookmarkStart w:id="10" w:name="_Toc409556910"/>
      <w:bookmarkStart w:id="11" w:name="_Toc499712182"/>
      <w:r w:rsidRPr="00E03953">
        <w:rPr>
          <w:rFonts w:cs="Arial"/>
          <w:szCs w:val="24"/>
        </w:rPr>
        <w:t>3</w:t>
      </w:r>
      <w:r w:rsidR="00F746CE" w:rsidRPr="00E03953">
        <w:rPr>
          <w:rFonts w:cs="Arial"/>
          <w:szCs w:val="24"/>
        </w:rPr>
        <w:t>) Normas que requieren trámite de Hacienda.</w:t>
      </w:r>
      <w:bookmarkEnd w:id="9"/>
      <w:bookmarkEnd w:id="10"/>
      <w:bookmarkEnd w:id="11"/>
    </w:p>
    <w:p w:rsidR="006B05B0" w:rsidRPr="00E03953" w:rsidRDefault="00E95BEA" w:rsidP="008C141B">
      <w:pPr>
        <w:tabs>
          <w:tab w:val="left" w:pos="709"/>
        </w:tabs>
        <w:spacing w:before="120"/>
        <w:jc w:val="both"/>
        <w:rPr>
          <w:rFonts w:ascii="Arial" w:hAnsi="Arial" w:cs="Arial"/>
        </w:rPr>
      </w:pPr>
      <w:r w:rsidRPr="00E03953">
        <w:rPr>
          <w:rFonts w:ascii="Arial" w:hAnsi="Arial" w:cs="Arial"/>
        </w:rPr>
        <w:tab/>
      </w:r>
      <w:r w:rsidR="000B238E">
        <w:rPr>
          <w:rFonts w:ascii="Arial" w:hAnsi="Arial" w:cs="Arial"/>
        </w:rPr>
        <w:t>El</w:t>
      </w:r>
      <w:r w:rsidR="00461F0A" w:rsidRPr="00E03953">
        <w:rPr>
          <w:rFonts w:ascii="Arial" w:hAnsi="Arial" w:cs="Arial"/>
        </w:rPr>
        <w:t xml:space="preserve"> art</w:t>
      </w:r>
      <w:r w:rsidR="00803B0E">
        <w:rPr>
          <w:rFonts w:ascii="Arial" w:hAnsi="Arial" w:cs="Arial"/>
        </w:rPr>
        <w:t>i</w:t>
      </w:r>
      <w:r w:rsidR="00E83D0F" w:rsidRPr="00E03953">
        <w:rPr>
          <w:rFonts w:ascii="Arial" w:hAnsi="Arial" w:cs="Arial"/>
        </w:rPr>
        <w:t>cul</w:t>
      </w:r>
      <w:r w:rsidR="00803B0E">
        <w:rPr>
          <w:rFonts w:ascii="Arial" w:hAnsi="Arial" w:cs="Arial"/>
        </w:rPr>
        <w:t xml:space="preserve">ado </w:t>
      </w:r>
      <w:r w:rsidR="00F708B9">
        <w:rPr>
          <w:rFonts w:ascii="Arial" w:hAnsi="Arial" w:cs="Arial"/>
        </w:rPr>
        <w:t xml:space="preserve">del proyecto de ley </w:t>
      </w:r>
      <w:r w:rsidR="00E83D0F" w:rsidRPr="00E03953">
        <w:rPr>
          <w:rFonts w:ascii="Arial" w:hAnsi="Arial" w:cs="Arial"/>
        </w:rPr>
        <w:t>debe ser conocido por la Comisión de Hacienda.</w:t>
      </w:r>
    </w:p>
    <w:p w:rsidR="00364A4A" w:rsidRPr="00E03953" w:rsidRDefault="00862BDF" w:rsidP="008C141B">
      <w:pPr>
        <w:pStyle w:val="Ttulo2"/>
        <w:tabs>
          <w:tab w:val="left" w:pos="709"/>
        </w:tabs>
        <w:spacing w:before="240"/>
        <w:rPr>
          <w:rFonts w:cs="Arial"/>
          <w:szCs w:val="24"/>
        </w:rPr>
      </w:pPr>
      <w:bookmarkStart w:id="12" w:name="_Toc408309928"/>
      <w:bookmarkStart w:id="13" w:name="_Toc409556911"/>
      <w:bookmarkStart w:id="14" w:name="_Toc499712183"/>
      <w:r w:rsidRPr="00E03953">
        <w:rPr>
          <w:rFonts w:cs="Arial"/>
          <w:szCs w:val="24"/>
        </w:rPr>
        <w:t>4</w:t>
      </w:r>
      <w:r w:rsidR="00F746CE" w:rsidRPr="00E03953">
        <w:rPr>
          <w:rFonts w:cs="Arial"/>
          <w:szCs w:val="24"/>
        </w:rPr>
        <w:t xml:space="preserve">) </w:t>
      </w:r>
      <w:r w:rsidR="00364A4A" w:rsidRPr="00E03953">
        <w:rPr>
          <w:rFonts w:cs="Arial"/>
          <w:szCs w:val="24"/>
        </w:rPr>
        <w:t>Aprobación del proyecto.</w:t>
      </w:r>
      <w:bookmarkEnd w:id="12"/>
      <w:bookmarkEnd w:id="13"/>
      <w:bookmarkEnd w:id="14"/>
      <w:r w:rsidR="00364A4A" w:rsidRPr="00E03953">
        <w:rPr>
          <w:rFonts w:cs="Arial"/>
          <w:szCs w:val="24"/>
        </w:rPr>
        <w:t xml:space="preserve"> </w:t>
      </w:r>
    </w:p>
    <w:p w:rsidR="00803B0E" w:rsidRDefault="00364A4A" w:rsidP="008C141B">
      <w:pPr>
        <w:pStyle w:val="Textoindependiente2"/>
        <w:tabs>
          <w:tab w:val="left" w:pos="709"/>
        </w:tabs>
        <w:spacing w:before="120" w:line="240" w:lineRule="auto"/>
        <w:rPr>
          <w:sz w:val="24"/>
        </w:rPr>
      </w:pPr>
      <w:r w:rsidRPr="00E03953">
        <w:rPr>
          <w:sz w:val="24"/>
        </w:rPr>
        <w:tab/>
      </w:r>
      <w:r w:rsidR="00F746CE" w:rsidRPr="00E32FC6">
        <w:rPr>
          <w:sz w:val="24"/>
        </w:rPr>
        <w:t xml:space="preserve">El proyecto fue aprobado, en general, </w:t>
      </w:r>
      <w:r w:rsidR="00EA1C6F" w:rsidRPr="00E32FC6">
        <w:rPr>
          <w:sz w:val="24"/>
        </w:rPr>
        <w:t xml:space="preserve">por </w:t>
      </w:r>
      <w:r w:rsidR="00E32FC6" w:rsidRPr="00E32FC6">
        <w:rPr>
          <w:sz w:val="24"/>
        </w:rPr>
        <w:t>mayoría de</w:t>
      </w:r>
      <w:r w:rsidR="00EA1C6F" w:rsidRPr="00E32FC6">
        <w:rPr>
          <w:sz w:val="24"/>
        </w:rPr>
        <w:t xml:space="preserve"> votos</w:t>
      </w:r>
      <w:r w:rsidR="00E32FC6" w:rsidRPr="00E32FC6">
        <w:rPr>
          <w:sz w:val="24"/>
        </w:rPr>
        <w:t>.</w:t>
      </w:r>
    </w:p>
    <w:p w:rsidR="00364A4A" w:rsidRPr="00E03953" w:rsidRDefault="00862BDF" w:rsidP="008C141B">
      <w:pPr>
        <w:pStyle w:val="Ttulo2"/>
        <w:tabs>
          <w:tab w:val="left" w:pos="709"/>
        </w:tabs>
        <w:spacing w:before="240"/>
        <w:rPr>
          <w:rFonts w:cs="Arial"/>
          <w:szCs w:val="24"/>
        </w:rPr>
      </w:pPr>
      <w:bookmarkStart w:id="15" w:name="_Toc408309929"/>
      <w:bookmarkStart w:id="16" w:name="_Toc409556912"/>
      <w:bookmarkStart w:id="17" w:name="_Toc499712184"/>
      <w:r w:rsidRPr="00E03953">
        <w:rPr>
          <w:rFonts w:cs="Arial"/>
          <w:szCs w:val="24"/>
        </w:rPr>
        <w:t>5</w:t>
      </w:r>
      <w:r w:rsidR="00293899" w:rsidRPr="00E03953">
        <w:rPr>
          <w:rFonts w:cs="Arial"/>
          <w:szCs w:val="24"/>
        </w:rPr>
        <w:t>) Diputado informante</w:t>
      </w:r>
      <w:r w:rsidR="00364A4A" w:rsidRPr="00E03953">
        <w:rPr>
          <w:rFonts w:cs="Arial"/>
          <w:szCs w:val="24"/>
        </w:rPr>
        <w:t>.</w:t>
      </w:r>
      <w:bookmarkEnd w:id="15"/>
      <w:bookmarkEnd w:id="16"/>
      <w:bookmarkEnd w:id="17"/>
    </w:p>
    <w:p w:rsidR="00803B0E" w:rsidRDefault="00364A4A" w:rsidP="008C141B">
      <w:pPr>
        <w:pStyle w:val="Textoindependiente2"/>
        <w:tabs>
          <w:tab w:val="left" w:pos="709"/>
        </w:tabs>
        <w:spacing w:before="120" w:line="240" w:lineRule="auto"/>
        <w:rPr>
          <w:sz w:val="24"/>
        </w:rPr>
      </w:pPr>
      <w:r w:rsidRPr="00E03953">
        <w:rPr>
          <w:sz w:val="24"/>
        </w:rPr>
        <w:tab/>
        <w:t>Se designó como Diputado Informante al señor</w:t>
      </w:r>
      <w:r w:rsidR="00261B29">
        <w:rPr>
          <w:sz w:val="24"/>
        </w:rPr>
        <w:t xml:space="preserve"> </w:t>
      </w:r>
      <w:r w:rsidR="001F446D">
        <w:rPr>
          <w:sz w:val="24"/>
        </w:rPr>
        <w:t>Alberto Robles Pantoja.</w:t>
      </w:r>
    </w:p>
    <w:p w:rsidR="00E77C0F" w:rsidRPr="0079366F" w:rsidRDefault="00E77C0F" w:rsidP="00A64ABF">
      <w:pPr>
        <w:pStyle w:val="Ttulo1"/>
        <w:tabs>
          <w:tab w:val="left" w:pos="709"/>
        </w:tabs>
        <w:spacing w:before="600"/>
        <w:jc w:val="both"/>
        <w:rPr>
          <w:bCs w:val="0"/>
        </w:rPr>
      </w:pPr>
      <w:bookmarkStart w:id="18" w:name="_Toc226860303"/>
      <w:bookmarkStart w:id="19" w:name="_Toc408309930"/>
      <w:bookmarkStart w:id="20" w:name="_Toc409556913"/>
      <w:bookmarkStart w:id="21" w:name="_Toc499712185"/>
      <w:r w:rsidRPr="00E03953">
        <w:rPr>
          <w:bCs w:val="0"/>
        </w:rPr>
        <w:t xml:space="preserve">II. </w:t>
      </w:r>
      <w:r w:rsidRPr="0079366F">
        <w:rPr>
          <w:bCs w:val="0"/>
        </w:rPr>
        <w:t>ANTECEDENTES.</w:t>
      </w:r>
      <w:bookmarkEnd w:id="18"/>
      <w:bookmarkEnd w:id="19"/>
      <w:bookmarkEnd w:id="20"/>
      <w:bookmarkEnd w:id="21"/>
    </w:p>
    <w:p w:rsidR="00E77C0F" w:rsidRPr="00E03953" w:rsidRDefault="00135A7C" w:rsidP="008C141B">
      <w:pPr>
        <w:pStyle w:val="Ttulo2"/>
        <w:tabs>
          <w:tab w:val="left" w:pos="709"/>
        </w:tabs>
        <w:spacing w:before="120"/>
        <w:rPr>
          <w:rFonts w:cs="Arial"/>
          <w:szCs w:val="24"/>
        </w:rPr>
      </w:pPr>
      <w:bookmarkStart w:id="22" w:name="_Toc226860304"/>
      <w:bookmarkStart w:id="23" w:name="_Toc408309931"/>
      <w:bookmarkStart w:id="24" w:name="_Toc409556914"/>
      <w:bookmarkStart w:id="25" w:name="_Toc499712186"/>
      <w:r>
        <w:rPr>
          <w:rFonts w:cs="Arial"/>
          <w:szCs w:val="24"/>
        </w:rPr>
        <w:t>A</w:t>
      </w:r>
      <w:r w:rsidR="00E77C0F" w:rsidRPr="00E03953">
        <w:rPr>
          <w:rFonts w:cs="Arial"/>
          <w:szCs w:val="24"/>
        </w:rPr>
        <w:t>) Fundamentos del proyecto.</w:t>
      </w:r>
      <w:bookmarkEnd w:id="22"/>
      <w:bookmarkEnd w:id="23"/>
      <w:bookmarkEnd w:id="24"/>
      <w:bookmarkEnd w:id="25"/>
    </w:p>
    <w:p w:rsidR="00AD54A9" w:rsidRDefault="009378FE" w:rsidP="00AD54A9">
      <w:pPr>
        <w:tabs>
          <w:tab w:val="left" w:pos="709"/>
        </w:tabs>
        <w:spacing w:before="120"/>
        <w:jc w:val="both"/>
        <w:rPr>
          <w:rFonts w:ascii="Arial" w:hAnsi="Arial" w:cs="Arial"/>
          <w:bCs/>
        </w:rPr>
      </w:pPr>
      <w:r>
        <w:rPr>
          <w:rFonts w:ascii="Arial" w:hAnsi="Arial" w:cs="Arial"/>
          <w:bCs/>
        </w:rPr>
        <w:tab/>
      </w:r>
      <w:r w:rsidRPr="009378FE">
        <w:rPr>
          <w:rFonts w:ascii="Arial" w:hAnsi="Arial" w:cs="Arial"/>
          <w:bCs/>
        </w:rPr>
        <w:t xml:space="preserve">El </w:t>
      </w:r>
      <w:r w:rsidR="00D30C14">
        <w:rPr>
          <w:rFonts w:ascii="Arial" w:hAnsi="Arial" w:cs="Arial"/>
          <w:bCs/>
        </w:rPr>
        <w:t xml:space="preserve">proyecto de ley en estudio se origina en </w:t>
      </w:r>
      <w:r w:rsidR="00803B0E">
        <w:rPr>
          <w:rFonts w:ascii="Arial" w:hAnsi="Arial" w:cs="Arial"/>
          <w:bCs/>
        </w:rPr>
        <w:t xml:space="preserve">un mensaje </w:t>
      </w:r>
      <w:r w:rsidR="00D30C14">
        <w:rPr>
          <w:rFonts w:ascii="Arial" w:hAnsi="Arial" w:cs="Arial"/>
          <w:bCs/>
        </w:rPr>
        <w:t>de S.E. la Presidenta de la República</w:t>
      </w:r>
      <w:r w:rsidR="00AD54A9">
        <w:rPr>
          <w:rFonts w:ascii="Arial" w:hAnsi="Arial" w:cs="Arial"/>
          <w:bCs/>
        </w:rPr>
        <w:t xml:space="preserve">, el cual señala que ha sido parte de los objetivos del Gobierno </w:t>
      </w:r>
      <w:r w:rsidR="00AD54A9" w:rsidRPr="00AD54A9">
        <w:rPr>
          <w:rFonts w:ascii="Arial" w:hAnsi="Arial" w:cs="Arial"/>
          <w:bCs/>
        </w:rPr>
        <w:t>mejorar transversalmente la calidad en todos los niveles educativos y reposicionar la educación pública, construyendo un sistema más integrado y equitativo, con un diseño que no implique una carga financiera insostenible para los estudiantes y sus familias</w:t>
      </w:r>
      <w:r w:rsidR="00AD54A9">
        <w:rPr>
          <w:rFonts w:ascii="Arial" w:hAnsi="Arial" w:cs="Arial"/>
          <w:bCs/>
        </w:rPr>
        <w:t>.</w:t>
      </w:r>
    </w:p>
    <w:p w:rsidR="00AD54A9" w:rsidRPr="00AD54A9" w:rsidRDefault="00AD54A9" w:rsidP="00AD54A9">
      <w:pPr>
        <w:tabs>
          <w:tab w:val="left" w:pos="709"/>
        </w:tabs>
        <w:spacing w:before="120"/>
        <w:jc w:val="both"/>
        <w:rPr>
          <w:rFonts w:ascii="Arial" w:hAnsi="Arial" w:cs="Arial"/>
          <w:bCs/>
        </w:rPr>
      </w:pPr>
      <w:r>
        <w:rPr>
          <w:rFonts w:ascii="Arial" w:hAnsi="Arial" w:cs="Arial"/>
          <w:bCs/>
        </w:rPr>
        <w:tab/>
        <w:t>Añade que a</w:t>
      </w:r>
      <w:r w:rsidRPr="00AD54A9">
        <w:rPr>
          <w:rFonts w:ascii="Arial" w:hAnsi="Arial" w:cs="Arial"/>
          <w:bCs/>
        </w:rPr>
        <w:t xml:space="preserve"> lo largo de estas últimas décadas </w:t>
      </w:r>
      <w:r>
        <w:rPr>
          <w:rFonts w:ascii="Arial" w:hAnsi="Arial" w:cs="Arial"/>
          <w:bCs/>
        </w:rPr>
        <w:t xml:space="preserve">se </w:t>
      </w:r>
      <w:r w:rsidRPr="00AD54A9">
        <w:rPr>
          <w:rFonts w:ascii="Arial" w:hAnsi="Arial" w:cs="Arial"/>
          <w:bCs/>
        </w:rPr>
        <w:t>h</w:t>
      </w:r>
      <w:r>
        <w:rPr>
          <w:rFonts w:ascii="Arial" w:hAnsi="Arial" w:cs="Arial"/>
          <w:bCs/>
        </w:rPr>
        <w:t>a</w:t>
      </w:r>
      <w:r w:rsidRPr="00AD54A9">
        <w:rPr>
          <w:rFonts w:ascii="Arial" w:hAnsi="Arial" w:cs="Arial"/>
          <w:bCs/>
        </w:rPr>
        <w:t xml:space="preserve"> avanzado significativamente en la masificación de la educación superior. Sin embargo, </w:t>
      </w:r>
      <w:r w:rsidRPr="00AD54A9">
        <w:rPr>
          <w:rFonts w:ascii="Arial" w:hAnsi="Arial" w:cs="Arial"/>
          <w:bCs/>
        </w:rPr>
        <w:lastRenderedPageBreak/>
        <w:t xml:space="preserve">aún no </w:t>
      </w:r>
      <w:r>
        <w:rPr>
          <w:rFonts w:ascii="Arial" w:hAnsi="Arial" w:cs="Arial"/>
          <w:bCs/>
        </w:rPr>
        <w:t xml:space="preserve">se </w:t>
      </w:r>
      <w:r w:rsidRPr="00AD54A9">
        <w:rPr>
          <w:rFonts w:ascii="Arial" w:hAnsi="Arial" w:cs="Arial"/>
          <w:bCs/>
        </w:rPr>
        <w:t>h</w:t>
      </w:r>
      <w:r>
        <w:rPr>
          <w:rFonts w:ascii="Arial" w:hAnsi="Arial" w:cs="Arial"/>
          <w:bCs/>
        </w:rPr>
        <w:t>a</w:t>
      </w:r>
      <w:r w:rsidRPr="00AD54A9">
        <w:rPr>
          <w:rFonts w:ascii="Arial" w:hAnsi="Arial" w:cs="Arial"/>
          <w:bCs/>
        </w:rPr>
        <w:t xml:space="preserve"> podido reducir suficientemente la brecha de oportunidades entre grupos sociales. Lo anterior es producto, en gran medida, de la inequidad en los instrumentos de acceso. </w:t>
      </w:r>
    </w:p>
    <w:p w:rsidR="00AD54A9" w:rsidRPr="00AD54A9" w:rsidRDefault="00AD54A9" w:rsidP="00AD54A9">
      <w:pPr>
        <w:tabs>
          <w:tab w:val="left" w:pos="709"/>
        </w:tabs>
        <w:spacing w:before="120"/>
        <w:jc w:val="both"/>
        <w:rPr>
          <w:rFonts w:ascii="Arial" w:hAnsi="Arial" w:cs="Arial"/>
          <w:bCs/>
        </w:rPr>
      </w:pPr>
      <w:r>
        <w:rPr>
          <w:rFonts w:ascii="Arial" w:hAnsi="Arial" w:cs="Arial"/>
          <w:bCs/>
        </w:rPr>
        <w:tab/>
      </w:r>
      <w:r w:rsidRPr="00AD54A9">
        <w:rPr>
          <w:rFonts w:ascii="Arial" w:hAnsi="Arial" w:cs="Arial"/>
          <w:bCs/>
        </w:rPr>
        <w:t>En efecto, la Prueba de Selección Universitaria (PSU), que solo mide conocimientos, no considera apropiadamente las aptitudes de los estudiantes provenientes de la Educación Media Técnico Profesional y trabajadores, y la evidencia ha demostrado que un efecto indeseado es que sus resultados están altamente correlacionados con el origen socioeconómico de los postulantes, reforzando con ello la reproducción en el tiempo del patrón de segregación.</w:t>
      </w:r>
    </w:p>
    <w:p w:rsidR="00AD54A9" w:rsidRPr="00AD54A9" w:rsidRDefault="00AD54A9" w:rsidP="00AD54A9">
      <w:pPr>
        <w:tabs>
          <w:tab w:val="left" w:pos="709"/>
        </w:tabs>
        <w:spacing w:before="120"/>
        <w:jc w:val="both"/>
        <w:rPr>
          <w:rFonts w:ascii="Arial" w:hAnsi="Arial" w:cs="Arial"/>
          <w:bCs/>
        </w:rPr>
      </w:pPr>
      <w:r>
        <w:rPr>
          <w:rFonts w:ascii="Arial" w:hAnsi="Arial" w:cs="Arial"/>
          <w:bCs/>
        </w:rPr>
        <w:tab/>
      </w:r>
      <w:r w:rsidRPr="00AD54A9">
        <w:rPr>
          <w:rFonts w:ascii="Arial" w:hAnsi="Arial" w:cs="Arial"/>
          <w:bCs/>
        </w:rPr>
        <w:t xml:space="preserve">En este contexto, y consecuente con la lógica de ir eliminando herramientas que no tienen un efectivo potencial para promover la equidad, calidad y eficiencia del sistema de educación superior, </w:t>
      </w:r>
      <w:r w:rsidR="007B516B">
        <w:rPr>
          <w:rFonts w:ascii="Arial" w:hAnsi="Arial" w:cs="Arial"/>
          <w:bCs/>
        </w:rPr>
        <w:t xml:space="preserve">se </w:t>
      </w:r>
      <w:r w:rsidRPr="00AD54A9">
        <w:rPr>
          <w:rFonts w:ascii="Arial" w:hAnsi="Arial" w:cs="Arial"/>
          <w:bCs/>
        </w:rPr>
        <w:t>propone eliminar el aporte fiscal indirecto (AFI).</w:t>
      </w:r>
    </w:p>
    <w:p w:rsidR="00AD54A9" w:rsidRPr="00AD54A9" w:rsidRDefault="00AD54A9" w:rsidP="00AD54A9">
      <w:pPr>
        <w:tabs>
          <w:tab w:val="left" w:pos="709"/>
        </w:tabs>
        <w:spacing w:before="120"/>
        <w:jc w:val="both"/>
        <w:rPr>
          <w:rFonts w:ascii="Arial" w:hAnsi="Arial" w:cs="Arial"/>
          <w:bCs/>
        </w:rPr>
      </w:pPr>
      <w:r>
        <w:rPr>
          <w:rFonts w:ascii="Arial" w:hAnsi="Arial" w:cs="Arial"/>
          <w:bCs/>
        </w:rPr>
        <w:tab/>
        <w:t>Recuerda el mensaje que e</w:t>
      </w:r>
      <w:r w:rsidRPr="00AD54A9">
        <w:rPr>
          <w:rFonts w:ascii="Arial" w:hAnsi="Arial" w:cs="Arial"/>
          <w:bCs/>
        </w:rPr>
        <w:t xml:space="preserve">l AFI fue creado en el año 1981 para aumentar la calidad de la educación superior, a través de la competencia entre las instituciones para captar a los mejores alumnos. La distribución de su monto total se realiza en función de las instituciones en que se matriculen los 27.500 mejores puntajes de la PSU en el año inmediatamente anterior, generando un mayor monto de AFI los alumnos con mejores puntajes. </w:t>
      </w:r>
    </w:p>
    <w:p w:rsidR="00AD54A9" w:rsidRPr="00AD54A9" w:rsidRDefault="00AD54A9" w:rsidP="00AD54A9">
      <w:pPr>
        <w:tabs>
          <w:tab w:val="left" w:pos="709"/>
        </w:tabs>
        <w:spacing w:before="120"/>
        <w:jc w:val="both"/>
        <w:rPr>
          <w:rFonts w:ascii="Arial" w:hAnsi="Arial" w:cs="Arial"/>
          <w:bCs/>
        </w:rPr>
      </w:pPr>
      <w:r>
        <w:rPr>
          <w:rFonts w:ascii="Arial" w:hAnsi="Arial" w:cs="Arial"/>
          <w:bCs/>
        </w:rPr>
        <w:tab/>
      </w:r>
      <w:r w:rsidRPr="00AD54A9">
        <w:rPr>
          <w:rFonts w:ascii="Arial" w:hAnsi="Arial" w:cs="Arial"/>
          <w:bCs/>
        </w:rPr>
        <w:t>C</w:t>
      </w:r>
      <w:r w:rsidR="007B516B">
        <w:rPr>
          <w:rFonts w:ascii="Arial" w:hAnsi="Arial" w:cs="Arial"/>
          <w:bCs/>
        </w:rPr>
        <w:t xml:space="preserve">ontinúa el Ejecutivo destacando que </w:t>
      </w:r>
      <w:r w:rsidRPr="00AD54A9">
        <w:rPr>
          <w:rFonts w:ascii="Arial" w:hAnsi="Arial" w:cs="Arial"/>
          <w:bCs/>
        </w:rPr>
        <w:t>una de las principales debilidades del AFI es su sesgo en contra de los alumnos de menor nivel socioeconómico, ya que, al basar su distribución exclusivamente en los puntajes obtenidos por los estudiantes en la PSU, profundiza la inequidad de dicho instrumento. En efecto, el puntaje de la PSU se encuentra fuertemente correlacionado con una serie de factores ajenos a las habilidades cognitivas o inteligencia del postulante, tales como su nivel socioeconómico familiar y la educación de sus padres.</w:t>
      </w:r>
    </w:p>
    <w:p w:rsidR="00294656" w:rsidRDefault="00AD54A9" w:rsidP="00AD54A9">
      <w:pPr>
        <w:tabs>
          <w:tab w:val="left" w:pos="709"/>
        </w:tabs>
        <w:spacing w:before="120"/>
        <w:jc w:val="both"/>
        <w:rPr>
          <w:rFonts w:ascii="Arial" w:hAnsi="Arial" w:cs="Arial"/>
          <w:bCs/>
        </w:rPr>
      </w:pPr>
      <w:r>
        <w:rPr>
          <w:rFonts w:ascii="Arial" w:hAnsi="Arial" w:cs="Arial"/>
          <w:bCs/>
        </w:rPr>
        <w:tab/>
      </w:r>
      <w:r w:rsidRPr="00AD54A9">
        <w:rPr>
          <w:rFonts w:ascii="Arial" w:hAnsi="Arial" w:cs="Arial"/>
          <w:bCs/>
        </w:rPr>
        <w:t>Así, la utilización exclusiva de la PSU como indicador de la calidad de los alumnos para determinar la asignación del AFI, lleva a que la gran mayoría de los causantes del mismo sean alumnos pertenecientes a familias de los quintiles de mayores ingresos.</w:t>
      </w:r>
      <w:r>
        <w:rPr>
          <w:rFonts w:ascii="Arial" w:hAnsi="Arial" w:cs="Arial"/>
          <w:bCs/>
        </w:rPr>
        <w:t xml:space="preserve"> Lo</w:t>
      </w:r>
      <w:r w:rsidRPr="00AD54A9">
        <w:rPr>
          <w:rFonts w:ascii="Arial" w:hAnsi="Arial" w:cs="Arial"/>
          <w:bCs/>
        </w:rPr>
        <w:t xml:space="preserve"> anterior permite concluir el carácter altamente regresivo del AFI, lo que, sumado a la evolución experimentada por otros mecanismos de financiamiento del sistema de educación superior, ratifican </w:t>
      </w:r>
      <w:r>
        <w:rPr>
          <w:rFonts w:ascii="Arial" w:hAnsi="Arial" w:cs="Arial"/>
          <w:bCs/>
        </w:rPr>
        <w:t>la</w:t>
      </w:r>
      <w:r w:rsidRPr="00AD54A9">
        <w:rPr>
          <w:rFonts w:ascii="Arial" w:hAnsi="Arial" w:cs="Arial"/>
          <w:bCs/>
        </w:rPr>
        <w:t xml:space="preserve"> decisión de terminar con este aporte. Esta decisión ya estaba contemplada en el proyecto de ley de educación superior, pero dada la necesidad de materializar a la brevedad este cambio, se separa de dicha iniciativa y se materializa a través de</w:t>
      </w:r>
      <w:r>
        <w:rPr>
          <w:rFonts w:ascii="Arial" w:hAnsi="Arial" w:cs="Arial"/>
          <w:bCs/>
        </w:rPr>
        <w:t xml:space="preserve"> este</w:t>
      </w:r>
      <w:r w:rsidRPr="00AD54A9">
        <w:rPr>
          <w:rFonts w:ascii="Arial" w:hAnsi="Arial" w:cs="Arial"/>
          <w:bCs/>
        </w:rPr>
        <w:t xml:space="preserve"> proyecto de ley.</w:t>
      </w:r>
    </w:p>
    <w:p w:rsidR="00FC2481" w:rsidRDefault="00135A7C" w:rsidP="008C141B">
      <w:pPr>
        <w:pStyle w:val="Ttulo2"/>
        <w:tabs>
          <w:tab w:val="left" w:pos="709"/>
        </w:tabs>
        <w:spacing w:before="240"/>
        <w:rPr>
          <w:rFonts w:cs="Arial"/>
        </w:rPr>
      </w:pPr>
      <w:bookmarkStart w:id="26" w:name="_Toc408309932"/>
      <w:bookmarkStart w:id="27" w:name="_Toc409556915"/>
      <w:bookmarkStart w:id="28" w:name="_Toc499712187"/>
      <w:r>
        <w:rPr>
          <w:rFonts w:cs="Arial"/>
          <w:szCs w:val="24"/>
        </w:rPr>
        <w:t>B</w:t>
      </w:r>
      <w:r w:rsidR="00925BB9" w:rsidRPr="00E03953">
        <w:rPr>
          <w:rFonts w:cs="Arial"/>
          <w:szCs w:val="24"/>
        </w:rPr>
        <w:t xml:space="preserve">) </w:t>
      </w:r>
      <w:bookmarkStart w:id="29" w:name="_Toc409556919"/>
      <w:bookmarkEnd w:id="26"/>
      <w:bookmarkEnd w:id="27"/>
      <w:r w:rsidR="00FC2481">
        <w:rPr>
          <w:rFonts w:cs="Arial"/>
        </w:rPr>
        <w:t>L</w:t>
      </w:r>
      <w:r w:rsidR="00FC2481">
        <w:t>eyes que se relacionan con la materia.</w:t>
      </w:r>
      <w:bookmarkEnd w:id="28"/>
      <w:bookmarkEnd w:id="29"/>
    </w:p>
    <w:p w:rsidR="00F27980" w:rsidRDefault="00EA1C6F" w:rsidP="008C141B">
      <w:pPr>
        <w:tabs>
          <w:tab w:val="left" w:pos="709"/>
        </w:tabs>
        <w:spacing w:before="120"/>
        <w:jc w:val="both"/>
        <w:rPr>
          <w:rFonts w:ascii="Arial" w:hAnsi="Arial" w:cs="Arial"/>
        </w:rPr>
      </w:pPr>
      <w:r>
        <w:rPr>
          <w:rFonts w:ascii="Arial" w:hAnsi="Arial" w:cs="Arial"/>
        </w:rPr>
        <w:tab/>
        <w:t xml:space="preserve">La normativa </w:t>
      </w:r>
      <w:r w:rsidR="00F27980" w:rsidRPr="00F27980">
        <w:rPr>
          <w:rFonts w:ascii="Arial" w:hAnsi="Arial" w:cs="Arial"/>
        </w:rPr>
        <w:t xml:space="preserve">que se relaciona con la materia </w:t>
      </w:r>
      <w:r>
        <w:rPr>
          <w:rFonts w:ascii="Arial" w:hAnsi="Arial" w:cs="Arial"/>
        </w:rPr>
        <w:t>es la siguiente</w:t>
      </w:r>
      <w:r w:rsidR="00F27980" w:rsidRPr="00F27980">
        <w:rPr>
          <w:rFonts w:ascii="Arial" w:hAnsi="Arial" w:cs="Arial"/>
        </w:rPr>
        <w:t>:</w:t>
      </w:r>
    </w:p>
    <w:p w:rsidR="007412E9" w:rsidRPr="005368B1" w:rsidRDefault="007412E9" w:rsidP="005368B1">
      <w:pPr>
        <w:pStyle w:val="Ttulo3"/>
        <w:tabs>
          <w:tab w:val="left" w:pos="709"/>
        </w:tabs>
      </w:pPr>
      <w:bookmarkStart w:id="30" w:name="_Toc499712188"/>
      <w:r w:rsidRPr="005368B1">
        <w:t>1. Decreto con fuerza de ley N° 4, de 1981, del Ministerio de Educación.</w:t>
      </w:r>
      <w:bookmarkEnd w:id="30"/>
    </w:p>
    <w:p w:rsidR="007412E9" w:rsidRDefault="007412E9" w:rsidP="007412E9">
      <w:pPr>
        <w:tabs>
          <w:tab w:val="left" w:pos="709"/>
        </w:tabs>
        <w:spacing w:before="120"/>
        <w:jc w:val="both"/>
        <w:rPr>
          <w:rFonts w:ascii="Arial" w:hAnsi="Arial" w:cs="Arial"/>
        </w:rPr>
      </w:pPr>
      <w:r w:rsidRPr="007412E9">
        <w:rPr>
          <w:rFonts w:ascii="Arial" w:hAnsi="Arial" w:cs="Arial"/>
        </w:rPr>
        <w:tab/>
      </w:r>
      <w:r>
        <w:rPr>
          <w:rFonts w:ascii="Arial" w:hAnsi="Arial" w:cs="Arial"/>
        </w:rPr>
        <w:t>F</w:t>
      </w:r>
      <w:r w:rsidRPr="007412E9">
        <w:rPr>
          <w:rFonts w:ascii="Arial" w:hAnsi="Arial" w:cs="Arial"/>
        </w:rPr>
        <w:t>ija normas sobre financiamiento de las universidades, que regula el aporte fiscal indirecto para las instituciones de Educación Superior.</w:t>
      </w:r>
      <w:r>
        <w:rPr>
          <w:rFonts w:ascii="Arial" w:hAnsi="Arial" w:cs="Arial"/>
        </w:rPr>
        <w:t xml:space="preserve"> Se deroga el artículo 3.</w:t>
      </w:r>
    </w:p>
    <w:p w:rsidR="007412E9" w:rsidRPr="007412E9" w:rsidRDefault="007412E9" w:rsidP="007412E9">
      <w:pPr>
        <w:tabs>
          <w:tab w:val="left" w:pos="709"/>
        </w:tabs>
        <w:spacing w:before="120"/>
        <w:jc w:val="both"/>
        <w:rPr>
          <w:rFonts w:ascii="Arial" w:hAnsi="Arial" w:cs="Arial"/>
          <w:sz w:val="22"/>
          <w:szCs w:val="22"/>
        </w:rPr>
      </w:pPr>
      <w:r w:rsidRPr="007412E9">
        <w:rPr>
          <w:rFonts w:ascii="Arial" w:hAnsi="Arial" w:cs="Arial"/>
          <w:sz w:val="22"/>
          <w:szCs w:val="22"/>
        </w:rPr>
        <w:tab/>
        <w:t>Artículo 3°.- Sin perjuicio del aporte referido en el artículo anterior, el Estado otorgará a todas las universidades, institutos profesionales y centros de formación técnica, reconocidos por aquel como instituciones de educación superior, anualmente un aporte fiscal indirecto, el que será distribuido de la siguiente forma:</w:t>
      </w:r>
    </w:p>
    <w:p w:rsidR="007412E9" w:rsidRPr="007412E9" w:rsidRDefault="007412E9" w:rsidP="007412E9">
      <w:pPr>
        <w:tabs>
          <w:tab w:val="left" w:pos="709"/>
        </w:tabs>
        <w:spacing w:before="120"/>
        <w:jc w:val="both"/>
        <w:rPr>
          <w:rFonts w:ascii="Arial" w:hAnsi="Arial" w:cs="Arial"/>
          <w:sz w:val="22"/>
          <w:szCs w:val="22"/>
        </w:rPr>
      </w:pPr>
      <w:r w:rsidRPr="007412E9">
        <w:rPr>
          <w:rFonts w:ascii="Arial" w:hAnsi="Arial" w:cs="Arial"/>
          <w:sz w:val="22"/>
          <w:szCs w:val="22"/>
        </w:rPr>
        <w:lastRenderedPageBreak/>
        <w:tab/>
        <w:t>1. El Ministerio de Educación Pública elaborará un listado con los primeros 27.500 puntajes de los alumnos matriculados en el primer año de estudios, en el año inmediatamente anterior, en las instituciones de educación superior, ordenado de menor a mayor de acuerdo con los puntajes obtenidos en la Prueba de Aptitud Académica, partes verbal y matemática.</w:t>
      </w:r>
    </w:p>
    <w:p w:rsidR="007412E9" w:rsidRPr="007412E9" w:rsidRDefault="007412E9" w:rsidP="007412E9">
      <w:pPr>
        <w:tabs>
          <w:tab w:val="left" w:pos="709"/>
        </w:tabs>
        <w:spacing w:before="120"/>
        <w:jc w:val="both"/>
        <w:rPr>
          <w:rFonts w:ascii="Arial" w:hAnsi="Arial" w:cs="Arial"/>
          <w:sz w:val="22"/>
          <w:szCs w:val="22"/>
        </w:rPr>
      </w:pPr>
      <w:r>
        <w:rPr>
          <w:rFonts w:ascii="Arial" w:hAnsi="Arial" w:cs="Arial"/>
          <w:sz w:val="22"/>
          <w:szCs w:val="22"/>
        </w:rPr>
        <w:tab/>
      </w:r>
      <w:r w:rsidRPr="007412E9">
        <w:rPr>
          <w:rFonts w:ascii="Arial" w:hAnsi="Arial" w:cs="Arial"/>
          <w:sz w:val="22"/>
          <w:szCs w:val="22"/>
        </w:rPr>
        <w:t>2. Dicho listado será dividido en cinco tramos de similar número de alumnos cada uno, con factores de ponderación 1, 3, 6, 9 y 12, respectivamente, para los tramos 1, 2, 3, 4 y 5.</w:t>
      </w:r>
    </w:p>
    <w:p w:rsidR="007412E9" w:rsidRPr="007412E9" w:rsidRDefault="007412E9" w:rsidP="007412E9">
      <w:pPr>
        <w:tabs>
          <w:tab w:val="left" w:pos="709"/>
        </w:tabs>
        <w:spacing w:before="120"/>
        <w:jc w:val="both"/>
        <w:rPr>
          <w:rFonts w:ascii="Arial" w:hAnsi="Arial" w:cs="Arial"/>
          <w:sz w:val="22"/>
          <w:szCs w:val="22"/>
        </w:rPr>
      </w:pPr>
      <w:r>
        <w:rPr>
          <w:rFonts w:ascii="Arial" w:hAnsi="Arial" w:cs="Arial"/>
          <w:sz w:val="22"/>
          <w:szCs w:val="22"/>
        </w:rPr>
        <w:tab/>
      </w:r>
      <w:r w:rsidRPr="007412E9">
        <w:rPr>
          <w:rFonts w:ascii="Arial" w:hAnsi="Arial" w:cs="Arial"/>
          <w:sz w:val="22"/>
          <w:szCs w:val="22"/>
        </w:rPr>
        <w:t>El tramo 1 corresponderá a los puntajes más bajos y el tramo 5 a los puntajes más altos.</w:t>
      </w:r>
    </w:p>
    <w:p w:rsidR="007412E9" w:rsidRPr="007412E9" w:rsidRDefault="007412E9" w:rsidP="007412E9">
      <w:pPr>
        <w:tabs>
          <w:tab w:val="left" w:pos="709"/>
        </w:tabs>
        <w:spacing w:before="120"/>
        <w:jc w:val="both"/>
        <w:rPr>
          <w:rFonts w:ascii="Arial" w:hAnsi="Arial" w:cs="Arial"/>
          <w:sz w:val="22"/>
          <w:szCs w:val="22"/>
        </w:rPr>
      </w:pPr>
      <w:r>
        <w:rPr>
          <w:rFonts w:ascii="Arial" w:hAnsi="Arial" w:cs="Arial"/>
          <w:sz w:val="22"/>
          <w:szCs w:val="22"/>
        </w:rPr>
        <w:tab/>
      </w:r>
      <w:r w:rsidRPr="007412E9">
        <w:rPr>
          <w:rFonts w:ascii="Arial" w:hAnsi="Arial" w:cs="Arial"/>
          <w:sz w:val="22"/>
          <w:szCs w:val="22"/>
        </w:rPr>
        <w:t>Los alumnos que hayan obtenido igual puntaje en la Prueba de Aptitud Académica deberán figurar en un mismo tramo. Al efecto se aumentará el número de alumnos del tramo en que figure la mayor cantidad del mismo puntaje y se disminuirá en la misma cantidad el otro tramo.</w:t>
      </w:r>
    </w:p>
    <w:p w:rsidR="007412E9" w:rsidRPr="007412E9" w:rsidRDefault="007412E9" w:rsidP="007412E9">
      <w:pPr>
        <w:tabs>
          <w:tab w:val="left" w:pos="709"/>
        </w:tabs>
        <w:spacing w:before="120"/>
        <w:jc w:val="both"/>
        <w:rPr>
          <w:rFonts w:ascii="Arial" w:hAnsi="Arial" w:cs="Arial"/>
          <w:sz w:val="22"/>
          <w:szCs w:val="22"/>
        </w:rPr>
      </w:pPr>
      <w:r>
        <w:rPr>
          <w:rFonts w:ascii="Arial" w:hAnsi="Arial" w:cs="Arial"/>
          <w:sz w:val="22"/>
          <w:szCs w:val="22"/>
        </w:rPr>
        <w:tab/>
      </w:r>
      <w:r w:rsidRPr="007412E9">
        <w:rPr>
          <w:rFonts w:ascii="Arial" w:hAnsi="Arial" w:cs="Arial"/>
          <w:sz w:val="22"/>
          <w:szCs w:val="22"/>
        </w:rPr>
        <w:t>3. El número de alumnos de cada tramo será multiplicado por los factores correspondientes, establecidos en el punto anterior.</w:t>
      </w:r>
    </w:p>
    <w:p w:rsidR="007412E9" w:rsidRPr="007412E9" w:rsidRDefault="007412E9" w:rsidP="007412E9">
      <w:pPr>
        <w:tabs>
          <w:tab w:val="left" w:pos="709"/>
        </w:tabs>
        <w:spacing w:before="120"/>
        <w:jc w:val="both"/>
        <w:rPr>
          <w:rFonts w:ascii="Arial" w:hAnsi="Arial" w:cs="Arial"/>
          <w:sz w:val="22"/>
          <w:szCs w:val="22"/>
        </w:rPr>
      </w:pPr>
      <w:r>
        <w:rPr>
          <w:rFonts w:ascii="Arial" w:hAnsi="Arial" w:cs="Arial"/>
          <w:sz w:val="22"/>
          <w:szCs w:val="22"/>
        </w:rPr>
        <w:tab/>
      </w:r>
      <w:r w:rsidRPr="007412E9">
        <w:rPr>
          <w:rFonts w:ascii="Arial" w:hAnsi="Arial" w:cs="Arial"/>
          <w:sz w:val="22"/>
          <w:szCs w:val="22"/>
        </w:rPr>
        <w:t>4. El monto base de recursos que se entregarán por cada alumno, se determinará dividiendo la cantidad asignada para estos efectos en la ley de Presupuestos por la suma del producto de las multiplicaciones obtenidas en el punto anterior.</w:t>
      </w:r>
    </w:p>
    <w:p w:rsidR="007412E9" w:rsidRPr="007412E9" w:rsidRDefault="007412E9" w:rsidP="007412E9">
      <w:pPr>
        <w:tabs>
          <w:tab w:val="left" w:pos="709"/>
        </w:tabs>
        <w:spacing w:before="120"/>
        <w:jc w:val="both"/>
        <w:rPr>
          <w:rFonts w:ascii="Arial" w:hAnsi="Arial" w:cs="Arial"/>
          <w:sz w:val="22"/>
          <w:szCs w:val="22"/>
        </w:rPr>
      </w:pPr>
      <w:r>
        <w:rPr>
          <w:rFonts w:ascii="Arial" w:hAnsi="Arial" w:cs="Arial"/>
          <w:sz w:val="22"/>
          <w:szCs w:val="22"/>
        </w:rPr>
        <w:tab/>
      </w:r>
      <w:r w:rsidRPr="007412E9">
        <w:rPr>
          <w:rFonts w:ascii="Arial" w:hAnsi="Arial" w:cs="Arial"/>
          <w:sz w:val="22"/>
          <w:szCs w:val="22"/>
        </w:rPr>
        <w:t>5. A dicho monto base se le aplicará el factor de ponderación que corresponda a cada alumno, según sea el tramo en que se ubique de acuerdo con su puntaje en la Prueba de Aptitud Académica, determinándose de esta manera el monto de recursos que se asignarán por cada alumno ubicado en los tramos 1 al 5.</w:t>
      </w:r>
    </w:p>
    <w:p w:rsidR="007412E9" w:rsidRPr="007412E9" w:rsidRDefault="007412E9" w:rsidP="007412E9">
      <w:pPr>
        <w:tabs>
          <w:tab w:val="left" w:pos="709"/>
        </w:tabs>
        <w:spacing w:before="120"/>
        <w:jc w:val="both"/>
        <w:rPr>
          <w:rFonts w:ascii="Arial" w:hAnsi="Arial" w:cs="Arial"/>
          <w:sz w:val="22"/>
          <w:szCs w:val="22"/>
        </w:rPr>
      </w:pPr>
      <w:r>
        <w:rPr>
          <w:rFonts w:ascii="Arial" w:hAnsi="Arial" w:cs="Arial"/>
          <w:sz w:val="22"/>
          <w:szCs w:val="22"/>
        </w:rPr>
        <w:tab/>
      </w:r>
      <w:r w:rsidRPr="007412E9">
        <w:rPr>
          <w:rFonts w:ascii="Arial" w:hAnsi="Arial" w:cs="Arial"/>
          <w:sz w:val="22"/>
          <w:szCs w:val="22"/>
        </w:rPr>
        <w:t>6. Para determinar el monto de aporte fiscal que por este concepto corresponde a cada institución de educación superior, se procederá de la siguiente forma:</w:t>
      </w:r>
    </w:p>
    <w:p w:rsidR="007412E9" w:rsidRPr="007412E9" w:rsidRDefault="007412E9" w:rsidP="007412E9">
      <w:pPr>
        <w:tabs>
          <w:tab w:val="left" w:pos="709"/>
        </w:tabs>
        <w:spacing w:before="120"/>
        <w:jc w:val="both"/>
        <w:rPr>
          <w:rFonts w:ascii="Arial" w:hAnsi="Arial" w:cs="Arial"/>
          <w:sz w:val="22"/>
          <w:szCs w:val="22"/>
        </w:rPr>
      </w:pPr>
      <w:r>
        <w:rPr>
          <w:rFonts w:ascii="Arial" w:hAnsi="Arial" w:cs="Arial"/>
          <w:sz w:val="22"/>
          <w:szCs w:val="22"/>
        </w:rPr>
        <w:tab/>
      </w:r>
      <w:r w:rsidRPr="007412E9">
        <w:rPr>
          <w:rFonts w:ascii="Arial" w:hAnsi="Arial" w:cs="Arial"/>
          <w:sz w:val="22"/>
          <w:szCs w:val="22"/>
        </w:rPr>
        <w:t>a) Los alumnos matriculados en el año inmediatamente anterior en el primer año de estudios de cada institución de educación superior, se ubicarán en el tramo que les corresponda, de acuerdo con el puntaje obtenido en la Prueba de Aptitud Académica.</w:t>
      </w:r>
    </w:p>
    <w:p w:rsidR="007412E9" w:rsidRPr="007412E9" w:rsidRDefault="007412E9" w:rsidP="007412E9">
      <w:pPr>
        <w:tabs>
          <w:tab w:val="left" w:pos="709"/>
        </w:tabs>
        <w:spacing w:before="120"/>
        <w:jc w:val="both"/>
        <w:rPr>
          <w:rFonts w:ascii="Arial" w:hAnsi="Arial" w:cs="Arial"/>
          <w:sz w:val="22"/>
          <w:szCs w:val="22"/>
        </w:rPr>
      </w:pPr>
      <w:r>
        <w:rPr>
          <w:rFonts w:ascii="Arial" w:hAnsi="Arial" w:cs="Arial"/>
          <w:sz w:val="22"/>
          <w:szCs w:val="22"/>
        </w:rPr>
        <w:tab/>
      </w:r>
      <w:r w:rsidRPr="007412E9">
        <w:rPr>
          <w:rFonts w:ascii="Arial" w:hAnsi="Arial" w:cs="Arial"/>
          <w:sz w:val="22"/>
          <w:szCs w:val="22"/>
        </w:rPr>
        <w:t>b) El número de alumnos que de esta forma resulte en cada tramo, se multiplicará por el monto de recursos determinado por cada tramo en el punto 5.</w:t>
      </w:r>
    </w:p>
    <w:p w:rsidR="007412E9" w:rsidRPr="007412E9" w:rsidRDefault="007412E9" w:rsidP="007412E9">
      <w:pPr>
        <w:tabs>
          <w:tab w:val="left" w:pos="709"/>
        </w:tabs>
        <w:spacing w:before="120"/>
        <w:jc w:val="both"/>
        <w:rPr>
          <w:rFonts w:ascii="Arial" w:hAnsi="Arial" w:cs="Arial"/>
          <w:sz w:val="22"/>
          <w:szCs w:val="22"/>
        </w:rPr>
      </w:pPr>
      <w:r>
        <w:rPr>
          <w:rFonts w:ascii="Arial" w:hAnsi="Arial" w:cs="Arial"/>
          <w:sz w:val="22"/>
          <w:szCs w:val="22"/>
        </w:rPr>
        <w:tab/>
      </w:r>
      <w:r w:rsidRPr="007412E9">
        <w:rPr>
          <w:rFonts w:ascii="Arial" w:hAnsi="Arial" w:cs="Arial"/>
          <w:sz w:val="22"/>
          <w:szCs w:val="22"/>
        </w:rPr>
        <w:t>c) La suma de los valores así obtenidos determinará el monto total para el año respectivo, que corresponderá a cada institución de educación superior.</w:t>
      </w:r>
    </w:p>
    <w:p w:rsidR="007412E9" w:rsidRPr="007412E9" w:rsidRDefault="007412E9" w:rsidP="007412E9">
      <w:pPr>
        <w:tabs>
          <w:tab w:val="left" w:pos="709"/>
        </w:tabs>
        <w:spacing w:before="120"/>
        <w:jc w:val="both"/>
        <w:rPr>
          <w:rFonts w:ascii="Arial" w:hAnsi="Arial" w:cs="Arial"/>
          <w:sz w:val="22"/>
          <w:szCs w:val="22"/>
        </w:rPr>
      </w:pPr>
      <w:r>
        <w:rPr>
          <w:rFonts w:ascii="Arial" w:hAnsi="Arial" w:cs="Arial"/>
          <w:sz w:val="22"/>
          <w:szCs w:val="22"/>
        </w:rPr>
        <w:tab/>
      </w:r>
      <w:r w:rsidRPr="007412E9">
        <w:rPr>
          <w:rFonts w:ascii="Arial" w:hAnsi="Arial" w:cs="Arial"/>
          <w:sz w:val="22"/>
          <w:szCs w:val="22"/>
        </w:rPr>
        <w:t>7. En el listado de alumnos señalado en el número 1, no se considerarán los alumnos que ingresen por segunda vez a una misma institución de educación superior. Tampoco se considerarán los alumnos que ingresen por tercera vez, a una misma o a otra institución de educación superior.</w:t>
      </w:r>
    </w:p>
    <w:p w:rsidR="007412E9" w:rsidRPr="007412E9" w:rsidRDefault="007412E9" w:rsidP="007412E9">
      <w:pPr>
        <w:tabs>
          <w:tab w:val="left" w:pos="709"/>
        </w:tabs>
        <w:spacing w:before="120"/>
        <w:jc w:val="both"/>
        <w:rPr>
          <w:rFonts w:ascii="Arial" w:hAnsi="Arial" w:cs="Arial"/>
          <w:sz w:val="22"/>
          <w:szCs w:val="22"/>
        </w:rPr>
      </w:pPr>
      <w:r>
        <w:rPr>
          <w:rFonts w:ascii="Arial" w:hAnsi="Arial" w:cs="Arial"/>
          <w:sz w:val="22"/>
          <w:szCs w:val="22"/>
        </w:rPr>
        <w:tab/>
      </w:r>
      <w:r w:rsidRPr="007412E9">
        <w:rPr>
          <w:rFonts w:ascii="Arial" w:hAnsi="Arial" w:cs="Arial"/>
          <w:sz w:val="22"/>
          <w:szCs w:val="22"/>
        </w:rPr>
        <w:t>8. El monto determinado para cada institución, será sancionado por decreto supremo expedido por intermedio del Ministerio de Educación Pública, el que deberá ser suscrito también por el Ministro de Hacienda, y se entregará mensualmente a cada una de ellas un duodécimo de dicha cantidad.</w:t>
      </w:r>
      <w:r>
        <w:rPr>
          <w:rFonts w:ascii="Arial" w:hAnsi="Arial" w:cs="Arial"/>
          <w:sz w:val="22"/>
          <w:szCs w:val="22"/>
        </w:rPr>
        <w:t>”.</w:t>
      </w:r>
    </w:p>
    <w:p w:rsidR="007412E9" w:rsidRPr="005368B1" w:rsidRDefault="007412E9" w:rsidP="005368B1">
      <w:pPr>
        <w:pStyle w:val="Ttulo3"/>
        <w:tabs>
          <w:tab w:val="left" w:pos="709"/>
        </w:tabs>
      </w:pPr>
      <w:bookmarkStart w:id="31" w:name="_Toc499712189"/>
      <w:r w:rsidRPr="005368B1">
        <w:t xml:space="preserve">2. Ley </w:t>
      </w:r>
      <w:r w:rsidR="00A870E7">
        <w:t xml:space="preserve">N° 20.981, </w:t>
      </w:r>
      <w:r w:rsidRPr="005368B1">
        <w:t>de Presupuestos para el año 2017.</w:t>
      </w:r>
      <w:bookmarkEnd w:id="31"/>
    </w:p>
    <w:p w:rsidR="00294656" w:rsidRDefault="007412E9" w:rsidP="007412E9">
      <w:pPr>
        <w:tabs>
          <w:tab w:val="left" w:pos="709"/>
        </w:tabs>
        <w:spacing w:before="120"/>
        <w:jc w:val="both"/>
        <w:rPr>
          <w:rFonts w:ascii="Arial" w:hAnsi="Arial" w:cs="Arial"/>
        </w:rPr>
      </w:pPr>
      <w:r>
        <w:rPr>
          <w:rFonts w:ascii="Arial" w:hAnsi="Arial" w:cs="Arial"/>
        </w:rPr>
        <w:tab/>
      </w:r>
      <w:r w:rsidR="00A870E7">
        <w:rPr>
          <w:rFonts w:ascii="Arial" w:hAnsi="Arial" w:cs="Arial"/>
        </w:rPr>
        <w:t>Se trata de la l</w:t>
      </w:r>
      <w:r w:rsidR="00A870E7" w:rsidRPr="00A870E7">
        <w:rPr>
          <w:rFonts w:ascii="Arial" w:hAnsi="Arial" w:cs="Arial"/>
        </w:rPr>
        <w:t>ey de Presupuestos del Sector Público correspondiente al año 2017</w:t>
      </w:r>
      <w:r w:rsidR="00283BC3">
        <w:rPr>
          <w:rFonts w:ascii="Arial" w:hAnsi="Arial" w:cs="Arial"/>
        </w:rPr>
        <w:t>. L</w:t>
      </w:r>
      <w:r>
        <w:rPr>
          <w:rFonts w:ascii="Arial" w:hAnsi="Arial" w:cs="Arial"/>
        </w:rPr>
        <w:t xml:space="preserve">a </w:t>
      </w:r>
      <w:r w:rsidRPr="007412E9">
        <w:rPr>
          <w:rFonts w:ascii="Arial" w:hAnsi="Arial" w:cs="Arial"/>
        </w:rPr>
        <w:t xml:space="preserve">Asignación N° 104 </w:t>
      </w:r>
      <w:r>
        <w:rPr>
          <w:rFonts w:ascii="Arial" w:hAnsi="Arial" w:cs="Arial"/>
        </w:rPr>
        <w:t>establece “</w:t>
      </w:r>
      <w:r w:rsidRPr="007412E9">
        <w:rPr>
          <w:rFonts w:ascii="Arial" w:hAnsi="Arial" w:cs="Arial"/>
        </w:rPr>
        <w:t>Provisión para Financiamientos Comprometidos (Glosa N°13) M$</w:t>
      </w:r>
      <w:r>
        <w:rPr>
          <w:rFonts w:ascii="Arial" w:hAnsi="Arial" w:cs="Arial"/>
        </w:rPr>
        <w:t xml:space="preserve"> </w:t>
      </w:r>
      <w:r w:rsidRPr="007412E9">
        <w:rPr>
          <w:rFonts w:ascii="Arial" w:hAnsi="Arial" w:cs="Arial"/>
        </w:rPr>
        <w:t>891.472.315</w:t>
      </w:r>
      <w:r>
        <w:rPr>
          <w:rFonts w:ascii="Arial" w:hAnsi="Arial" w:cs="Arial"/>
        </w:rPr>
        <w:t>”</w:t>
      </w:r>
      <w:r w:rsidRPr="007412E9">
        <w:rPr>
          <w:rFonts w:ascii="Arial" w:hAnsi="Arial" w:cs="Arial"/>
        </w:rPr>
        <w:t>.</w:t>
      </w:r>
    </w:p>
    <w:p w:rsidR="005C4B4A" w:rsidRPr="005C4B4A" w:rsidRDefault="005C4B4A" w:rsidP="005C4B4A">
      <w:pPr>
        <w:pStyle w:val="Ttulo2"/>
        <w:tabs>
          <w:tab w:val="left" w:pos="709"/>
        </w:tabs>
        <w:spacing w:before="240"/>
        <w:rPr>
          <w:rFonts w:cs="Arial"/>
          <w:szCs w:val="24"/>
        </w:rPr>
      </w:pPr>
      <w:bookmarkStart w:id="32" w:name="_Toc499712190"/>
      <w:r w:rsidRPr="005C4B4A">
        <w:rPr>
          <w:rFonts w:cs="Arial"/>
          <w:szCs w:val="24"/>
        </w:rPr>
        <w:lastRenderedPageBreak/>
        <w:t>C</w:t>
      </w:r>
      <w:r w:rsidR="002D083B">
        <w:rPr>
          <w:rFonts w:cs="Arial"/>
          <w:szCs w:val="24"/>
        </w:rPr>
        <w:t>)</w:t>
      </w:r>
      <w:r w:rsidRPr="005C4B4A">
        <w:rPr>
          <w:rFonts w:cs="Arial"/>
          <w:szCs w:val="24"/>
        </w:rPr>
        <w:t xml:space="preserve"> Informe financiero</w:t>
      </w:r>
      <w:r>
        <w:rPr>
          <w:rFonts w:cs="Arial"/>
          <w:szCs w:val="24"/>
        </w:rPr>
        <w:t>.</w:t>
      </w:r>
      <w:bookmarkEnd w:id="32"/>
    </w:p>
    <w:p w:rsidR="005C4B4A" w:rsidRPr="00CB75A7" w:rsidRDefault="005C4B4A" w:rsidP="005C4B4A">
      <w:pPr>
        <w:tabs>
          <w:tab w:val="left" w:pos="709"/>
        </w:tabs>
        <w:spacing w:before="120"/>
        <w:jc w:val="both"/>
        <w:rPr>
          <w:rFonts w:ascii="Arial" w:hAnsi="Arial" w:cs="Arial"/>
        </w:rPr>
      </w:pPr>
      <w:r w:rsidRPr="005C4B4A">
        <w:rPr>
          <w:rFonts w:ascii="Arial" w:hAnsi="Arial" w:cs="Arial"/>
        </w:rPr>
        <w:tab/>
        <w:t>De acuerdo con el documento acompañado con el Mensaje, el proyecto presenta un mayor gasto fiscal por una vez, de $</w:t>
      </w:r>
      <w:r>
        <w:rPr>
          <w:rFonts w:ascii="Arial" w:hAnsi="Arial" w:cs="Arial"/>
        </w:rPr>
        <w:t xml:space="preserve"> </w:t>
      </w:r>
      <w:r w:rsidRPr="005C4B4A">
        <w:rPr>
          <w:rFonts w:ascii="Arial" w:hAnsi="Arial" w:cs="Arial"/>
        </w:rPr>
        <w:t xml:space="preserve">2.000.000 miles para el año 2017, financiado con cargo a la asignación 104 </w:t>
      </w:r>
      <w:r>
        <w:rPr>
          <w:rFonts w:ascii="Arial" w:hAnsi="Arial" w:cs="Arial"/>
        </w:rPr>
        <w:t>“</w:t>
      </w:r>
      <w:r w:rsidRPr="005C4B4A">
        <w:rPr>
          <w:rFonts w:ascii="Arial" w:hAnsi="Arial" w:cs="Arial"/>
        </w:rPr>
        <w:t>Provisión para Financiamiento Comprometido</w:t>
      </w:r>
      <w:r>
        <w:rPr>
          <w:rFonts w:ascii="Arial" w:hAnsi="Arial" w:cs="Arial"/>
        </w:rPr>
        <w:t>”</w:t>
      </w:r>
      <w:r w:rsidRPr="005C4B4A">
        <w:rPr>
          <w:rFonts w:ascii="Arial" w:hAnsi="Arial" w:cs="Arial"/>
        </w:rPr>
        <w:t xml:space="preserve"> del Programa 03 Operaciones Complementarias de la Partida Tesoro Público, del Presupuesto vigente.</w:t>
      </w:r>
    </w:p>
    <w:p w:rsidR="00F746CE" w:rsidRPr="0079366F" w:rsidRDefault="00A944D9" w:rsidP="008C141B">
      <w:pPr>
        <w:pStyle w:val="Ttulo1"/>
        <w:tabs>
          <w:tab w:val="left" w:pos="709"/>
        </w:tabs>
        <w:spacing w:before="480"/>
        <w:jc w:val="both"/>
        <w:rPr>
          <w:bCs w:val="0"/>
        </w:rPr>
      </w:pPr>
      <w:bookmarkStart w:id="33" w:name="_Toc408309933"/>
      <w:bookmarkStart w:id="34" w:name="_Toc409556920"/>
      <w:bookmarkStart w:id="35" w:name="_Toc499712191"/>
      <w:r w:rsidRPr="00E03953">
        <w:rPr>
          <w:bCs w:val="0"/>
        </w:rPr>
        <w:t>I</w:t>
      </w:r>
      <w:r w:rsidR="00F746CE" w:rsidRPr="00E03953">
        <w:rPr>
          <w:bCs w:val="0"/>
        </w:rPr>
        <w:t xml:space="preserve">II. </w:t>
      </w:r>
      <w:r w:rsidR="00F746CE" w:rsidRPr="0079366F">
        <w:rPr>
          <w:bCs w:val="0"/>
        </w:rPr>
        <w:t>RESUMEN DEL CONTENIDO DEL PROYECTO APROBADO POR EL SENADO.</w:t>
      </w:r>
      <w:bookmarkEnd w:id="33"/>
      <w:bookmarkEnd w:id="34"/>
      <w:bookmarkEnd w:id="35"/>
    </w:p>
    <w:p w:rsidR="003574BE" w:rsidRDefault="003574BE" w:rsidP="008C141B">
      <w:pPr>
        <w:tabs>
          <w:tab w:val="left" w:pos="709"/>
        </w:tabs>
        <w:spacing w:before="120"/>
        <w:jc w:val="both"/>
        <w:rPr>
          <w:rFonts w:ascii="Arial" w:hAnsi="Arial" w:cs="Arial"/>
        </w:rPr>
      </w:pPr>
      <w:r w:rsidRPr="00E03953">
        <w:rPr>
          <w:rFonts w:ascii="Arial" w:hAnsi="Arial" w:cs="Arial"/>
          <w:b/>
        </w:rPr>
        <w:tab/>
      </w:r>
      <w:r w:rsidRPr="00E03953">
        <w:rPr>
          <w:rFonts w:ascii="Arial" w:hAnsi="Arial" w:cs="Arial"/>
        </w:rPr>
        <w:t xml:space="preserve">Conforme lo dispone el número 2° del artículo </w:t>
      </w:r>
      <w:r w:rsidR="00681D60">
        <w:rPr>
          <w:rFonts w:ascii="Arial" w:hAnsi="Arial" w:cs="Arial"/>
        </w:rPr>
        <w:t>304</w:t>
      </w:r>
      <w:r w:rsidRPr="00E03953">
        <w:rPr>
          <w:rFonts w:ascii="Arial" w:hAnsi="Arial" w:cs="Arial"/>
        </w:rPr>
        <w:t xml:space="preserve"> del Reglamento, el texto aprobado por el Senado señala, en síntesis, lo siguiente:</w:t>
      </w:r>
    </w:p>
    <w:p w:rsidR="00294656" w:rsidRPr="00BB3B39" w:rsidRDefault="00294656" w:rsidP="00294656">
      <w:pPr>
        <w:tabs>
          <w:tab w:val="left" w:pos="567"/>
          <w:tab w:val="left" w:pos="2268"/>
        </w:tabs>
        <w:spacing w:before="120"/>
        <w:jc w:val="both"/>
        <w:rPr>
          <w:rFonts w:ascii="Arial" w:hAnsi="Arial" w:cs="Arial"/>
        </w:rPr>
      </w:pPr>
      <w:r>
        <w:rPr>
          <w:rFonts w:ascii="Arial" w:hAnsi="Arial" w:cs="Arial"/>
        </w:rPr>
        <w:tab/>
      </w:r>
      <w:r w:rsidRPr="00BB3B39">
        <w:rPr>
          <w:rFonts w:ascii="Arial" w:hAnsi="Arial" w:cs="Arial"/>
        </w:rPr>
        <w:t>Por el artículo 1 se deroga el artículo 3, que regula el aporte fiscal indirecto para las instituciones de educación superior, del decreto con fuerza de ley N° 4, del Ministerio de Educación, de 1981, que fija normas sobre financiamiento de las universidades.</w:t>
      </w:r>
    </w:p>
    <w:p w:rsidR="001A62A7" w:rsidRPr="00BB3B39" w:rsidRDefault="00294656" w:rsidP="00294656">
      <w:pPr>
        <w:tabs>
          <w:tab w:val="left" w:pos="567"/>
          <w:tab w:val="left" w:pos="2268"/>
        </w:tabs>
        <w:spacing w:before="120"/>
        <w:jc w:val="both"/>
        <w:rPr>
          <w:rFonts w:ascii="Arial" w:hAnsi="Arial" w:cs="Arial"/>
        </w:rPr>
      </w:pPr>
      <w:r>
        <w:rPr>
          <w:rFonts w:ascii="Arial" w:hAnsi="Arial" w:cs="Arial"/>
        </w:rPr>
        <w:tab/>
      </w:r>
      <w:r w:rsidRPr="00BB3B39">
        <w:rPr>
          <w:rFonts w:ascii="Arial" w:hAnsi="Arial" w:cs="Arial"/>
        </w:rPr>
        <w:t>El artículo 2 exime, en su inciso primero, de la regla anterior a las instituciones de educación superior que el año 2016 hayan tenido matriculados en el primer año de estudios, estudiantes que cumplen con ciertos requisitos, a quienes se les aplica la regla del inciso segundo de este artículo, que considera una determinada suma por concepto de AFI, en las condiciones que señala</w:t>
      </w:r>
      <w:r w:rsidR="001A62A7">
        <w:rPr>
          <w:rFonts w:ascii="Arial" w:hAnsi="Arial" w:cs="Arial"/>
        </w:rPr>
        <w:t xml:space="preserve">, cuyo </w:t>
      </w:r>
      <w:r w:rsidR="001A62A7" w:rsidRPr="001A62A7">
        <w:rPr>
          <w:rFonts w:ascii="Arial" w:hAnsi="Arial" w:cs="Arial"/>
        </w:rPr>
        <w:t>objetivo es permitir que las instituciones realicen un ajuste más gradual respecto a la pérdida de esta fuente de financiamiento.</w:t>
      </w:r>
    </w:p>
    <w:p w:rsidR="00294656" w:rsidRDefault="00294656" w:rsidP="00294656">
      <w:pPr>
        <w:tabs>
          <w:tab w:val="left" w:pos="567"/>
          <w:tab w:val="left" w:pos="2268"/>
        </w:tabs>
        <w:spacing w:before="120"/>
        <w:jc w:val="both"/>
        <w:rPr>
          <w:rFonts w:ascii="Arial" w:hAnsi="Arial" w:cs="Arial"/>
        </w:rPr>
      </w:pPr>
      <w:r>
        <w:rPr>
          <w:rFonts w:ascii="Arial" w:hAnsi="Arial" w:cs="Arial"/>
        </w:rPr>
        <w:tab/>
      </w:r>
      <w:r w:rsidRPr="00BB3B39">
        <w:rPr>
          <w:rFonts w:ascii="Arial" w:hAnsi="Arial" w:cs="Arial"/>
        </w:rPr>
        <w:t>El artículo 3 consagra que el mayor gasto fiscal que irrogue la aplicación del artículo</w:t>
      </w:r>
      <w:r>
        <w:rPr>
          <w:rFonts w:ascii="Arial" w:hAnsi="Arial" w:cs="Arial"/>
        </w:rPr>
        <w:t xml:space="preserve"> 2</w:t>
      </w:r>
      <w:r w:rsidRPr="00585B7F">
        <w:rPr>
          <w:rFonts w:ascii="Arial" w:hAnsi="Arial" w:cs="Arial"/>
        </w:rPr>
        <w:t xml:space="preserve"> de esta ley se financiará</w:t>
      </w:r>
      <w:r>
        <w:rPr>
          <w:rFonts w:ascii="Arial" w:hAnsi="Arial" w:cs="Arial"/>
        </w:rPr>
        <w:t xml:space="preserve"> con cargo a la Asignación 104 </w:t>
      </w:r>
      <w:r w:rsidRPr="00294656">
        <w:rPr>
          <w:rFonts w:ascii="Arial" w:hAnsi="Arial" w:cs="Arial"/>
          <w:bCs/>
        </w:rPr>
        <w:t>“Provisión para Financiamientos Comprometidos”, del Programa 03, “Operaciones Complementarias”, de la Partida Tesoro Público, de la Ley de Presupuestos del Sector Público vigente para el año 2017.</w:t>
      </w:r>
    </w:p>
    <w:p w:rsidR="00F746CE" w:rsidRPr="0079366F" w:rsidRDefault="0047138E" w:rsidP="008C141B">
      <w:pPr>
        <w:pStyle w:val="Ttulo1"/>
        <w:tabs>
          <w:tab w:val="left" w:pos="709"/>
        </w:tabs>
        <w:spacing w:before="480"/>
        <w:jc w:val="both"/>
        <w:rPr>
          <w:bCs w:val="0"/>
        </w:rPr>
      </w:pPr>
      <w:bookmarkStart w:id="36" w:name="_Toc408309934"/>
      <w:bookmarkStart w:id="37" w:name="_Toc409556921"/>
      <w:bookmarkStart w:id="38" w:name="_Toc499712192"/>
      <w:r w:rsidRPr="00E03953">
        <w:rPr>
          <w:bCs w:val="0"/>
        </w:rPr>
        <w:t xml:space="preserve">IV. </w:t>
      </w:r>
      <w:r w:rsidRPr="0079366F">
        <w:rPr>
          <w:bCs w:val="0"/>
        </w:rPr>
        <w:t xml:space="preserve">SÍNTESIS DE LA DISCUSIÓN </w:t>
      </w:r>
      <w:r w:rsidRPr="00E03953">
        <w:t>GENERAL</w:t>
      </w:r>
      <w:r>
        <w:t xml:space="preserve"> </w:t>
      </w:r>
      <w:r w:rsidRPr="0079366F">
        <w:rPr>
          <w:bCs w:val="0"/>
        </w:rPr>
        <w:t>EN LA COMISIÓN Y ACUERDOS ADOPTADOS.</w:t>
      </w:r>
      <w:bookmarkEnd w:id="36"/>
      <w:bookmarkEnd w:id="37"/>
      <w:bookmarkEnd w:id="38"/>
    </w:p>
    <w:p w:rsidR="00CF44D5" w:rsidRPr="00CF44D5" w:rsidRDefault="00CF44D5" w:rsidP="00174B4E">
      <w:pPr>
        <w:tabs>
          <w:tab w:val="left" w:pos="709"/>
        </w:tabs>
        <w:spacing w:before="240"/>
        <w:jc w:val="both"/>
        <w:rPr>
          <w:rFonts w:ascii="Arial" w:hAnsi="Arial" w:cs="Arial"/>
          <w:bCs/>
          <w:snapToGrid w:val="0"/>
          <w:lang w:val="es-CL"/>
        </w:rPr>
      </w:pPr>
      <w:r>
        <w:rPr>
          <w:rFonts w:ascii="Arial" w:hAnsi="Arial" w:cs="Arial"/>
          <w:bCs/>
          <w:snapToGrid w:val="0"/>
          <w:lang w:val="es-CL"/>
        </w:rPr>
        <w:tab/>
        <w:t xml:space="preserve">La señora </w:t>
      </w:r>
      <w:r>
        <w:rPr>
          <w:rFonts w:ascii="Arial" w:hAnsi="Arial" w:cs="Arial"/>
          <w:b/>
          <w:bCs/>
          <w:snapToGrid w:val="0"/>
          <w:lang w:val="es-CL"/>
        </w:rPr>
        <w:t xml:space="preserve">Contreras </w:t>
      </w:r>
      <w:r w:rsidRPr="00CF44D5">
        <w:rPr>
          <w:rFonts w:ascii="Arial" w:hAnsi="Arial" w:cs="Arial"/>
          <w:bCs/>
          <w:snapToGrid w:val="0"/>
          <w:lang w:val="es-CL"/>
        </w:rPr>
        <w:t xml:space="preserve">expresó que en los últimos años el Estado chileno ha aumentado significativamente su inversión en educación superior, mediante instrumentos de financiamiento tanto a las instituciones como a los estudiantes. El aporte fiscal para educación superior pasó de </w:t>
      </w:r>
      <w:r w:rsidR="00B602F0">
        <w:rPr>
          <w:rFonts w:ascii="Arial" w:hAnsi="Arial" w:cs="Arial"/>
          <w:bCs/>
          <w:snapToGrid w:val="0"/>
          <w:lang w:val="es-CL"/>
        </w:rPr>
        <w:t>$</w:t>
      </w:r>
      <w:r w:rsidRPr="00CF44D5">
        <w:rPr>
          <w:rFonts w:ascii="Arial" w:hAnsi="Arial" w:cs="Arial"/>
          <w:bCs/>
          <w:snapToGrid w:val="0"/>
          <w:lang w:val="es-CL"/>
        </w:rPr>
        <w:t>284.673 millones de pesos en el año 2000 a un presupuesto de $1.852.287 millones de pesos, en 2016</w:t>
      </w:r>
      <w:r w:rsidR="00B602F0">
        <w:rPr>
          <w:rFonts w:ascii="Arial" w:hAnsi="Arial" w:cs="Arial"/>
          <w:bCs/>
          <w:snapToGrid w:val="0"/>
          <w:lang w:val="es-CL"/>
        </w:rPr>
        <w:t>.</w:t>
      </w:r>
    </w:p>
    <w:p w:rsidR="00B602F0" w:rsidRPr="00B602F0" w:rsidRDefault="00B602F0" w:rsidP="00B602F0">
      <w:pPr>
        <w:tabs>
          <w:tab w:val="left" w:pos="709"/>
        </w:tabs>
        <w:spacing w:before="120"/>
        <w:jc w:val="both"/>
        <w:rPr>
          <w:rFonts w:ascii="Arial" w:hAnsi="Arial" w:cs="Arial"/>
          <w:bCs/>
          <w:snapToGrid w:val="0"/>
        </w:rPr>
      </w:pPr>
      <w:r w:rsidRPr="00B602F0">
        <w:rPr>
          <w:rFonts w:ascii="Arial" w:hAnsi="Arial" w:cs="Arial"/>
          <w:bCs/>
          <w:snapToGrid w:val="0"/>
        </w:rPr>
        <w:tab/>
        <w:t>Además, entre 2000 y 2016 la matrícula total en educación superior de pregrado creció un 170,4%</w:t>
      </w:r>
      <w:r>
        <w:rPr>
          <w:rFonts w:ascii="Arial" w:hAnsi="Arial" w:cs="Arial"/>
          <w:bCs/>
          <w:snapToGrid w:val="0"/>
        </w:rPr>
        <w:t>,</w:t>
      </w:r>
      <w:r w:rsidRPr="00B602F0">
        <w:rPr>
          <w:rFonts w:ascii="Arial" w:hAnsi="Arial" w:cs="Arial"/>
          <w:bCs/>
          <w:snapToGrid w:val="0"/>
        </w:rPr>
        <w:t xml:space="preserve"> destacándose en particular el aumento de la matrícula de alumnos de los tres quintiles de menores ingresos.</w:t>
      </w:r>
    </w:p>
    <w:p w:rsidR="00B602F0" w:rsidRPr="00B602F0" w:rsidRDefault="00B602F0" w:rsidP="00B602F0">
      <w:pPr>
        <w:tabs>
          <w:tab w:val="left" w:pos="709"/>
        </w:tabs>
        <w:spacing w:before="120"/>
        <w:jc w:val="both"/>
        <w:rPr>
          <w:rFonts w:ascii="Arial" w:hAnsi="Arial" w:cs="Arial"/>
          <w:bCs/>
          <w:snapToGrid w:val="0"/>
        </w:rPr>
      </w:pPr>
      <w:r w:rsidRPr="00B602F0">
        <w:rPr>
          <w:rFonts w:ascii="Arial" w:hAnsi="Arial" w:cs="Arial"/>
          <w:bCs/>
          <w:snapToGrid w:val="0"/>
        </w:rPr>
        <w:tab/>
        <w:t xml:space="preserve">Por su parte, las lógicas de financiamiento de la educación superior también han cambiado, la entrada en vigencia de la gratuidad responde a la concepción de la educación como un derecho social, respecto del cual el Estado asume un rol de garante, es decir, debe proveerlo directamente -a través de sus instituciones- y/o asegurar su provisión a través del financiamiento. </w:t>
      </w:r>
    </w:p>
    <w:p w:rsidR="00B602F0" w:rsidRPr="00B602F0" w:rsidRDefault="00B602F0" w:rsidP="00B602F0">
      <w:pPr>
        <w:tabs>
          <w:tab w:val="left" w:pos="709"/>
        </w:tabs>
        <w:spacing w:before="120"/>
        <w:jc w:val="both"/>
        <w:rPr>
          <w:rFonts w:ascii="Arial" w:hAnsi="Arial" w:cs="Arial"/>
          <w:bCs/>
          <w:snapToGrid w:val="0"/>
        </w:rPr>
      </w:pPr>
      <w:r w:rsidRPr="00B602F0">
        <w:rPr>
          <w:rFonts w:ascii="Arial" w:hAnsi="Arial" w:cs="Arial"/>
          <w:bCs/>
          <w:snapToGrid w:val="0"/>
        </w:rPr>
        <w:tab/>
        <w:t>Explicó que desde la perspectiva de las instituciones de educación superior, a partir de 2015 se genera también una nueva modalidad de financiamiento que permite la focalización de recursos basales distribuidos a través de proyectos y compromisos específicos, lo que ha permitido un fortalecimiento no competitivo, distribuido mediante indicadores de desempeño, características institucionales y compromisos con la política pública, y un uso de los recursos orientado a mejorar la gestión y desarrollo de proyectos para el mejoramiento de la calidad con pertinencia regional, en áreas estratégicas como vinculación con el medio, e investigación, entre otros</w:t>
      </w:r>
      <w:r>
        <w:rPr>
          <w:rFonts w:ascii="Arial" w:hAnsi="Arial" w:cs="Arial"/>
          <w:bCs/>
          <w:snapToGrid w:val="0"/>
        </w:rPr>
        <w:t>.</w:t>
      </w:r>
    </w:p>
    <w:p w:rsidR="00B602F0" w:rsidRPr="00B602F0" w:rsidRDefault="00B602F0" w:rsidP="00B602F0">
      <w:pPr>
        <w:tabs>
          <w:tab w:val="left" w:pos="709"/>
        </w:tabs>
        <w:spacing w:before="120"/>
        <w:jc w:val="both"/>
        <w:rPr>
          <w:rFonts w:ascii="Arial" w:hAnsi="Arial" w:cs="Arial"/>
          <w:bCs/>
          <w:snapToGrid w:val="0"/>
        </w:rPr>
      </w:pPr>
      <w:r w:rsidRPr="00B602F0">
        <w:rPr>
          <w:rFonts w:ascii="Arial" w:hAnsi="Arial" w:cs="Arial"/>
          <w:bCs/>
          <w:snapToGrid w:val="0"/>
        </w:rPr>
        <w:tab/>
        <w:t>Hizo presente que es en este nuevo escenario en el cual se debe analizar el AFI, su efectividad como instrumento para financiar la educación superior y su alineamiento con las políticas públicas que hoy en día se han definido para este nivel educacional.</w:t>
      </w:r>
    </w:p>
    <w:p w:rsidR="00B602F0" w:rsidRPr="00B602F0" w:rsidRDefault="00B602F0" w:rsidP="00B602F0">
      <w:pPr>
        <w:tabs>
          <w:tab w:val="left" w:pos="709"/>
        </w:tabs>
        <w:spacing w:before="120"/>
        <w:jc w:val="both"/>
        <w:rPr>
          <w:rFonts w:ascii="Arial" w:hAnsi="Arial" w:cs="Arial"/>
          <w:bCs/>
          <w:snapToGrid w:val="0"/>
        </w:rPr>
      </w:pPr>
      <w:r w:rsidRPr="00B602F0">
        <w:rPr>
          <w:rFonts w:ascii="Arial" w:hAnsi="Arial" w:cs="Arial"/>
          <w:bCs/>
          <w:snapToGrid w:val="0"/>
        </w:rPr>
        <w:tab/>
        <w:t>Señaló que es necesario recordar que el AFI fue creado en 1981, con el objetivo de mejorar la calidad de la docencia de pregrado, mediante la promoción de la competencia entre las instituciones de educación superior, por captar a los mejores alumnos que ingresan al sistema terciario. La distribución de los recursos dispuestos anualmente por la ley de presupuesto, se realiza en función de la institución donde se matriculen los 27.500 mejores puntajes de la Prueba de Selección Universitaria (PSU) de cada año, generando un mayor monto de AFI los alumnos de mejores puntajes.</w:t>
      </w:r>
    </w:p>
    <w:p w:rsidR="00B602F0" w:rsidRPr="00B602F0" w:rsidRDefault="00B602F0" w:rsidP="00B602F0">
      <w:pPr>
        <w:tabs>
          <w:tab w:val="left" w:pos="709"/>
        </w:tabs>
        <w:spacing w:before="120"/>
        <w:jc w:val="both"/>
        <w:rPr>
          <w:rFonts w:ascii="Arial" w:hAnsi="Arial" w:cs="Arial"/>
          <w:bCs/>
          <w:snapToGrid w:val="0"/>
        </w:rPr>
      </w:pPr>
      <w:r w:rsidRPr="00B602F0">
        <w:rPr>
          <w:rFonts w:ascii="Arial" w:hAnsi="Arial" w:cs="Arial"/>
          <w:bCs/>
          <w:snapToGrid w:val="0"/>
        </w:rPr>
        <w:tab/>
        <w:t>En el escenario actual, además de recibir fundadas críticas por su carácter fuertemente regresivo en la asignación de recursos, el AFI ha dejado de cumplir el objetivo planteado, debido al poco peso relativo que representa en el financiamiento de la educación superior, alcanzando alrededor del 3,5% del aporte fiscal para las instituciones. Asimismo, en términos de matrícula, en la década de los 80 el AFI cubría en promedio a cerca del 40% de la matrícula de alumnos de primer año, mientras que ya en 2009 este porcentaje cayó a alrededor del 10%.</w:t>
      </w:r>
    </w:p>
    <w:p w:rsidR="00B602F0" w:rsidRPr="00B602F0" w:rsidRDefault="00B602F0" w:rsidP="00B602F0">
      <w:pPr>
        <w:tabs>
          <w:tab w:val="left" w:pos="709"/>
        </w:tabs>
        <w:spacing w:before="120"/>
        <w:jc w:val="both"/>
        <w:rPr>
          <w:rFonts w:ascii="Arial" w:hAnsi="Arial" w:cs="Arial"/>
          <w:bCs/>
          <w:snapToGrid w:val="0"/>
        </w:rPr>
      </w:pPr>
      <w:r w:rsidRPr="00B602F0">
        <w:rPr>
          <w:rFonts w:ascii="Arial" w:hAnsi="Arial" w:cs="Arial"/>
          <w:bCs/>
          <w:snapToGrid w:val="0"/>
        </w:rPr>
        <w:tab/>
        <w:t>Sin perjuicio de lo anterior, los mayores problemas que presenta el AFI, dicen relación con su carácter regresivo, en cuanto existe una alta correlación entre el nivel socioeconómico de los alumnos causantes del pago y los recursos asignados a cada institución.</w:t>
      </w:r>
    </w:p>
    <w:p w:rsidR="00B602F0" w:rsidRPr="00B602F0" w:rsidRDefault="00B602F0" w:rsidP="00B602F0">
      <w:pPr>
        <w:tabs>
          <w:tab w:val="left" w:pos="709"/>
        </w:tabs>
        <w:spacing w:before="120"/>
        <w:jc w:val="both"/>
        <w:rPr>
          <w:rFonts w:ascii="Arial" w:hAnsi="Arial" w:cs="Arial"/>
          <w:bCs/>
          <w:snapToGrid w:val="0"/>
        </w:rPr>
      </w:pPr>
      <w:r w:rsidRPr="00B602F0">
        <w:rPr>
          <w:rFonts w:ascii="Arial" w:hAnsi="Arial" w:cs="Arial"/>
          <w:bCs/>
          <w:snapToGrid w:val="0"/>
        </w:rPr>
        <w:tab/>
        <w:t>El AFI al basar su distribución en los puntajes obtenidos en la PSU, hereda los diferenciales de resultados que aún tiene dicho instrumento, en relación con el nivel socioeconómico. Esta situación se agrava por la existencia de cinco tramos de AFI que generan pagos crecientes según los resultados de la PSU. Dado que la presencia de alumnos de nivel socioeconómico alto aumenta en los tramos de mayores puntajes, se hace más atractivo para las instituciones de educación superior captar a esos alumnos.</w:t>
      </w:r>
    </w:p>
    <w:p w:rsidR="00B602F0" w:rsidRPr="00B602F0" w:rsidRDefault="00B602F0" w:rsidP="00B602F0">
      <w:pPr>
        <w:tabs>
          <w:tab w:val="left" w:pos="709"/>
        </w:tabs>
        <w:spacing w:before="120"/>
        <w:jc w:val="both"/>
        <w:rPr>
          <w:rFonts w:ascii="Arial" w:hAnsi="Arial" w:cs="Arial"/>
          <w:bCs/>
          <w:snapToGrid w:val="0"/>
        </w:rPr>
      </w:pPr>
      <w:r w:rsidRPr="00B602F0">
        <w:rPr>
          <w:rFonts w:ascii="Arial" w:hAnsi="Arial" w:cs="Arial"/>
          <w:bCs/>
          <w:snapToGrid w:val="0"/>
        </w:rPr>
        <w:tab/>
        <w:t>Asimismo, la distribución de los estudiantes causantes de AFI por nivel socioeconómico, está a su vez altamente correlacionada con la distribución de causantes de AFI por tipo de establecimiento de egreso de enseñanza media. Los egresados de colegios particulares pagados generan el 45% de los recursos AFI, porcentaje superior al ya alto 38,6% que representan en cantidad de alumnos causantes.</w:t>
      </w:r>
    </w:p>
    <w:p w:rsidR="00B602F0" w:rsidRPr="00B602F0" w:rsidRDefault="00B602F0" w:rsidP="00B602F0">
      <w:pPr>
        <w:tabs>
          <w:tab w:val="left" w:pos="709"/>
        </w:tabs>
        <w:spacing w:before="120"/>
        <w:jc w:val="both"/>
        <w:rPr>
          <w:rFonts w:ascii="Arial" w:hAnsi="Arial" w:cs="Arial"/>
          <w:bCs/>
          <w:snapToGrid w:val="0"/>
        </w:rPr>
      </w:pPr>
      <w:r w:rsidRPr="00B602F0">
        <w:rPr>
          <w:rFonts w:ascii="Arial" w:hAnsi="Arial" w:cs="Arial"/>
          <w:bCs/>
          <w:snapToGrid w:val="0"/>
        </w:rPr>
        <w:tab/>
        <w:t>En definitiva, los alumnos de mayores ingresos y provenientes de colegios particulares pagados generan los mayores montos de AFI, y por ende son más atractivos para las distintas instituciones de educación superior.</w:t>
      </w:r>
    </w:p>
    <w:p w:rsidR="00B602F0" w:rsidRPr="00B602F0" w:rsidRDefault="00B602F0" w:rsidP="00B602F0">
      <w:pPr>
        <w:tabs>
          <w:tab w:val="left" w:pos="709"/>
        </w:tabs>
        <w:spacing w:before="120"/>
        <w:jc w:val="both"/>
        <w:rPr>
          <w:rFonts w:ascii="Arial" w:hAnsi="Arial" w:cs="Arial"/>
          <w:bCs/>
          <w:snapToGrid w:val="0"/>
        </w:rPr>
      </w:pPr>
      <w:r w:rsidRPr="00B602F0">
        <w:rPr>
          <w:rFonts w:ascii="Arial" w:hAnsi="Arial" w:cs="Arial"/>
          <w:bCs/>
          <w:snapToGrid w:val="0"/>
        </w:rPr>
        <w:tab/>
        <w:t>Sin embargo, la inequidad asociada a este instrumento no se reduce a los recursos asignados a cada institución, sino que tiene otras manifestaciones adicionales:</w:t>
      </w:r>
    </w:p>
    <w:p w:rsidR="00B602F0" w:rsidRPr="00B602F0" w:rsidRDefault="00B602F0" w:rsidP="00B602F0">
      <w:pPr>
        <w:tabs>
          <w:tab w:val="left" w:pos="709"/>
        </w:tabs>
        <w:spacing w:before="120"/>
        <w:jc w:val="both"/>
        <w:rPr>
          <w:rFonts w:ascii="Arial" w:hAnsi="Arial" w:cs="Arial"/>
          <w:bCs/>
          <w:snapToGrid w:val="0"/>
        </w:rPr>
      </w:pPr>
      <w:r w:rsidRPr="00B602F0">
        <w:rPr>
          <w:rFonts w:ascii="Arial" w:hAnsi="Arial" w:cs="Arial"/>
          <w:bCs/>
          <w:snapToGrid w:val="0"/>
        </w:rPr>
        <w:tab/>
        <w:t>1) Los pagos del AFI no están asociados al costo de educar al alumno. Como lo demuestran innumerables estudios, las desventajas de origen que presentan los estudiantes de bajo nivel socioeconómico, producen que el costo de educar a un alumno está inversamente correlacionado con dicho nivel socioeconómico. El AFI no solo no se hace cargo de este diferencial en el costo de educar, sino que, por el contrario, tiende a entregar mayores recursos en función de matricular a aquellos que son menos costosos de educar. Como resultado, se genera un incentivo adicional a descremar al alumnado y atraer sólo alumnos de nivel socioeconómico alto.</w:t>
      </w:r>
    </w:p>
    <w:p w:rsidR="00B602F0" w:rsidRPr="00B602F0" w:rsidRDefault="00B602F0" w:rsidP="00B602F0">
      <w:pPr>
        <w:tabs>
          <w:tab w:val="left" w:pos="709"/>
        </w:tabs>
        <w:spacing w:before="120"/>
        <w:jc w:val="both"/>
        <w:rPr>
          <w:rFonts w:ascii="Arial" w:hAnsi="Arial" w:cs="Arial"/>
          <w:bCs/>
          <w:snapToGrid w:val="0"/>
        </w:rPr>
      </w:pPr>
      <w:r w:rsidRPr="00B602F0">
        <w:rPr>
          <w:rFonts w:ascii="Arial" w:hAnsi="Arial" w:cs="Arial"/>
          <w:bCs/>
          <w:snapToGrid w:val="0"/>
        </w:rPr>
        <w:tab/>
        <w:t>2) El AFI considera a todos los estudiantes egresados de enseñanza media, sin embargo, tiene un sesgo en contra de los estudiantes provenientes de los liceos técnico profesionales, dado que el porcentaje de estudiantes de enseñanza técnico profesional que rinden PSU es significativamente menor al de los estudiantes enseñanza media científico humanista, y en promedio obtienen puntajes más bajos que sus pares humanistas científicos. Implícitamente, al basarse exclusivamente en los puntajes de la PSU para su distribución, el AFI limita su poder de crear incentivos virtuosos en la enseñanza técnico-profesional.</w:t>
      </w:r>
    </w:p>
    <w:p w:rsidR="00B602F0" w:rsidRPr="00B602F0" w:rsidRDefault="00B602F0" w:rsidP="00B602F0">
      <w:pPr>
        <w:tabs>
          <w:tab w:val="left" w:pos="709"/>
        </w:tabs>
        <w:spacing w:before="120"/>
        <w:jc w:val="both"/>
        <w:rPr>
          <w:rFonts w:ascii="Arial" w:hAnsi="Arial" w:cs="Arial"/>
          <w:bCs/>
          <w:snapToGrid w:val="0"/>
        </w:rPr>
      </w:pPr>
      <w:r w:rsidRPr="00B602F0">
        <w:rPr>
          <w:rFonts w:ascii="Arial" w:hAnsi="Arial" w:cs="Arial"/>
          <w:bCs/>
          <w:snapToGrid w:val="0"/>
        </w:rPr>
        <w:tab/>
        <w:t>3) Por último, la distribución del AFI presenta una desigual distribución regional y entre comunas. Atendida la correlación de la distribución del AFI con las características socioeconómicas de los estudiantes que la originan, este instrumento presenta también una grave distorsión desde el punto de vista de equidad territorial, por lo cual comunas de similar tamaño tienen cantidades muy distintas de “buenos” estudiantes AFI, favoreciendo directamente a las comunas más ricas.</w:t>
      </w:r>
    </w:p>
    <w:p w:rsidR="00B602F0" w:rsidRPr="00B602F0" w:rsidRDefault="00B602F0" w:rsidP="00B602F0">
      <w:pPr>
        <w:tabs>
          <w:tab w:val="left" w:pos="709"/>
        </w:tabs>
        <w:spacing w:before="120"/>
        <w:jc w:val="both"/>
        <w:rPr>
          <w:rFonts w:ascii="Arial" w:hAnsi="Arial" w:cs="Arial"/>
          <w:bCs/>
          <w:snapToGrid w:val="0"/>
        </w:rPr>
      </w:pPr>
      <w:r w:rsidRPr="00B602F0">
        <w:rPr>
          <w:rFonts w:ascii="Arial" w:hAnsi="Arial" w:cs="Arial"/>
          <w:bCs/>
          <w:snapToGrid w:val="0"/>
        </w:rPr>
        <w:tab/>
        <w:t xml:space="preserve">En conclusión, atendido el carácter claramente regresivo del AFI, y su absoluta lejanía a los principios de la reforma educacional, que buscan garantizar el derecho a la educación de todos los jóvenes del país y orientar recursos para el fortalecimiento de una oferta educativa pertinente y de calidad en todo el territorio, el Gobierno considera necesario derogar este aporte como mecanismo de financiamiento del sistema de educación superior, y para esos efectos se ha propuesto el proyecto de ley que hoy se presenta. </w:t>
      </w:r>
    </w:p>
    <w:p w:rsidR="00B602F0" w:rsidRPr="00B602F0" w:rsidRDefault="00B602F0" w:rsidP="00B602F0">
      <w:pPr>
        <w:tabs>
          <w:tab w:val="left" w:pos="709"/>
        </w:tabs>
        <w:spacing w:before="120"/>
        <w:jc w:val="both"/>
        <w:rPr>
          <w:rFonts w:ascii="Arial" w:hAnsi="Arial" w:cs="Arial"/>
          <w:bCs/>
          <w:snapToGrid w:val="0"/>
        </w:rPr>
      </w:pPr>
      <w:r w:rsidRPr="00B602F0">
        <w:rPr>
          <w:rFonts w:ascii="Arial" w:hAnsi="Arial" w:cs="Arial"/>
          <w:bCs/>
          <w:snapToGrid w:val="0"/>
        </w:rPr>
        <w:tab/>
      </w:r>
      <w:r>
        <w:rPr>
          <w:rFonts w:ascii="Arial" w:hAnsi="Arial" w:cs="Arial"/>
          <w:bCs/>
          <w:snapToGrid w:val="0"/>
        </w:rPr>
        <w:t>E</w:t>
      </w:r>
      <w:r w:rsidRPr="00B602F0">
        <w:rPr>
          <w:rFonts w:ascii="Arial" w:hAnsi="Arial" w:cs="Arial"/>
          <w:bCs/>
          <w:snapToGrid w:val="0"/>
        </w:rPr>
        <w:t xml:space="preserve">l diputado </w:t>
      </w:r>
      <w:r w:rsidRPr="00B602F0">
        <w:rPr>
          <w:rFonts w:ascii="Arial" w:hAnsi="Arial" w:cs="Arial"/>
          <w:b/>
          <w:bCs/>
          <w:snapToGrid w:val="0"/>
        </w:rPr>
        <w:t>Jackson</w:t>
      </w:r>
      <w:r w:rsidRPr="00B602F0">
        <w:rPr>
          <w:rFonts w:ascii="Arial" w:hAnsi="Arial" w:cs="Arial"/>
          <w:bCs/>
          <w:snapToGrid w:val="0"/>
        </w:rPr>
        <w:t xml:space="preserve"> se mostró de acuerdo con </w:t>
      </w:r>
      <w:r>
        <w:rPr>
          <w:rFonts w:ascii="Arial" w:hAnsi="Arial" w:cs="Arial"/>
          <w:bCs/>
          <w:snapToGrid w:val="0"/>
        </w:rPr>
        <w:t xml:space="preserve">la </w:t>
      </w:r>
      <w:r w:rsidRPr="00B602F0">
        <w:rPr>
          <w:rFonts w:ascii="Arial" w:hAnsi="Arial" w:cs="Arial"/>
          <w:bCs/>
          <w:snapToGrid w:val="0"/>
        </w:rPr>
        <w:t>deroga</w:t>
      </w:r>
      <w:r>
        <w:rPr>
          <w:rFonts w:ascii="Arial" w:hAnsi="Arial" w:cs="Arial"/>
          <w:bCs/>
          <w:snapToGrid w:val="0"/>
        </w:rPr>
        <w:t>ción d</w:t>
      </w:r>
      <w:r w:rsidRPr="00B602F0">
        <w:rPr>
          <w:rFonts w:ascii="Arial" w:hAnsi="Arial" w:cs="Arial"/>
          <w:bCs/>
          <w:snapToGrid w:val="0"/>
        </w:rPr>
        <w:t>el AFI, sin embargo, respecto del artículo 2 del proyecto consulto cómo se arribó a la suma de $2.000 millones y cómo se distribuyen, pues es sabido que dicha disposición no tiene otro origen que la demanda de la Universidad Católica por la negligencia incurrida en la Ley de Presupuestos del año 2017.</w:t>
      </w:r>
    </w:p>
    <w:p w:rsidR="00B602F0" w:rsidRPr="00B602F0" w:rsidRDefault="00B602F0" w:rsidP="00B602F0">
      <w:pPr>
        <w:tabs>
          <w:tab w:val="left" w:pos="709"/>
        </w:tabs>
        <w:spacing w:before="120"/>
        <w:jc w:val="both"/>
        <w:rPr>
          <w:rFonts w:ascii="Arial" w:hAnsi="Arial" w:cs="Arial"/>
          <w:bCs/>
          <w:snapToGrid w:val="0"/>
        </w:rPr>
      </w:pPr>
      <w:r w:rsidRPr="00B602F0">
        <w:rPr>
          <w:rFonts w:ascii="Arial" w:hAnsi="Arial" w:cs="Arial"/>
          <w:bCs/>
          <w:snapToGrid w:val="0"/>
        </w:rPr>
        <w:tab/>
        <w:t xml:space="preserve">El diputado </w:t>
      </w:r>
      <w:proofErr w:type="spellStart"/>
      <w:r w:rsidRPr="00B602F0">
        <w:rPr>
          <w:rFonts w:ascii="Arial" w:hAnsi="Arial" w:cs="Arial"/>
          <w:bCs/>
          <w:snapToGrid w:val="0"/>
        </w:rPr>
        <w:t>Romilio</w:t>
      </w:r>
      <w:proofErr w:type="spellEnd"/>
      <w:r w:rsidRPr="00B602F0">
        <w:rPr>
          <w:rFonts w:ascii="Arial" w:hAnsi="Arial" w:cs="Arial"/>
          <w:bCs/>
          <w:snapToGrid w:val="0"/>
        </w:rPr>
        <w:t xml:space="preserve"> </w:t>
      </w:r>
      <w:r w:rsidRPr="00B602F0">
        <w:rPr>
          <w:rFonts w:ascii="Arial" w:hAnsi="Arial" w:cs="Arial"/>
          <w:b/>
          <w:bCs/>
          <w:snapToGrid w:val="0"/>
        </w:rPr>
        <w:t>Gutiérrez</w:t>
      </w:r>
      <w:r w:rsidRPr="00B602F0">
        <w:rPr>
          <w:rFonts w:ascii="Arial" w:hAnsi="Arial" w:cs="Arial"/>
          <w:bCs/>
          <w:snapToGrid w:val="0"/>
        </w:rPr>
        <w:t xml:space="preserve"> expresó que este proyecto sólo obedece a la demanda judicial de la Universidad Católica, pese a que es cierto que el AFI no es el mejor mecanismo y no se ajusta a la actual política pública. </w:t>
      </w:r>
    </w:p>
    <w:p w:rsidR="00B602F0" w:rsidRPr="00B602F0" w:rsidRDefault="00B602F0" w:rsidP="00B602F0">
      <w:pPr>
        <w:tabs>
          <w:tab w:val="left" w:pos="709"/>
        </w:tabs>
        <w:spacing w:before="120"/>
        <w:jc w:val="both"/>
        <w:rPr>
          <w:rFonts w:ascii="Arial" w:hAnsi="Arial" w:cs="Arial"/>
          <w:bCs/>
          <w:snapToGrid w:val="0"/>
        </w:rPr>
      </w:pPr>
      <w:r w:rsidRPr="00B602F0">
        <w:rPr>
          <w:rFonts w:ascii="Arial" w:hAnsi="Arial" w:cs="Arial"/>
          <w:bCs/>
          <w:snapToGrid w:val="0"/>
        </w:rPr>
        <w:tab/>
        <w:t xml:space="preserve">Pidió detalles sobre la distribución de los $2.000 millones por instituciones y monto, además, consultó si esos $2.000 millones que se dejan de percibir quedarán de libre disposición para, por ejemplo, traspasarlos a las universidades regionales que tanto lo necesitan. </w:t>
      </w:r>
    </w:p>
    <w:p w:rsidR="00A37127" w:rsidRPr="00B602F0" w:rsidRDefault="00B602F0" w:rsidP="00A37127">
      <w:pPr>
        <w:tabs>
          <w:tab w:val="left" w:pos="709"/>
        </w:tabs>
        <w:spacing w:before="120"/>
        <w:jc w:val="both"/>
        <w:rPr>
          <w:rFonts w:ascii="Arial" w:hAnsi="Arial" w:cs="Arial"/>
          <w:bCs/>
          <w:snapToGrid w:val="0"/>
        </w:rPr>
      </w:pPr>
      <w:r w:rsidRPr="00B602F0">
        <w:rPr>
          <w:rFonts w:ascii="Arial" w:hAnsi="Arial" w:cs="Arial"/>
          <w:bCs/>
          <w:snapToGrid w:val="0"/>
        </w:rPr>
        <w:tab/>
        <w:t xml:space="preserve">La diputada </w:t>
      </w:r>
      <w:r w:rsidRPr="00B602F0">
        <w:rPr>
          <w:rFonts w:ascii="Arial" w:hAnsi="Arial" w:cs="Arial"/>
          <w:b/>
          <w:bCs/>
          <w:snapToGrid w:val="0"/>
        </w:rPr>
        <w:t>Girardi</w:t>
      </w:r>
      <w:r w:rsidRPr="00B602F0">
        <w:rPr>
          <w:rFonts w:ascii="Arial" w:hAnsi="Arial" w:cs="Arial"/>
          <w:bCs/>
          <w:snapToGrid w:val="0"/>
        </w:rPr>
        <w:t xml:space="preserve"> reforzó el carácter regresivo del AFI, pese a que la institución puede repartir dichos recursos donde decida, luego cabe preguntarse cuál será el mecanismo no regresivo que propondrá el Ejecutivo y reiteró la pregunta respecto de la distribución de los $2.000 millones.</w:t>
      </w:r>
      <w:r w:rsidR="00A37127" w:rsidRPr="00A37127">
        <w:rPr>
          <w:rFonts w:ascii="Arial" w:hAnsi="Arial" w:cs="Arial"/>
          <w:bCs/>
          <w:snapToGrid w:val="0"/>
        </w:rPr>
        <w:t xml:space="preserve"> </w:t>
      </w:r>
      <w:r w:rsidR="00A37127">
        <w:rPr>
          <w:rFonts w:ascii="Arial" w:hAnsi="Arial" w:cs="Arial"/>
          <w:bCs/>
          <w:snapToGrid w:val="0"/>
        </w:rPr>
        <w:t xml:space="preserve">Asimismo, </w:t>
      </w:r>
      <w:r w:rsidR="00A37127" w:rsidRPr="00B602F0">
        <w:rPr>
          <w:rFonts w:ascii="Arial" w:hAnsi="Arial" w:cs="Arial"/>
          <w:bCs/>
          <w:snapToGrid w:val="0"/>
        </w:rPr>
        <w:t xml:space="preserve">consultó si el Ejecutivo se encuentra disponible para entregar los $2.000 millones solo a las Universidades del </w:t>
      </w:r>
      <w:proofErr w:type="spellStart"/>
      <w:r w:rsidR="00A37127" w:rsidRPr="00B602F0">
        <w:rPr>
          <w:rFonts w:ascii="Arial" w:hAnsi="Arial" w:cs="Arial"/>
          <w:bCs/>
          <w:snapToGrid w:val="0"/>
        </w:rPr>
        <w:t>Cruch</w:t>
      </w:r>
      <w:proofErr w:type="spellEnd"/>
      <w:r w:rsidR="00A37127" w:rsidRPr="00B602F0">
        <w:rPr>
          <w:rFonts w:ascii="Arial" w:hAnsi="Arial" w:cs="Arial"/>
          <w:bCs/>
          <w:snapToGrid w:val="0"/>
        </w:rPr>
        <w:t xml:space="preserve"> y mediante un mandato.</w:t>
      </w:r>
    </w:p>
    <w:p w:rsidR="00A37127" w:rsidRPr="00B602F0" w:rsidRDefault="00A37127" w:rsidP="00A37127">
      <w:pPr>
        <w:tabs>
          <w:tab w:val="left" w:pos="709"/>
        </w:tabs>
        <w:spacing w:before="120"/>
        <w:jc w:val="both"/>
        <w:rPr>
          <w:rFonts w:ascii="Arial" w:hAnsi="Arial" w:cs="Arial"/>
          <w:bCs/>
          <w:snapToGrid w:val="0"/>
        </w:rPr>
      </w:pPr>
      <w:r w:rsidRPr="00B602F0">
        <w:rPr>
          <w:rFonts w:ascii="Arial" w:hAnsi="Arial" w:cs="Arial"/>
          <w:bCs/>
          <w:snapToGrid w:val="0"/>
        </w:rPr>
        <w:tab/>
        <w:t xml:space="preserve">La diputada </w:t>
      </w:r>
      <w:r w:rsidRPr="00A37127">
        <w:rPr>
          <w:rFonts w:ascii="Arial" w:hAnsi="Arial" w:cs="Arial"/>
          <w:b/>
          <w:bCs/>
          <w:snapToGrid w:val="0"/>
        </w:rPr>
        <w:t>Vallejo</w:t>
      </w:r>
      <w:r w:rsidRPr="00B602F0">
        <w:rPr>
          <w:rFonts w:ascii="Arial" w:hAnsi="Arial" w:cs="Arial"/>
          <w:bCs/>
          <w:snapToGrid w:val="0"/>
        </w:rPr>
        <w:t xml:space="preserve"> preguntó por qué se entregan los recursos con los mismos criterios del AFI, pese a que incentiva la competencia por altos puntajes y es perverso desde el punto de vista de la discriminación. Estimó que debería dejar de ser de libre disposición para las instituciones y contar con un fin, por ejemplo, destinarse a políticas de inclusión.</w:t>
      </w:r>
    </w:p>
    <w:p w:rsidR="00B602F0" w:rsidRPr="00B602F0" w:rsidRDefault="00B602F0" w:rsidP="00B602F0">
      <w:pPr>
        <w:tabs>
          <w:tab w:val="left" w:pos="709"/>
        </w:tabs>
        <w:spacing w:before="120"/>
        <w:jc w:val="both"/>
        <w:rPr>
          <w:rFonts w:ascii="Arial" w:hAnsi="Arial" w:cs="Arial"/>
          <w:bCs/>
          <w:snapToGrid w:val="0"/>
        </w:rPr>
      </w:pPr>
      <w:r w:rsidRPr="00B602F0">
        <w:rPr>
          <w:rFonts w:ascii="Arial" w:hAnsi="Arial" w:cs="Arial"/>
          <w:bCs/>
          <w:snapToGrid w:val="0"/>
        </w:rPr>
        <w:tab/>
        <w:t xml:space="preserve">En respuesta a las consultas anteriores, la señora Alejandra </w:t>
      </w:r>
      <w:r w:rsidRPr="00A37127">
        <w:rPr>
          <w:rFonts w:ascii="Arial" w:hAnsi="Arial" w:cs="Arial"/>
          <w:b/>
          <w:bCs/>
          <w:snapToGrid w:val="0"/>
        </w:rPr>
        <w:t>Contreras</w:t>
      </w:r>
      <w:r w:rsidRPr="00B602F0">
        <w:rPr>
          <w:rFonts w:ascii="Arial" w:hAnsi="Arial" w:cs="Arial"/>
          <w:bCs/>
          <w:snapToGrid w:val="0"/>
        </w:rPr>
        <w:t xml:space="preserve"> aclaró que la derogación del AFI es una decisión de fondo adoptada hace mucho tiempo, y que efectivamente hubo una mala técnica legislativa al tratar de hacerlo a través de una Ley de Presupuestos y no a través de un proyecto específico como se hace ahora.</w:t>
      </w:r>
    </w:p>
    <w:p w:rsidR="00B602F0" w:rsidRPr="00B602F0" w:rsidRDefault="00B602F0" w:rsidP="00B602F0">
      <w:pPr>
        <w:tabs>
          <w:tab w:val="left" w:pos="709"/>
        </w:tabs>
        <w:spacing w:before="120"/>
        <w:jc w:val="both"/>
        <w:rPr>
          <w:rFonts w:ascii="Arial" w:hAnsi="Arial" w:cs="Arial"/>
          <w:bCs/>
          <w:snapToGrid w:val="0"/>
        </w:rPr>
      </w:pPr>
      <w:r w:rsidRPr="00B602F0">
        <w:rPr>
          <w:rFonts w:ascii="Arial" w:hAnsi="Arial" w:cs="Arial"/>
          <w:bCs/>
          <w:snapToGrid w:val="0"/>
        </w:rPr>
        <w:tab/>
        <w:t xml:space="preserve">Recordó que el año 2016 ya se había adoptado la decisión de reducir el AFI al 50%. Luego, el otro 50% se distribuyó entre las instituciones, así el porcentaje que correspondería a las universidades del </w:t>
      </w:r>
      <w:proofErr w:type="spellStart"/>
      <w:r w:rsidRPr="00B602F0">
        <w:rPr>
          <w:rFonts w:ascii="Arial" w:hAnsi="Arial" w:cs="Arial"/>
          <w:bCs/>
          <w:snapToGrid w:val="0"/>
        </w:rPr>
        <w:t>Cruch</w:t>
      </w:r>
      <w:proofErr w:type="spellEnd"/>
      <w:r w:rsidRPr="00B602F0">
        <w:rPr>
          <w:rFonts w:ascii="Arial" w:hAnsi="Arial" w:cs="Arial"/>
          <w:bCs/>
          <w:snapToGrid w:val="0"/>
        </w:rPr>
        <w:t xml:space="preserve"> entró al convenio marco y el que correspondía a las universidades de la Red G9, al fondo basal por desempeño.</w:t>
      </w:r>
    </w:p>
    <w:p w:rsidR="00B602F0" w:rsidRPr="00B602F0" w:rsidRDefault="00B602F0" w:rsidP="00B602F0">
      <w:pPr>
        <w:tabs>
          <w:tab w:val="left" w:pos="709"/>
        </w:tabs>
        <w:spacing w:before="120"/>
        <w:jc w:val="both"/>
        <w:rPr>
          <w:rFonts w:ascii="Arial" w:hAnsi="Arial" w:cs="Arial"/>
          <w:bCs/>
          <w:snapToGrid w:val="0"/>
        </w:rPr>
      </w:pPr>
      <w:r w:rsidRPr="00B602F0">
        <w:rPr>
          <w:rFonts w:ascii="Arial" w:hAnsi="Arial" w:cs="Arial"/>
          <w:bCs/>
          <w:snapToGrid w:val="0"/>
        </w:rPr>
        <w:tab/>
        <w:t>Luego, en el año 2017 se estimó que esos recursos eran muy altos para distribuirlos de esa forma y fueron asignados a los fondos regionales, de fortalecimiento y gratuidad.</w:t>
      </w:r>
    </w:p>
    <w:p w:rsidR="00B602F0" w:rsidRPr="00B602F0" w:rsidRDefault="00B602F0" w:rsidP="00B602F0">
      <w:pPr>
        <w:tabs>
          <w:tab w:val="left" w:pos="709"/>
        </w:tabs>
        <w:spacing w:before="120"/>
        <w:jc w:val="both"/>
        <w:rPr>
          <w:rFonts w:ascii="Arial" w:hAnsi="Arial" w:cs="Arial"/>
          <w:bCs/>
          <w:snapToGrid w:val="0"/>
        </w:rPr>
      </w:pPr>
      <w:r w:rsidRPr="00B602F0">
        <w:rPr>
          <w:rFonts w:ascii="Arial" w:hAnsi="Arial" w:cs="Arial"/>
          <w:bCs/>
          <w:snapToGrid w:val="0"/>
        </w:rPr>
        <w:tab/>
        <w:t>Aclaró que los actuales $2.000 millones se deben entender incorporados en el presupuesto global de educación 2018, porque el incremento en recursos es mayor a dicho monto.</w:t>
      </w:r>
    </w:p>
    <w:p w:rsidR="00B602F0" w:rsidRPr="00B602F0" w:rsidRDefault="00B602F0" w:rsidP="00B602F0">
      <w:pPr>
        <w:tabs>
          <w:tab w:val="left" w:pos="709"/>
        </w:tabs>
        <w:spacing w:before="120"/>
        <w:jc w:val="both"/>
        <w:rPr>
          <w:rFonts w:ascii="Arial" w:hAnsi="Arial" w:cs="Arial"/>
          <w:bCs/>
          <w:snapToGrid w:val="0"/>
        </w:rPr>
      </w:pPr>
      <w:r w:rsidRPr="00B602F0">
        <w:rPr>
          <w:rFonts w:ascii="Arial" w:hAnsi="Arial" w:cs="Arial"/>
          <w:bCs/>
          <w:snapToGrid w:val="0"/>
        </w:rPr>
        <w:tab/>
        <w:t xml:space="preserve">En cuanto a la distribución del monto aludido precedentemente, expresó que se estima que se hará en 85 instituciones, entre ellas: Universidad de Chile, con 407 millones; Universidad Católica, con 390 millones; Universidad de Concepción, con 138 millones; Universidad Federico Santa María, con 117 millones; Universidades Diego Portales, con 91 millones; Universidad Adolfo Ibáñez, con 83 millones; Universidad de Santiago, con 80 millones; Universidad de Valparaíso, con 74 millones, y Universidad de los Andes, con 72 millones, entre otras. </w:t>
      </w:r>
    </w:p>
    <w:p w:rsidR="007901EB" w:rsidRDefault="00B602F0" w:rsidP="00B602F0">
      <w:pPr>
        <w:tabs>
          <w:tab w:val="left" w:pos="709"/>
        </w:tabs>
        <w:spacing w:before="120"/>
        <w:jc w:val="both"/>
        <w:rPr>
          <w:rFonts w:ascii="Arial" w:hAnsi="Arial" w:cs="Arial"/>
          <w:bCs/>
          <w:snapToGrid w:val="0"/>
        </w:rPr>
      </w:pPr>
      <w:r w:rsidRPr="00B602F0">
        <w:rPr>
          <w:rFonts w:ascii="Arial" w:hAnsi="Arial" w:cs="Arial"/>
          <w:bCs/>
          <w:snapToGrid w:val="0"/>
        </w:rPr>
        <w:tab/>
      </w:r>
      <w:r w:rsidR="00A37127">
        <w:rPr>
          <w:rFonts w:ascii="Arial" w:hAnsi="Arial" w:cs="Arial"/>
          <w:bCs/>
          <w:snapToGrid w:val="0"/>
        </w:rPr>
        <w:t>Finalmente, explicó q</w:t>
      </w:r>
      <w:r w:rsidRPr="00B602F0">
        <w:rPr>
          <w:rFonts w:ascii="Arial" w:hAnsi="Arial" w:cs="Arial"/>
          <w:bCs/>
          <w:snapToGrid w:val="0"/>
        </w:rPr>
        <w:t>ue los $2.000 millones constituyen una suerte de cierre del AFI, inimpugnable de parte de las instituciones, que otorgue una cierta gradualidad respecto a la pérdida de esta fuente de financiamiento.</w:t>
      </w:r>
    </w:p>
    <w:p w:rsidR="00A64D19" w:rsidRPr="003A3C3B" w:rsidRDefault="00793941" w:rsidP="00A64D19">
      <w:pPr>
        <w:tabs>
          <w:tab w:val="left" w:pos="709"/>
        </w:tabs>
        <w:spacing w:before="120"/>
        <w:jc w:val="both"/>
        <w:rPr>
          <w:rFonts w:ascii="Arial" w:hAnsi="Arial" w:cs="Arial"/>
        </w:rPr>
      </w:pPr>
      <w:r w:rsidRPr="00A64D19">
        <w:rPr>
          <w:rFonts w:ascii="Arial" w:hAnsi="Arial" w:cs="Arial"/>
          <w:bCs/>
          <w:snapToGrid w:val="0"/>
        </w:rPr>
        <w:tab/>
      </w:r>
      <w:r w:rsidR="004E0A08">
        <w:rPr>
          <w:rFonts w:ascii="Arial" w:hAnsi="Arial" w:cs="Arial"/>
          <w:bCs/>
          <w:snapToGrid w:val="0"/>
        </w:rPr>
        <w:t>A continuación, l</w:t>
      </w:r>
      <w:r w:rsidRPr="00A64D19">
        <w:rPr>
          <w:rFonts w:ascii="Arial" w:hAnsi="Arial" w:cs="Arial"/>
          <w:bCs/>
          <w:snapToGrid w:val="0"/>
        </w:rPr>
        <w:t xml:space="preserve">a Comisión </w:t>
      </w:r>
      <w:r w:rsidRPr="00A64D19">
        <w:rPr>
          <w:rFonts w:ascii="Arial" w:hAnsi="Arial" w:cs="Arial"/>
          <w:b/>
          <w:bCs/>
          <w:snapToGrid w:val="0"/>
        </w:rPr>
        <w:t xml:space="preserve">aprobó </w:t>
      </w:r>
      <w:r w:rsidRPr="00A64D19">
        <w:rPr>
          <w:rFonts w:ascii="Arial" w:hAnsi="Arial" w:cs="Arial"/>
          <w:bCs/>
          <w:snapToGrid w:val="0"/>
        </w:rPr>
        <w:t>en general</w:t>
      </w:r>
      <w:r w:rsidR="008217ED" w:rsidRPr="00A64D19">
        <w:rPr>
          <w:rFonts w:ascii="Arial" w:hAnsi="Arial" w:cs="Arial"/>
          <w:bCs/>
          <w:snapToGrid w:val="0"/>
        </w:rPr>
        <w:t xml:space="preserve"> </w:t>
      </w:r>
      <w:r w:rsidRPr="00A64D19">
        <w:rPr>
          <w:rFonts w:ascii="Arial" w:hAnsi="Arial" w:cs="Arial"/>
          <w:bCs/>
          <w:snapToGrid w:val="0"/>
        </w:rPr>
        <w:t xml:space="preserve">la iniciativa, </w:t>
      </w:r>
      <w:r w:rsidRPr="00A64D19">
        <w:rPr>
          <w:rFonts w:ascii="Arial" w:hAnsi="Arial" w:cs="Arial"/>
          <w:b/>
          <w:bCs/>
          <w:snapToGrid w:val="0"/>
        </w:rPr>
        <w:t xml:space="preserve">por </w:t>
      </w:r>
      <w:r w:rsidR="00A64D19" w:rsidRPr="00A64D19">
        <w:rPr>
          <w:rFonts w:ascii="Arial" w:hAnsi="Arial" w:cs="Arial"/>
          <w:b/>
          <w:bCs/>
          <w:snapToGrid w:val="0"/>
        </w:rPr>
        <w:t xml:space="preserve">mayoría de votos. </w:t>
      </w:r>
      <w:r w:rsidR="003A3C3B" w:rsidRPr="003A3C3B">
        <w:rPr>
          <w:rFonts w:ascii="Arial" w:hAnsi="Arial" w:cs="Arial"/>
          <w:bCs/>
          <w:snapToGrid w:val="0"/>
        </w:rPr>
        <w:t xml:space="preserve">Votaron a favor los diputados </w:t>
      </w:r>
      <w:r w:rsidR="003A3C3B">
        <w:rPr>
          <w:rFonts w:ascii="Arial" w:hAnsi="Arial" w:cs="Arial"/>
          <w:bCs/>
          <w:snapToGrid w:val="0"/>
        </w:rPr>
        <w:t xml:space="preserve">Girardi, Jackson, Poblete, Robles, Vallejo y Venegas. Se abstuvieron los diputados </w:t>
      </w:r>
      <w:proofErr w:type="spellStart"/>
      <w:r w:rsidR="003A3C3B">
        <w:rPr>
          <w:rFonts w:ascii="Arial" w:hAnsi="Arial" w:cs="Arial"/>
          <w:bCs/>
          <w:snapToGrid w:val="0"/>
        </w:rPr>
        <w:t>Romilio</w:t>
      </w:r>
      <w:proofErr w:type="spellEnd"/>
      <w:r w:rsidR="003A3C3B">
        <w:rPr>
          <w:rFonts w:ascii="Arial" w:hAnsi="Arial" w:cs="Arial"/>
          <w:bCs/>
          <w:snapToGrid w:val="0"/>
        </w:rPr>
        <w:t xml:space="preserve"> Gutiérre</w:t>
      </w:r>
      <w:r w:rsidR="007901EB">
        <w:rPr>
          <w:rFonts w:ascii="Arial" w:hAnsi="Arial" w:cs="Arial"/>
          <w:bCs/>
          <w:snapToGrid w:val="0"/>
        </w:rPr>
        <w:t>z</w:t>
      </w:r>
      <w:r w:rsidR="003A3C3B">
        <w:rPr>
          <w:rFonts w:ascii="Arial" w:hAnsi="Arial" w:cs="Arial"/>
          <w:bCs/>
          <w:snapToGrid w:val="0"/>
        </w:rPr>
        <w:t xml:space="preserve"> y </w:t>
      </w:r>
      <w:proofErr w:type="spellStart"/>
      <w:r w:rsidR="003A3C3B">
        <w:rPr>
          <w:rFonts w:ascii="Arial" w:hAnsi="Arial" w:cs="Arial"/>
          <w:bCs/>
          <w:snapToGrid w:val="0"/>
        </w:rPr>
        <w:t>Hoffmann</w:t>
      </w:r>
      <w:proofErr w:type="spellEnd"/>
      <w:r w:rsidR="00CF44D5">
        <w:rPr>
          <w:rFonts w:ascii="Arial" w:hAnsi="Arial" w:cs="Arial"/>
          <w:bCs/>
          <w:snapToGrid w:val="0"/>
        </w:rPr>
        <w:t xml:space="preserve"> (6-0-2)</w:t>
      </w:r>
      <w:r w:rsidR="003A3C3B">
        <w:rPr>
          <w:rFonts w:ascii="Arial" w:hAnsi="Arial" w:cs="Arial"/>
          <w:bCs/>
          <w:snapToGrid w:val="0"/>
        </w:rPr>
        <w:t>.</w:t>
      </w:r>
    </w:p>
    <w:p w:rsidR="00F746CE" w:rsidRPr="004A494F" w:rsidRDefault="009F4242" w:rsidP="008C141B">
      <w:pPr>
        <w:pStyle w:val="Ttulo1"/>
        <w:tabs>
          <w:tab w:val="left" w:pos="709"/>
        </w:tabs>
        <w:spacing w:before="480"/>
        <w:jc w:val="both"/>
        <w:rPr>
          <w:bCs w:val="0"/>
        </w:rPr>
      </w:pPr>
      <w:bookmarkStart w:id="39" w:name="_Toc408309938"/>
      <w:bookmarkStart w:id="40" w:name="_Toc409556940"/>
      <w:bookmarkStart w:id="41" w:name="_Toc499712193"/>
      <w:r w:rsidRPr="004A494F">
        <w:rPr>
          <w:bCs w:val="0"/>
        </w:rPr>
        <w:t>V. DISCUSIÓN PARTICULAR.</w:t>
      </w:r>
      <w:bookmarkEnd w:id="39"/>
      <w:bookmarkEnd w:id="40"/>
      <w:bookmarkEnd w:id="41"/>
    </w:p>
    <w:p w:rsidR="0075770F" w:rsidRDefault="008422D0" w:rsidP="00C75930">
      <w:pPr>
        <w:tabs>
          <w:tab w:val="left" w:pos="709"/>
        </w:tabs>
        <w:spacing w:before="240"/>
        <w:jc w:val="both"/>
        <w:rPr>
          <w:rFonts w:ascii="Arial" w:hAnsi="Arial" w:cs="Arial"/>
          <w:bCs/>
          <w:snapToGrid w:val="0"/>
        </w:rPr>
      </w:pPr>
      <w:r>
        <w:rPr>
          <w:rFonts w:ascii="Arial" w:hAnsi="Arial" w:cs="Arial"/>
          <w:szCs w:val="20"/>
        </w:rPr>
        <w:tab/>
      </w:r>
      <w:r w:rsidR="004E0A08" w:rsidRPr="00A64D19">
        <w:rPr>
          <w:rFonts w:ascii="Arial" w:hAnsi="Arial" w:cs="Arial"/>
          <w:bCs/>
          <w:snapToGrid w:val="0"/>
        </w:rPr>
        <w:t>La Comisión</w:t>
      </w:r>
      <w:r w:rsidR="004E0A08">
        <w:rPr>
          <w:rFonts w:ascii="Arial" w:hAnsi="Arial" w:cs="Arial"/>
          <w:bCs/>
          <w:snapToGrid w:val="0"/>
        </w:rPr>
        <w:t xml:space="preserve"> </w:t>
      </w:r>
      <w:r w:rsidR="0075770F">
        <w:rPr>
          <w:rFonts w:ascii="Arial" w:hAnsi="Arial" w:cs="Arial"/>
          <w:bCs/>
          <w:snapToGrid w:val="0"/>
        </w:rPr>
        <w:t>votó el proyecto en particular de la siguiente forma:</w:t>
      </w:r>
    </w:p>
    <w:p w:rsidR="00174B4E" w:rsidRPr="00174B4E" w:rsidRDefault="00174B4E" w:rsidP="00174B4E">
      <w:pPr>
        <w:tabs>
          <w:tab w:val="left" w:pos="709"/>
        </w:tabs>
        <w:spacing w:before="240"/>
        <w:jc w:val="center"/>
        <w:rPr>
          <w:rFonts w:ascii="Arial" w:hAnsi="Arial" w:cs="Arial"/>
          <w:b/>
          <w:bCs/>
          <w:snapToGrid w:val="0"/>
        </w:rPr>
      </w:pPr>
      <w:r w:rsidRPr="00174B4E">
        <w:rPr>
          <w:rFonts w:ascii="Arial" w:hAnsi="Arial" w:cs="Arial"/>
          <w:b/>
          <w:bCs/>
          <w:snapToGrid w:val="0"/>
        </w:rPr>
        <w:t>Artículo 1</w:t>
      </w:r>
    </w:p>
    <w:p w:rsidR="001A62A7" w:rsidRDefault="00174B4E" w:rsidP="00174B4E">
      <w:pPr>
        <w:tabs>
          <w:tab w:val="left" w:pos="709"/>
        </w:tabs>
        <w:spacing w:before="120"/>
        <w:jc w:val="both"/>
        <w:rPr>
          <w:rFonts w:ascii="Arial" w:hAnsi="Arial" w:cs="Arial"/>
          <w:bCs/>
          <w:snapToGrid w:val="0"/>
        </w:rPr>
      </w:pPr>
      <w:r w:rsidRPr="00A64D19">
        <w:rPr>
          <w:rFonts w:ascii="Arial" w:hAnsi="Arial" w:cs="Arial"/>
          <w:bCs/>
          <w:snapToGrid w:val="0"/>
        </w:rPr>
        <w:tab/>
      </w:r>
      <w:r w:rsidR="001A62A7">
        <w:rPr>
          <w:rFonts w:ascii="Arial" w:hAnsi="Arial" w:cs="Arial"/>
          <w:bCs/>
          <w:snapToGrid w:val="0"/>
        </w:rPr>
        <w:t>D</w:t>
      </w:r>
      <w:r w:rsidR="001A62A7" w:rsidRPr="001A62A7">
        <w:rPr>
          <w:rFonts w:ascii="Arial" w:hAnsi="Arial" w:cs="Arial"/>
          <w:bCs/>
          <w:snapToGrid w:val="0"/>
        </w:rPr>
        <w:t>eroga, a partir de la entrada en vigencia de la ley, el aporte fiscal indirecto</w:t>
      </w:r>
      <w:r w:rsidR="001A62A7">
        <w:rPr>
          <w:rFonts w:ascii="Arial" w:hAnsi="Arial" w:cs="Arial"/>
          <w:bCs/>
          <w:snapToGrid w:val="0"/>
        </w:rPr>
        <w:t>.</w:t>
      </w:r>
    </w:p>
    <w:p w:rsidR="00174B4E" w:rsidRDefault="001A62A7" w:rsidP="00174B4E">
      <w:pPr>
        <w:tabs>
          <w:tab w:val="left" w:pos="709"/>
        </w:tabs>
        <w:spacing w:before="120"/>
        <w:jc w:val="both"/>
        <w:rPr>
          <w:rFonts w:ascii="Arial" w:hAnsi="Arial" w:cs="Arial"/>
          <w:bCs/>
          <w:snapToGrid w:val="0"/>
        </w:rPr>
      </w:pPr>
      <w:r>
        <w:rPr>
          <w:rFonts w:ascii="Arial" w:hAnsi="Arial" w:cs="Arial"/>
          <w:bCs/>
          <w:snapToGrid w:val="0"/>
        </w:rPr>
        <w:tab/>
      </w:r>
      <w:r w:rsidR="00174B4E">
        <w:rPr>
          <w:rFonts w:ascii="Arial" w:hAnsi="Arial" w:cs="Arial"/>
          <w:bCs/>
          <w:snapToGrid w:val="0"/>
        </w:rPr>
        <w:t>Puesto en votación, resultó</w:t>
      </w:r>
      <w:r w:rsidR="00174B4E" w:rsidRPr="00A64D19">
        <w:rPr>
          <w:rFonts w:ascii="Arial" w:hAnsi="Arial" w:cs="Arial"/>
          <w:bCs/>
          <w:snapToGrid w:val="0"/>
        </w:rPr>
        <w:t xml:space="preserve"> </w:t>
      </w:r>
      <w:r w:rsidR="00174B4E" w:rsidRPr="00A64D19">
        <w:rPr>
          <w:rFonts w:ascii="Arial" w:hAnsi="Arial" w:cs="Arial"/>
          <w:b/>
          <w:bCs/>
          <w:snapToGrid w:val="0"/>
        </w:rPr>
        <w:t>aprob</w:t>
      </w:r>
      <w:r w:rsidR="00174B4E">
        <w:rPr>
          <w:rFonts w:ascii="Arial" w:hAnsi="Arial" w:cs="Arial"/>
          <w:b/>
          <w:bCs/>
          <w:snapToGrid w:val="0"/>
        </w:rPr>
        <w:t>ado</w:t>
      </w:r>
      <w:r w:rsidR="00174B4E" w:rsidRPr="00A64D19">
        <w:rPr>
          <w:rFonts w:ascii="Arial" w:hAnsi="Arial" w:cs="Arial"/>
          <w:bCs/>
          <w:snapToGrid w:val="0"/>
        </w:rPr>
        <w:t xml:space="preserve"> </w:t>
      </w:r>
      <w:r w:rsidR="00174B4E" w:rsidRPr="00A64D19">
        <w:rPr>
          <w:rFonts w:ascii="Arial" w:hAnsi="Arial" w:cs="Arial"/>
          <w:b/>
          <w:bCs/>
          <w:snapToGrid w:val="0"/>
        </w:rPr>
        <w:t xml:space="preserve">por mayoría de votos. </w:t>
      </w:r>
      <w:r w:rsidR="00174B4E" w:rsidRPr="003A3C3B">
        <w:rPr>
          <w:rFonts w:ascii="Arial" w:hAnsi="Arial" w:cs="Arial"/>
          <w:bCs/>
          <w:snapToGrid w:val="0"/>
        </w:rPr>
        <w:t xml:space="preserve">Votaron a favor los diputados </w:t>
      </w:r>
      <w:r w:rsidR="00174B4E">
        <w:rPr>
          <w:rFonts w:ascii="Arial" w:hAnsi="Arial" w:cs="Arial"/>
          <w:bCs/>
          <w:snapToGrid w:val="0"/>
        </w:rPr>
        <w:t xml:space="preserve">Girardi, Jackson, Poblete, Robles, Vallejo y Venegas. Se abstuvieron los diputados </w:t>
      </w:r>
      <w:proofErr w:type="spellStart"/>
      <w:r w:rsidR="00174B4E">
        <w:rPr>
          <w:rFonts w:ascii="Arial" w:hAnsi="Arial" w:cs="Arial"/>
          <w:bCs/>
          <w:snapToGrid w:val="0"/>
        </w:rPr>
        <w:t>Romilio</w:t>
      </w:r>
      <w:proofErr w:type="spellEnd"/>
      <w:r w:rsidR="00174B4E">
        <w:rPr>
          <w:rFonts w:ascii="Arial" w:hAnsi="Arial" w:cs="Arial"/>
          <w:bCs/>
          <w:snapToGrid w:val="0"/>
        </w:rPr>
        <w:t xml:space="preserve"> Gutiérrez y </w:t>
      </w:r>
      <w:proofErr w:type="spellStart"/>
      <w:r w:rsidR="00174B4E">
        <w:rPr>
          <w:rFonts w:ascii="Arial" w:hAnsi="Arial" w:cs="Arial"/>
          <w:bCs/>
          <w:snapToGrid w:val="0"/>
        </w:rPr>
        <w:t>Hoffmann</w:t>
      </w:r>
      <w:proofErr w:type="spellEnd"/>
      <w:r w:rsidR="00174B4E">
        <w:rPr>
          <w:rFonts w:ascii="Arial" w:hAnsi="Arial" w:cs="Arial"/>
          <w:bCs/>
          <w:snapToGrid w:val="0"/>
        </w:rPr>
        <w:t xml:space="preserve"> (6-0-2).</w:t>
      </w:r>
    </w:p>
    <w:p w:rsidR="00174B4E" w:rsidRPr="00174B4E" w:rsidRDefault="00174B4E" w:rsidP="00174B4E">
      <w:pPr>
        <w:tabs>
          <w:tab w:val="left" w:pos="709"/>
        </w:tabs>
        <w:spacing w:before="240"/>
        <w:jc w:val="center"/>
        <w:rPr>
          <w:rFonts w:ascii="Arial" w:hAnsi="Arial" w:cs="Arial"/>
          <w:b/>
          <w:bCs/>
          <w:snapToGrid w:val="0"/>
        </w:rPr>
      </w:pPr>
      <w:r w:rsidRPr="00174B4E">
        <w:rPr>
          <w:rFonts w:ascii="Arial" w:hAnsi="Arial" w:cs="Arial"/>
          <w:b/>
          <w:bCs/>
          <w:snapToGrid w:val="0"/>
        </w:rPr>
        <w:t xml:space="preserve">Artículo </w:t>
      </w:r>
      <w:r>
        <w:rPr>
          <w:rFonts w:ascii="Arial" w:hAnsi="Arial" w:cs="Arial"/>
          <w:b/>
          <w:bCs/>
          <w:snapToGrid w:val="0"/>
        </w:rPr>
        <w:t>2</w:t>
      </w:r>
    </w:p>
    <w:p w:rsidR="001A62A7" w:rsidRDefault="001A62A7" w:rsidP="00174B4E">
      <w:pPr>
        <w:tabs>
          <w:tab w:val="left" w:pos="709"/>
        </w:tabs>
        <w:spacing w:before="120"/>
        <w:jc w:val="both"/>
        <w:rPr>
          <w:rFonts w:ascii="Arial" w:hAnsi="Arial" w:cs="Arial"/>
          <w:bCs/>
          <w:snapToGrid w:val="0"/>
        </w:rPr>
      </w:pPr>
      <w:r>
        <w:rPr>
          <w:rFonts w:ascii="Arial" w:hAnsi="Arial" w:cs="Arial"/>
          <w:bCs/>
          <w:snapToGrid w:val="0"/>
        </w:rPr>
        <w:tab/>
      </w:r>
      <w:r w:rsidR="007A50BE">
        <w:rPr>
          <w:rFonts w:ascii="Arial" w:hAnsi="Arial" w:cs="Arial"/>
          <w:bCs/>
          <w:snapToGrid w:val="0"/>
        </w:rPr>
        <w:t>Establece la</w:t>
      </w:r>
      <w:r w:rsidRPr="001A62A7">
        <w:rPr>
          <w:rFonts w:ascii="Arial" w:hAnsi="Arial" w:cs="Arial"/>
          <w:bCs/>
          <w:snapToGrid w:val="0"/>
        </w:rPr>
        <w:t xml:space="preserve"> suma de $2.000 millones, por concepto de </w:t>
      </w:r>
      <w:r w:rsidR="007A50BE">
        <w:rPr>
          <w:rFonts w:ascii="Arial" w:hAnsi="Arial" w:cs="Arial"/>
          <w:bCs/>
          <w:snapToGrid w:val="0"/>
        </w:rPr>
        <w:t>AFI</w:t>
      </w:r>
      <w:r w:rsidRPr="001A62A7">
        <w:rPr>
          <w:rFonts w:ascii="Arial" w:hAnsi="Arial" w:cs="Arial"/>
          <w:bCs/>
          <w:snapToGrid w:val="0"/>
        </w:rPr>
        <w:t xml:space="preserve"> al que podrán acceder las instituciones de educación superior que el año 2016 hayan matriculados en el primer año de estudios, a estudiantes que se encuentren entre los primeros 27.500 puntajes, en la P</w:t>
      </w:r>
      <w:r w:rsidR="007A50BE">
        <w:rPr>
          <w:rFonts w:ascii="Arial" w:hAnsi="Arial" w:cs="Arial"/>
          <w:bCs/>
          <w:snapToGrid w:val="0"/>
        </w:rPr>
        <w:t>SU</w:t>
      </w:r>
      <w:r w:rsidRPr="001A62A7">
        <w:rPr>
          <w:rFonts w:ascii="Arial" w:hAnsi="Arial" w:cs="Arial"/>
          <w:bCs/>
          <w:snapToGrid w:val="0"/>
        </w:rPr>
        <w:t>.</w:t>
      </w:r>
    </w:p>
    <w:p w:rsidR="00174B4E" w:rsidRPr="003A3C3B" w:rsidRDefault="00174B4E" w:rsidP="00174B4E">
      <w:pPr>
        <w:tabs>
          <w:tab w:val="left" w:pos="709"/>
        </w:tabs>
        <w:spacing w:before="120"/>
        <w:jc w:val="both"/>
        <w:rPr>
          <w:rFonts w:ascii="Arial" w:hAnsi="Arial" w:cs="Arial"/>
        </w:rPr>
      </w:pPr>
      <w:r w:rsidRPr="00A64D19">
        <w:rPr>
          <w:rFonts w:ascii="Arial" w:hAnsi="Arial" w:cs="Arial"/>
          <w:bCs/>
          <w:snapToGrid w:val="0"/>
        </w:rPr>
        <w:tab/>
      </w:r>
      <w:r>
        <w:rPr>
          <w:rFonts w:ascii="Arial" w:hAnsi="Arial" w:cs="Arial"/>
          <w:bCs/>
          <w:snapToGrid w:val="0"/>
        </w:rPr>
        <w:t>Puesto en votación, resultó</w:t>
      </w:r>
      <w:r w:rsidRPr="00A64D19">
        <w:rPr>
          <w:rFonts w:ascii="Arial" w:hAnsi="Arial" w:cs="Arial"/>
          <w:bCs/>
          <w:snapToGrid w:val="0"/>
        </w:rPr>
        <w:t xml:space="preserve"> </w:t>
      </w:r>
      <w:r w:rsidRPr="00A64D19">
        <w:rPr>
          <w:rFonts w:ascii="Arial" w:hAnsi="Arial" w:cs="Arial"/>
          <w:b/>
          <w:bCs/>
          <w:snapToGrid w:val="0"/>
        </w:rPr>
        <w:t>aprob</w:t>
      </w:r>
      <w:r>
        <w:rPr>
          <w:rFonts w:ascii="Arial" w:hAnsi="Arial" w:cs="Arial"/>
          <w:b/>
          <w:bCs/>
          <w:snapToGrid w:val="0"/>
        </w:rPr>
        <w:t>ado</w:t>
      </w:r>
      <w:r w:rsidRPr="00A64D19">
        <w:rPr>
          <w:rFonts w:ascii="Arial" w:hAnsi="Arial" w:cs="Arial"/>
          <w:bCs/>
          <w:snapToGrid w:val="0"/>
        </w:rPr>
        <w:t xml:space="preserve"> </w:t>
      </w:r>
      <w:r w:rsidRPr="00A64D19">
        <w:rPr>
          <w:rFonts w:ascii="Arial" w:hAnsi="Arial" w:cs="Arial"/>
          <w:b/>
          <w:bCs/>
          <w:snapToGrid w:val="0"/>
        </w:rPr>
        <w:t xml:space="preserve">por mayoría de votos. </w:t>
      </w:r>
      <w:r w:rsidRPr="003A3C3B">
        <w:rPr>
          <w:rFonts w:ascii="Arial" w:hAnsi="Arial" w:cs="Arial"/>
          <w:bCs/>
          <w:snapToGrid w:val="0"/>
        </w:rPr>
        <w:t xml:space="preserve">Votaron a favor los diputados </w:t>
      </w:r>
      <w:r>
        <w:rPr>
          <w:rFonts w:ascii="Arial" w:hAnsi="Arial" w:cs="Arial"/>
          <w:bCs/>
          <w:snapToGrid w:val="0"/>
        </w:rPr>
        <w:t xml:space="preserve">Jackson, Poblete, Robles, Vallejo y Venegas. Se abstuvieron los diputados </w:t>
      </w:r>
      <w:proofErr w:type="spellStart"/>
      <w:r>
        <w:rPr>
          <w:rFonts w:ascii="Arial" w:hAnsi="Arial" w:cs="Arial"/>
          <w:bCs/>
          <w:snapToGrid w:val="0"/>
        </w:rPr>
        <w:t>Girardi</w:t>
      </w:r>
      <w:proofErr w:type="spellEnd"/>
      <w:r>
        <w:rPr>
          <w:rFonts w:ascii="Arial" w:hAnsi="Arial" w:cs="Arial"/>
          <w:bCs/>
          <w:snapToGrid w:val="0"/>
        </w:rPr>
        <w:t xml:space="preserve">, </w:t>
      </w:r>
      <w:proofErr w:type="spellStart"/>
      <w:r>
        <w:rPr>
          <w:rFonts w:ascii="Arial" w:hAnsi="Arial" w:cs="Arial"/>
          <w:bCs/>
          <w:snapToGrid w:val="0"/>
        </w:rPr>
        <w:t>Romilio</w:t>
      </w:r>
      <w:proofErr w:type="spellEnd"/>
      <w:r>
        <w:rPr>
          <w:rFonts w:ascii="Arial" w:hAnsi="Arial" w:cs="Arial"/>
          <w:bCs/>
          <w:snapToGrid w:val="0"/>
        </w:rPr>
        <w:t xml:space="preserve"> Gutiérrez y </w:t>
      </w:r>
      <w:proofErr w:type="spellStart"/>
      <w:r>
        <w:rPr>
          <w:rFonts w:ascii="Arial" w:hAnsi="Arial" w:cs="Arial"/>
          <w:bCs/>
          <w:snapToGrid w:val="0"/>
        </w:rPr>
        <w:t>Hoffmann</w:t>
      </w:r>
      <w:proofErr w:type="spellEnd"/>
      <w:r>
        <w:rPr>
          <w:rFonts w:ascii="Arial" w:hAnsi="Arial" w:cs="Arial"/>
          <w:bCs/>
          <w:snapToGrid w:val="0"/>
        </w:rPr>
        <w:t xml:space="preserve"> (5-0-3).</w:t>
      </w:r>
    </w:p>
    <w:p w:rsidR="00174B4E" w:rsidRPr="00174B4E" w:rsidRDefault="00174B4E" w:rsidP="00174B4E">
      <w:pPr>
        <w:tabs>
          <w:tab w:val="left" w:pos="709"/>
        </w:tabs>
        <w:spacing w:before="240"/>
        <w:jc w:val="center"/>
        <w:rPr>
          <w:rFonts w:ascii="Arial" w:hAnsi="Arial" w:cs="Arial"/>
          <w:b/>
          <w:bCs/>
          <w:snapToGrid w:val="0"/>
        </w:rPr>
      </w:pPr>
      <w:r w:rsidRPr="00174B4E">
        <w:rPr>
          <w:rFonts w:ascii="Arial" w:hAnsi="Arial" w:cs="Arial"/>
          <w:b/>
          <w:bCs/>
          <w:snapToGrid w:val="0"/>
        </w:rPr>
        <w:t xml:space="preserve">Artículo </w:t>
      </w:r>
      <w:r>
        <w:rPr>
          <w:rFonts w:ascii="Arial" w:hAnsi="Arial" w:cs="Arial"/>
          <w:b/>
          <w:bCs/>
          <w:snapToGrid w:val="0"/>
        </w:rPr>
        <w:t>3</w:t>
      </w:r>
    </w:p>
    <w:p w:rsidR="001A62A7" w:rsidRDefault="001A62A7" w:rsidP="00174B4E">
      <w:pPr>
        <w:tabs>
          <w:tab w:val="left" w:pos="709"/>
        </w:tabs>
        <w:spacing w:before="120"/>
        <w:jc w:val="both"/>
        <w:rPr>
          <w:rFonts w:ascii="Arial" w:hAnsi="Arial" w:cs="Arial"/>
          <w:bCs/>
          <w:snapToGrid w:val="0"/>
        </w:rPr>
      </w:pPr>
      <w:r>
        <w:rPr>
          <w:rFonts w:ascii="Arial" w:hAnsi="Arial" w:cs="Arial"/>
          <w:bCs/>
          <w:snapToGrid w:val="0"/>
        </w:rPr>
        <w:tab/>
        <w:t>E</w:t>
      </w:r>
      <w:r w:rsidRPr="001A62A7">
        <w:rPr>
          <w:rFonts w:ascii="Arial" w:hAnsi="Arial" w:cs="Arial"/>
          <w:bCs/>
          <w:snapToGrid w:val="0"/>
        </w:rPr>
        <w:t>stablece que el mayor gasto que irrogue esta ley se financiará con cargo a la asignación 104 “Provisión para Financiamiento Comprometido” del Programa 03 Operaciones Complementarias de la Partida Tesoro Público</w:t>
      </w:r>
      <w:r>
        <w:rPr>
          <w:rFonts w:ascii="Arial" w:hAnsi="Arial" w:cs="Arial"/>
          <w:bCs/>
          <w:snapToGrid w:val="0"/>
        </w:rPr>
        <w:t>.</w:t>
      </w:r>
    </w:p>
    <w:p w:rsidR="00174B4E" w:rsidRPr="003A3C3B" w:rsidRDefault="001A62A7" w:rsidP="00174B4E">
      <w:pPr>
        <w:tabs>
          <w:tab w:val="left" w:pos="709"/>
        </w:tabs>
        <w:spacing w:before="120"/>
        <w:jc w:val="both"/>
        <w:rPr>
          <w:rFonts w:ascii="Arial" w:hAnsi="Arial" w:cs="Arial"/>
        </w:rPr>
      </w:pPr>
      <w:r>
        <w:rPr>
          <w:rFonts w:ascii="Arial" w:hAnsi="Arial" w:cs="Arial"/>
          <w:bCs/>
          <w:snapToGrid w:val="0"/>
        </w:rPr>
        <w:tab/>
      </w:r>
      <w:r w:rsidR="00174B4E">
        <w:rPr>
          <w:rFonts w:ascii="Arial" w:hAnsi="Arial" w:cs="Arial"/>
          <w:bCs/>
          <w:snapToGrid w:val="0"/>
        </w:rPr>
        <w:t>Puesto en votación, resultó</w:t>
      </w:r>
      <w:r w:rsidR="00174B4E" w:rsidRPr="00A64D19">
        <w:rPr>
          <w:rFonts w:ascii="Arial" w:hAnsi="Arial" w:cs="Arial"/>
          <w:bCs/>
          <w:snapToGrid w:val="0"/>
        </w:rPr>
        <w:t xml:space="preserve"> </w:t>
      </w:r>
      <w:r w:rsidR="00174B4E" w:rsidRPr="00A64D19">
        <w:rPr>
          <w:rFonts w:ascii="Arial" w:hAnsi="Arial" w:cs="Arial"/>
          <w:b/>
          <w:bCs/>
          <w:snapToGrid w:val="0"/>
        </w:rPr>
        <w:t>aprob</w:t>
      </w:r>
      <w:r w:rsidR="00174B4E">
        <w:rPr>
          <w:rFonts w:ascii="Arial" w:hAnsi="Arial" w:cs="Arial"/>
          <w:b/>
          <w:bCs/>
          <w:snapToGrid w:val="0"/>
        </w:rPr>
        <w:t>ado</w:t>
      </w:r>
      <w:r w:rsidR="00174B4E" w:rsidRPr="00A64D19">
        <w:rPr>
          <w:rFonts w:ascii="Arial" w:hAnsi="Arial" w:cs="Arial"/>
          <w:bCs/>
          <w:snapToGrid w:val="0"/>
        </w:rPr>
        <w:t xml:space="preserve"> </w:t>
      </w:r>
      <w:r w:rsidR="00174B4E" w:rsidRPr="00A64D19">
        <w:rPr>
          <w:rFonts w:ascii="Arial" w:hAnsi="Arial" w:cs="Arial"/>
          <w:b/>
          <w:bCs/>
          <w:snapToGrid w:val="0"/>
        </w:rPr>
        <w:t xml:space="preserve">por mayoría de votos. </w:t>
      </w:r>
      <w:r w:rsidR="00174B4E" w:rsidRPr="003A3C3B">
        <w:rPr>
          <w:rFonts w:ascii="Arial" w:hAnsi="Arial" w:cs="Arial"/>
          <w:bCs/>
          <w:snapToGrid w:val="0"/>
        </w:rPr>
        <w:t xml:space="preserve">Votaron a favor los diputados </w:t>
      </w:r>
      <w:r w:rsidR="00174B4E">
        <w:rPr>
          <w:rFonts w:ascii="Arial" w:hAnsi="Arial" w:cs="Arial"/>
          <w:bCs/>
          <w:snapToGrid w:val="0"/>
        </w:rPr>
        <w:t xml:space="preserve">Girardi, Jackson, Poblete, Robles, Vallejo y Venegas. Se abstuvieron los diputados </w:t>
      </w:r>
      <w:proofErr w:type="spellStart"/>
      <w:r w:rsidR="00174B4E">
        <w:rPr>
          <w:rFonts w:ascii="Arial" w:hAnsi="Arial" w:cs="Arial"/>
          <w:bCs/>
          <w:snapToGrid w:val="0"/>
        </w:rPr>
        <w:t>Romilio</w:t>
      </w:r>
      <w:proofErr w:type="spellEnd"/>
      <w:r w:rsidR="00174B4E">
        <w:rPr>
          <w:rFonts w:ascii="Arial" w:hAnsi="Arial" w:cs="Arial"/>
          <w:bCs/>
          <w:snapToGrid w:val="0"/>
        </w:rPr>
        <w:t xml:space="preserve"> Gutiérrez y </w:t>
      </w:r>
      <w:proofErr w:type="spellStart"/>
      <w:r w:rsidR="00174B4E">
        <w:rPr>
          <w:rFonts w:ascii="Arial" w:hAnsi="Arial" w:cs="Arial"/>
          <w:bCs/>
          <w:snapToGrid w:val="0"/>
        </w:rPr>
        <w:t>Hoffmann</w:t>
      </w:r>
      <w:proofErr w:type="spellEnd"/>
      <w:r w:rsidR="00174B4E">
        <w:rPr>
          <w:rFonts w:ascii="Arial" w:hAnsi="Arial" w:cs="Arial"/>
          <w:bCs/>
          <w:snapToGrid w:val="0"/>
        </w:rPr>
        <w:t xml:space="preserve"> (6-0-2).</w:t>
      </w:r>
    </w:p>
    <w:p w:rsidR="00F746CE" w:rsidRPr="0079366F" w:rsidRDefault="003507F5" w:rsidP="008C141B">
      <w:pPr>
        <w:pStyle w:val="Ttulo1"/>
        <w:tabs>
          <w:tab w:val="left" w:pos="709"/>
        </w:tabs>
        <w:spacing w:before="480"/>
        <w:jc w:val="both"/>
        <w:rPr>
          <w:bCs w:val="0"/>
        </w:rPr>
      </w:pPr>
      <w:bookmarkStart w:id="42" w:name="_Toc408309939"/>
      <w:bookmarkStart w:id="43" w:name="_Toc409556941"/>
      <w:bookmarkStart w:id="44" w:name="_Toc499712194"/>
      <w:r w:rsidRPr="00E03953">
        <w:rPr>
          <w:bCs w:val="0"/>
        </w:rPr>
        <w:t>V</w:t>
      </w:r>
      <w:r w:rsidR="004A494F">
        <w:rPr>
          <w:bCs w:val="0"/>
        </w:rPr>
        <w:t>I</w:t>
      </w:r>
      <w:r w:rsidR="00F746CE" w:rsidRPr="00E03953">
        <w:rPr>
          <w:bCs w:val="0"/>
        </w:rPr>
        <w:t xml:space="preserve">. </w:t>
      </w:r>
      <w:r w:rsidR="00F746CE" w:rsidRPr="0079366F">
        <w:rPr>
          <w:bCs w:val="0"/>
        </w:rPr>
        <w:t xml:space="preserve">ARTÍCULOS E INDICACIONES RECHAZADAS POR </w:t>
      </w:r>
      <w:smartTag w:uri="urn:schemas-microsoft-com:office:smarttags" w:element="PersonName">
        <w:smartTagPr>
          <w:attr w:name="ProductID" w:val="la Comisi￳n."/>
        </w:smartTagPr>
        <w:r w:rsidR="00F746CE" w:rsidRPr="0079366F">
          <w:rPr>
            <w:bCs w:val="0"/>
          </w:rPr>
          <w:t>LA COMISIÓN.</w:t>
        </w:r>
      </w:smartTag>
      <w:bookmarkEnd w:id="42"/>
      <w:bookmarkEnd w:id="43"/>
      <w:bookmarkEnd w:id="44"/>
    </w:p>
    <w:p w:rsidR="00A64D19" w:rsidRDefault="00A02DAC" w:rsidP="008C141B">
      <w:pPr>
        <w:tabs>
          <w:tab w:val="left" w:pos="709"/>
        </w:tabs>
        <w:spacing w:before="240"/>
        <w:jc w:val="both"/>
        <w:rPr>
          <w:rFonts w:ascii="Arial" w:hAnsi="Arial" w:cs="Arial"/>
          <w:snapToGrid w:val="0"/>
        </w:rPr>
      </w:pPr>
      <w:r>
        <w:rPr>
          <w:rFonts w:ascii="Arial" w:hAnsi="Arial" w:cs="Arial"/>
          <w:snapToGrid w:val="0"/>
        </w:rPr>
        <w:tab/>
      </w:r>
      <w:r w:rsidR="00A64D19">
        <w:rPr>
          <w:rFonts w:ascii="Arial" w:hAnsi="Arial" w:cs="Arial"/>
          <w:snapToGrid w:val="0"/>
        </w:rPr>
        <w:t xml:space="preserve">No hubo artículos ni indicaciones </w:t>
      </w:r>
      <w:r w:rsidR="008A0F9D">
        <w:rPr>
          <w:rFonts w:ascii="Arial" w:hAnsi="Arial" w:cs="Arial"/>
          <w:snapToGrid w:val="0"/>
        </w:rPr>
        <w:t>rechaz</w:t>
      </w:r>
      <w:r w:rsidR="00A64D19">
        <w:rPr>
          <w:rFonts w:ascii="Arial" w:hAnsi="Arial" w:cs="Arial"/>
          <w:snapToGrid w:val="0"/>
        </w:rPr>
        <w:t>adas por la Comisión.</w:t>
      </w:r>
    </w:p>
    <w:p w:rsidR="00E439F6" w:rsidRPr="00E439F6" w:rsidRDefault="00E439F6" w:rsidP="008C141B">
      <w:pPr>
        <w:pStyle w:val="Ttulo1"/>
        <w:tabs>
          <w:tab w:val="left" w:pos="709"/>
        </w:tabs>
        <w:spacing w:before="480"/>
        <w:jc w:val="both"/>
        <w:rPr>
          <w:snapToGrid w:val="0"/>
        </w:rPr>
      </w:pPr>
      <w:bookmarkStart w:id="45" w:name="_Toc409556942"/>
      <w:bookmarkStart w:id="46" w:name="_Toc499712195"/>
      <w:bookmarkStart w:id="47" w:name="_Toc408309940"/>
      <w:r w:rsidRPr="00E03953">
        <w:rPr>
          <w:bCs w:val="0"/>
        </w:rPr>
        <w:t>VI</w:t>
      </w:r>
      <w:r>
        <w:rPr>
          <w:bCs w:val="0"/>
        </w:rPr>
        <w:t>I</w:t>
      </w:r>
      <w:r w:rsidRPr="00E03953">
        <w:rPr>
          <w:bCs w:val="0"/>
        </w:rPr>
        <w:t xml:space="preserve">. </w:t>
      </w:r>
      <w:r w:rsidRPr="00E439F6">
        <w:rPr>
          <w:snapToGrid w:val="0"/>
        </w:rPr>
        <w:t xml:space="preserve">INDICACIONES </w:t>
      </w:r>
      <w:r>
        <w:rPr>
          <w:snapToGrid w:val="0"/>
        </w:rPr>
        <w:t xml:space="preserve">DECLARADAS </w:t>
      </w:r>
      <w:r w:rsidRPr="00E439F6">
        <w:rPr>
          <w:snapToGrid w:val="0"/>
        </w:rPr>
        <w:t>INADMISIBLES.</w:t>
      </w:r>
      <w:bookmarkEnd w:id="45"/>
      <w:bookmarkEnd w:id="46"/>
    </w:p>
    <w:p w:rsidR="00AB4814" w:rsidRDefault="003A03CB" w:rsidP="008C141B">
      <w:pPr>
        <w:tabs>
          <w:tab w:val="left" w:pos="709"/>
        </w:tabs>
        <w:spacing w:before="120"/>
        <w:jc w:val="both"/>
        <w:rPr>
          <w:rFonts w:ascii="Arial" w:hAnsi="Arial" w:cs="Arial"/>
          <w:snapToGrid w:val="0"/>
        </w:rPr>
      </w:pPr>
      <w:r w:rsidRPr="00AB6C1A">
        <w:rPr>
          <w:rFonts w:ascii="Arial" w:hAnsi="Arial" w:cs="Arial"/>
          <w:snapToGrid w:val="0"/>
        </w:rPr>
        <w:tab/>
      </w:r>
      <w:r w:rsidR="00A64D19">
        <w:rPr>
          <w:rFonts w:ascii="Arial" w:hAnsi="Arial" w:cs="Arial"/>
          <w:snapToGrid w:val="0"/>
        </w:rPr>
        <w:t>No se presentaron indicaciones al proyecto.</w:t>
      </w:r>
    </w:p>
    <w:p w:rsidR="00F746CE" w:rsidRPr="0079366F" w:rsidRDefault="00E439F6" w:rsidP="008C141B">
      <w:pPr>
        <w:pStyle w:val="Ttulo1"/>
        <w:tabs>
          <w:tab w:val="left" w:pos="709"/>
        </w:tabs>
        <w:spacing w:before="480"/>
        <w:jc w:val="both"/>
        <w:rPr>
          <w:bCs w:val="0"/>
        </w:rPr>
      </w:pPr>
      <w:bookmarkStart w:id="48" w:name="_Toc409556943"/>
      <w:bookmarkStart w:id="49" w:name="_Toc499712196"/>
      <w:r>
        <w:rPr>
          <w:bCs w:val="0"/>
        </w:rPr>
        <w:t xml:space="preserve">VIII. </w:t>
      </w:r>
      <w:r w:rsidR="00F746CE" w:rsidRPr="0079366F">
        <w:rPr>
          <w:bCs w:val="0"/>
        </w:rPr>
        <w:t xml:space="preserve">MENCIÓN DE ADICIONES Y ENMIENDAS QUE </w:t>
      </w:r>
      <w:smartTag w:uri="urn:schemas-microsoft-com:office:smarttags" w:element="PersonName">
        <w:smartTagPr>
          <w:attr w:name="ProductID" w:val="LA COMISIￓN APROBￓ EN"/>
        </w:smartTagPr>
        <w:smartTag w:uri="urn:schemas-microsoft-com:office:smarttags" w:element="PersonName">
          <w:smartTagPr>
            <w:attr w:name="ProductID" w:val="LA COMISIￓN APROBￓ"/>
          </w:smartTagPr>
          <w:r w:rsidR="00F746CE" w:rsidRPr="0079366F">
            <w:rPr>
              <w:bCs w:val="0"/>
            </w:rPr>
            <w:t>LA COMISIÓN APROBÓ</w:t>
          </w:r>
        </w:smartTag>
        <w:r w:rsidR="00F746CE" w:rsidRPr="0079366F">
          <w:rPr>
            <w:bCs w:val="0"/>
          </w:rPr>
          <w:t xml:space="preserve"> EN</w:t>
        </w:r>
      </w:smartTag>
      <w:r w:rsidR="00F746CE" w:rsidRPr="0079366F">
        <w:rPr>
          <w:bCs w:val="0"/>
        </w:rPr>
        <w:t xml:space="preserve"> </w:t>
      </w:r>
      <w:smartTag w:uri="urn:schemas-microsoft-com:office:smarttags" w:element="PersonName">
        <w:smartTagPr>
          <w:attr w:name="ProductID" w:val="LA DISCUSIￓN PARTICULAR."/>
        </w:smartTagPr>
        <w:r w:rsidR="00F746CE" w:rsidRPr="0079366F">
          <w:rPr>
            <w:bCs w:val="0"/>
          </w:rPr>
          <w:t>LA DISCUSIÓN PARTICULAR.</w:t>
        </w:r>
      </w:smartTag>
      <w:bookmarkEnd w:id="47"/>
      <w:bookmarkEnd w:id="48"/>
      <w:bookmarkEnd w:id="49"/>
    </w:p>
    <w:p w:rsidR="003574BE" w:rsidRDefault="003574BE" w:rsidP="008C141B">
      <w:pPr>
        <w:tabs>
          <w:tab w:val="left" w:pos="709"/>
        </w:tabs>
        <w:spacing w:before="120"/>
        <w:jc w:val="both"/>
        <w:rPr>
          <w:rFonts w:ascii="Arial" w:hAnsi="Arial" w:cs="Arial"/>
        </w:rPr>
      </w:pPr>
      <w:r w:rsidRPr="00E03953">
        <w:rPr>
          <w:rFonts w:ascii="Arial" w:hAnsi="Arial" w:cs="Arial"/>
        </w:rPr>
        <w:tab/>
      </w:r>
      <w:r w:rsidR="00A64D19">
        <w:rPr>
          <w:rFonts w:ascii="Arial" w:hAnsi="Arial" w:cs="Arial"/>
        </w:rPr>
        <w:t>El proyecto se aprobó en los mismos términos en que lo hiciera el Senado, por lo tanto, d</w:t>
      </w:r>
      <w:r w:rsidRPr="00E03953">
        <w:rPr>
          <w:rFonts w:ascii="Arial" w:hAnsi="Arial" w:cs="Arial"/>
        </w:rPr>
        <w:t xml:space="preserve">e conformidad a lo establecido en el N° 7° del artículo </w:t>
      </w:r>
      <w:r w:rsidR="0079366F">
        <w:rPr>
          <w:rFonts w:ascii="Arial" w:hAnsi="Arial" w:cs="Arial"/>
        </w:rPr>
        <w:t>304</w:t>
      </w:r>
      <w:r w:rsidRPr="00E03953">
        <w:rPr>
          <w:rFonts w:ascii="Arial" w:hAnsi="Arial" w:cs="Arial"/>
        </w:rPr>
        <w:t xml:space="preserve"> del Reglamento de </w:t>
      </w:r>
      <w:smartTag w:uri="urn:schemas-microsoft-com:office:smarttags" w:element="PersonName">
        <w:smartTagPr>
          <w:attr w:name="ProductID" w:val="la Corporaci￳n"/>
        </w:smartTagPr>
        <w:r w:rsidRPr="00E03953">
          <w:rPr>
            <w:rFonts w:ascii="Arial" w:hAnsi="Arial" w:cs="Arial"/>
          </w:rPr>
          <w:t>la Corporación</w:t>
        </w:r>
      </w:smartTag>
      <w:r w:rsidRPr="00E03953">
        <w:rPr>
          <w:rFonts w:ascii="Arial" w:hAnsi="Arial" w:cs="Arial"/>
        </w:rPr>
        <w:t xml:space="preserve">, </w:t>
      </w:r>
      <w:smartTag w:uri="urn:schemas-microsoft-com:office:smarttags" w:element="PersonName">
        <w:smartTagPr>
          <w:attr w:name="ProductID" w:val="La Comisi￳n"/>
        </w:smartTagPr>
        <w:r w:rsidRPr="00E03953">
          <w:rPr>
            <w:rFonts w:ascii="Arial" w:hAnsi="Arial" w:cs="Arial"/>
          </w:rPr>
          <w:t>la Comisión</w:t>
        </w:r>
      </w:smartTag>
      <w:r w:rsidRPr="00E03953">
        <w:rPr>
          <w:rFonts w:ascii="Arial" w:hAnsi="Arial" w:cs="Arial"/>
        </w:rPr>
        <w:t xml:space="preserve"> dej</w:t>
      </w:r>
      <w:r w:rsidR="00A64D19">
        <w:rPr>
          <w:rFonts w:ascii="Arial" w:hAnsi="Arial" w:cs="Arial"/>
        </w:rPr>
        <w:t>a</w:t>
      </w:r>
      <w:r w:rsidRPr="00E03953">
        <w:rPr>
          <w:rFonts w:ascii="Arial" w:hAnsi="Arial" w:cs="Arial"/>
        </w:rPr>
        <w:t xml:space="preserve"> constancia </w:t>
      </w:r>
      <w:r w:rsidR="00A64D19">
        <w:rPr>
          <w:rFonts w:ascii="Arial" w:hAnsi="Arial" w:cs="Arial"/>
        </w:rPr>
        <w:t xml:space="preserve">de </w:t>
      </w:r>
      <w:r w:rsidRPr="00E03953">
        <w:rPr>
          <w:rFonts w:ascii="Arial" w:hAnsi="Arial" w:cs="Arial"/>
        </w:rPr>
        <w:t xml:space="preserve">que </w:t>
      </w:r>
      <w:r w:rsidR="00A64D19">
        <w:rPr>
          <w:rFonts w:ascii="Arial" w:hAnsi="Arial" w:cs="Arial"/>
        </w:rPr>
        <w:t xml:space="preserve">no se </w:t>
      </w:r>
      <w:r w:rsidRPr="00E03953">
        <w:rPr>
          <w:rFonts w:ascii="Arial" w:hAnsi="Arial" w:cs="Arial"/>
        </w:rPr>
        <w:t>introduj</w:t>
      </w:r>
      <w:r w:rsidR="00A64D19">
        <w:rPr>
          <w:rFonts w:ascii="Arial" w:hAnsi="Arial" w:cs="Arial"/>
        </w:rPr>
        <w:t>er</w:t>
      </w:r>
      <w:r w:rsidRPr="00E03953">
        <w:rPr>
          <w:rFonts w:ascii="Arial" w:hAnsi="Arial" w:cs="Arial"/>
        </w:rPr>
        <w:t>o</w:t>
      </w:r>
      <w:r w:rsidR="00A64D19">
        <w:rPr>
          <w:rFonts w:ascii="Arial" w:hAnsi="Arial" w:cs="Arial"/>
        </w:rPr>
        <w:t>n</w:t>
      </w:r>
      <w:r w:rsidRPr="00E03953">
        <w:rPr>
          <w:rFonts w:ascii="Arial" w:hAnsi="Arial" w:cs="Arial"/>
        </w:rPr>
        <w:t xml:space="preserve"> enmiendas al texto propuesto por el Senado</w:t>
      </w:r>
      <w:r w:rsidR="00294656">
        <w:rPr>
          <w:rFonts w:ascii="Arial" w:hAnsi="Arial" w:cs="Arial"/>
        </w:rPr>
        <w:t>.</w:t>
      </w:r>
    </w:p>
    <w:p w:rsidR="00F746CE" w:rsidRPr="00D826F1" w:rsidRDefault="00D71A37" w:rsidP="008C141B">
      <w:pPr>
        <w:pStyle w:val="Ttulo1"/>
        <w:tabs>
          <w:tab w:val="left" w:pos="709"/>
        </w:tabs>
        <w:spacing w:before="480"/>
        <w:jc w:val="both"/>
        <w:rPr>
          <w:bCs w:val="0"/>
        </w:rPr>
      </w:pPr>
      <w:bookmarkStart w:id="50" w:name="_Toc408309941"/>
      <w:bookmarkStart w:id="51" w:name="_Toc409556944"/>
      <w:bookmarkStart w:id="52" w:name="_Toc499712197"/>
      <w:r w:rsidRPr="00E03953">
        <w:rPr>
          <w:bCs w:val="0"/>
        </w:rPr>
        <w:t>I</w:t>
      </w:r>
      <w:r w:rsidR="002925E8">
        <w:rPr>
          <w:bCs w:val="0"/>
        </w:rPr>
        <w:t>X</w:t>
      </w:r>
      <w:r w:rsidR="00F746CE" w:rsidRPr="00E03953">
        <w:rPr>
          <w:bCs w:val="0"/>
        </w:rPr>
        <w:t xml:space="preserve">. </w:t>
      </w:r>
      <w:r w:rsidR="00F746CE" w:rsidRPr="00D826F1">
        <w:rPr>
          <w:bCs w:val="0"/>
        </w:rPr>
        <w:t xml:space="preserve">TEXTO DEL PROYECTO DE LEY TAL COMO QUEDARÍA EN VIRTUD DE LOS ACUERDOS ADOPTADOS POR </w:t>
      </w:r>
      <w:smartTag w:uri="urn:schemas-microsoft-com:office:smarttags" w:element="PersonName">
        <w:smartTagPr>
          <w:attr w:name="ProductID" w:val="la Comisi￳n."/>
        </w:smartTagPr>
        <w:r w:rsidR="00F746CE" w:rsidRPr="00D826F1">
          <w:rPr>
            <w:bCs w:val="0"/>
          </w:rPr>
          <w:t>LA COMISIÓN.</w:t>
        </w:r>
      </w:smartTag>
      <w:bookmarkEnd w:id="50"/>
      <w:bookmarkEnd w:id="51"/>
      <w:bookmarkEnd w:id="52"/>
    </w:p>
    <w:p w:rsidR="00D826F1" w:rsidRDefault="00D826F1" w:rsidP="008C141B">
      <w:pPr>
        <w:tabs>
          <w:tab w:val="left" w:pos="709"/>
        </w:tabs>
        <w:spacing w:before="360"/>
        <w:jc w:val="center"/>
        <w:rPr>
          <w:rFonts w:ascii="Arial" w:hAnsi="Arial" w:cs="Arial"/>
          <w:b/>
          <w:bCs/>
          <w:snapToGrid w:val="0"/>
        </w:rPr>
      </w:pPr>
      <w:r w:rsidRPr="00D826F1">
        <w:rPr>
          <w:rFonts w:ascii="Arial" w:hAnsi="Arial" w:cs="Arial"/>
          <w:b/>
          <w:bCs/>
          <w:snapToGrid w:val="0"/>
        </w:rPr>
        <w:t>PROYECTO DE LEY</w:t>
      </w:r>
    </w:p>
    <w:p w:rsidR="007412E9" w:rsidRPr="007412E9" w:rsidRDefault="007412E9" w:rsidP="007412E9">
      <w:pPr>
        <w:tabs>
          <w:tab w:val="left" w:pos="709"/>
        </w:tabs>
        <w:spacing w:before="240"/>
        <w:jc w:val="both"/>
        <w:rPr>
          <w:rFonts w:ascii="Arial" w:hAnsi="Arial" w:cs="Arial"/>
          <w:bCs/>
          <w:snapToGrid w:val="0"/>
        </w:rPr>
      </w:pPr>
      <w:r w:rsidRPr="007412E9">
        <w:rPr>
          <w:rFonts w:ascii="Arial" w:hAnsi="Arial" w:cs="Arial"/>
          <w:bCs/>
          <w:snapToGrid w:val="0"/>
        </w:rPr>
        <w:tab/>
        <w:t xml:space="preserve">“Artículo 1.- </w:t>
      </w:r>
      <w:proofErr w:type="spellStart"/>
      <w:r w:rsidRPr="007412E9">
        <w:rPr>
          <w:rFonts w:ascii="Arial" w:hAnsi="Arial" w:cs="Arial"/>
          <w:bCs/>
          <w:snapToGrid w:val="0"/>
        </w:rPr>
        <w:t>Derógase</w:t>
      </w:r>
      <w:proofErr w:type="spellEnd"/>
      <w:r w:rsidRPr="007412E9">
        <w:rPr>
          <w:rFonts w:ascii="Arial" w:hAnsi="Arial" w:cs="Arial"/>
          <w:bCs/>
          <w:snapToGrid w:val="0"/>
        </w:rPr>
        <w:t xml:space="preserve"> a contar de la entrada en vigencia de la presente ley el artículo 3°, que regula el aporte fiscal indirecto para las instituciones de educación superior, del decreto con fuerza de ley N° 4, del Ministerio de Educación, de 1981, que fija normas sobre financiamiento de las universidades.</w:t>
      </w:r>
    </w:p>
    <w:p w:rsidR="007412E9" w:rsidRPr="007412E9" w:rsidRDefault="007412E9" w:rsidP="007412E9">
      <w:pPr>
        <w:tabs>
          <w:tab w:val="left" w:pos="709"/>
        </w:tabs>
        <w:spacing w:before="240"/>
        <w:jc w:val="both"/>
        <w:rPr>
          <w:rFonts w:ascii="Arial" w:hAnsi="Arial" w:cs="Arial"/>
          <w:bCs/>
          <w:snapToGrid w:val="0"/>
        </w:rPr>
      </w:pPr>
      <w:r w:rsidRPr="007412E9">
        <w:rPr>
          <w:rFonts w:ascii="Arial" w:hAnsi="Arial" w:cs="Arial"/>
          <w:bCs/>
          <w:snapToGrid w:val="0"/>
        </w:rPr>
        <w:tab/>
        <w:t xml:space="preserve">Artículo 2.- Sin perjuicio de lo establecido en el artículo anterior, las instituciones de educación superior que el año 2016 hayan tenido matriculados en el primer año de estudios, estudiantes que se encuentren entre los primeros 27.500 puntajes, ordenados de menor a mayor de acuerdo con los puntajes obtenidos en la Prueba de Selección Universitaria, partes Lenguaje y Comunicación, y Matemática, accederán a partir de la entrada en vigencia del artículo anterior, para el año 2017, al aporte a que se refiere el inciso siguiente. </w:t>
      </w:r>
    </w:p>
    <w:p w:rsidR="007412E9" w:rsidRPr="007412E9" w:rsidRDefault="007412E9" w:rsidP="007412E9">
      <w:pPr>
        <w:tabs>
          <w:tab w:val="left" w:pos="709"/>
        </w:tabs>
        <w:spacing w:before="120"/>
        <w:jc w:val="both"/>
        <w:rPr>
          <w:rFonts w:ascii="Arial" w:hAnsi="Arial" w:cs="Arial"/>
          <w:bCs/>
          <w:snapToGrid w:val="0"/>
        </w:rPr>
      </w:pPr>
      <w:r w:rsidRPr="007412E9">
        <w:rPr>
          <w:rFonts w:ascii="Arial" w:hAnsi="Arial" w:cs="Arial"/>
          <w:bCs/>
          <w:snapToGrid w:val="0"/>
        </w:rPr>
        <w:tab/>
        <w:t xml:space="preserve">Para el año 2017 </w:t>
      </w:r>
      <w:proofErr w:type="spellStart"/>
      <w:r w:rsidRPr="007412E9">
        <w:rPr>
          <w:rFonts w:ascii="Arial" w:hAnsi="Arial" w:cs="Arial"/>
          <w:bCs/>
          <w:snapToGrid w:val="0"/>
        </w:rPr>
        <w:t>considérase</w:t>
      </w:r>
      <w:proofErr w:type="spellEnd"/>
      <w:r w:rsidRPr="007412E9">
        <w:rPr>
          <w:rFonts w:ascii="Arial" w:hAnsi="Arial" w:cs="Arial"/>
          <w:bCs/>
          <w:snapToGrid w:val="0"/>
        </w:rPr>
        <w:t xml:space="preserve"> la suma de $2.000.000 miles de pesos por concepto del aporte del artículo 3° del decreto con fuerza de ley N° 4, del Ministerio de Educación, de 1981. La distribución de este aporte se efectuará considerando los montos y condiciones consignados en el citado artículo 3° del decreto con fuerza de ley N° 4, del Ministerio de Educación, de 1981, que en virtud de esta ley se deroga.</w:t>
      </w:r>
    </w:p>
    <w:p w:rsidR="007412E9" w:rsidRPr="007412E9" w:rsidRDefault="007412E9" w:rsidP="007412E9">
      <w:pPr>
        <w:tabs>
          <w:tab w:val="left" w:pos="709"/>
        </w:tabs>
        <w:spacing w:before="240"/>
        <w:jc w:val="both"/>
        <w:rPr>
          <w:rFonts w:ascii="Arial" w:hAnsi="Arial" w:cs="Arial"/>
          <w:bCs/>
          <w:snapToGrid w:val="0"/>
        </w:rPr>
      </w:pPr>
      <w:r w:rsidRPr="007412E9">
        <w:rPr>
          <w:rFonts w:ascii="Arial" w:hAnsi="Arial" w:cs="Arial"/>
          <w:bCs/>
          <w:snapToGrid w:val="0"/>
        </w:rPr>
        <w:tab/>
        <w:t>Artículo 3.- El mayor gasto fiscal que irrogue la aplicación del artículo 2° de esta ley se financiará con cargo a la Asignación 104, “Provisión para Financiamientos Comprometidos”, del Programa 03, “Operaciones Complementarias”, de la Partida Tesoro Público, de la Ley de Presupuestos del Sector Público vigente para el año 2017.”.</w:t>
      </w:r>
    </w:p>
    <w:p w:rsidR="003F2661" w:rsidRDefault="00174B4E" w:rsidP="008C141B">
      <w:pPr>
        <w:tabs>
          <w:tab w:val="left" w:pos="709"/>
          <w:tab w:val="left" w:pos="3119"/>
        </w:tabs>
        <w:spacing w:before="240"/>
        <w:jc w:val="center"/>
        <w:rPr>
          <w:rFonts w:ascii="Arial" w:hAnsi="Arial"/>
        </w:rPr>
      </w:pPr>
      <w:r>
        <w:rPr>
          <w:rFonts w:ascii="Arial" w:hAnsi="Arial"/>
          <w:noProof/>
          <w:lang w:val="es-CL" w:eastAsia="es-CL"/>
        </w:rPr>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3F2661" w:rsidRDefault="003F2661" w:rsidP="008C141B">
      <w:pPr>
        <w:tabs>
          <w:tab w:val="left" w:pos="709"/>
        </w:tabs>
        <w:spacing w:before="120"/>
        <w:jc w:val="both"/>
        <w:rPr>
          <w:rFonts w:ascii="Arial" w:hAnsi="Arial" w:cs="Arial"/>
          <w:bCs/>
          <w:snapToGrid w:val="0"/>
        </w:rPr>
      </w:pPr>
    </w:p>
    <w:p w:rsidR="00294656" w:rsidRDefault="00185BD9" w:rsidP="008C141B">
      <w:pPr>
        <w:tabs>
          <w:tab w:val="left" w:pos="709"/>
        </w:tabs>
        <w:spacing w:before="120"/>
        <w:jc w:val="both"/>
        <w:rPr>
          <w:rFonts w:ascii="Arial" w:hAnsi="Arial" w:cs="Arial"/>
          <w:bCs/>
          <w:snapToGrid w:val="0"/>
        </w:rPr>
      </w:pPr>
      <w:r w:rsidRPr="00E03953">
        <w:rPr>
          <w:rFonts w:ascii="Arial" w:hAnsi="Arial" w:cs="Arial"/>
          <w:b/>
          <w:bCs/>
          <w:snapToGrid w:val="0"/>
        </w:rPr>
        <w:tab/>
      </w:r>
      <w:r w:rsidR="00F746CE" w:rsidRPr="00E03953">
        <w:rPr>
          <w:rFonts w:ascii="Arial" w:hAnsi="Arial" w:cs="Arial"/>
          <w:bCs/>
          <w:snapToGrid w:val="0"/>
        </w:rPr>
        <w:t>Se designó Diputad</w:t>
      </w:r>
      <w:r w:rsidR="001B1271" w:rsidRPr="00E03953">
        <w:rPr>
          <w:rFonts w:ascii="Arial" w:hAnsi="Arial" w:cs="Arial"/>
          <w:bCs/>
          <w:snapToGrid w:val="0"/>
        </w:rPr>
        <w:t>o</w:t>
      </w:r>
      <w:r w:rsidR="00F746CE" w:rsidRPr="00E03953">
        <w:rPr>
          <w:rFonts w:ascii="Arial" w:hAnsi="Arial" w:cs="Arial"/>
          <w:bCs/>
          <w:snapToGrid w:val="0"/>
        </w:rPr>
        <w:t xml:space="preserve"> Informante a</w:t>
      </w:r>
      <w:r w:rsidR="001B1271" w:rsidRPr="00E03953">
        <w:rPr>
          <w:rFonts w:ascii="Arial" w:hAnsi="Arial" w:cs="Arial"/>
          <w:bCs/>
          <w:snapToGrid w:val="0"/>
        </w:rPr>
        <w:t>l señor</w:t>
      </w:r>
      <w:r w:rsidR="00391353">
        <w:rPr>
          <w:rFonts w:ascii="Arial" w:hAnsi="Arial" w:cs="Arial"/>
          <w:bCs/>
          <w:snapToGrid w:val="0"/>
        </w:rPr>
        <w:t xml:space="preserve"> </w:t>
      </w:r>
      <w:r w:rsidR="00174B4E">
        <w:rPr>
          <w:rFonts w:ascii="Arial" w:hAnsi="Arial" w:cs="Arial"/>
          <w:bCs/>
          <w:snapToGrid w:val="0"/>
        </w:rPr>
        <w:t>ALBERTO ROBLES PANTOJA.</w:t>
      </w:r>
    </w:p>
    <w:p w:rsidR="008607AC" w:rsidRPr="00E03953" w:rsidRDefault="008607AC" w:rsidP="008C141B">
      <w:pPr>
        <w:tabs>
          <w:tab w:val="left" w:pos="709"/>
        </w:tabs>
        <w:spacing w:before="120"/>
        <w:jc w:val="both"/>
        <w:rPr>
          <w:rFonts w:ascii="Arial" w:hAnsi="Arial" w:cs="Arial"/>
          <w:snapToGrid w:val="0"/>
        </w:rPr>
      </w:pPr>
    </w:p>
    <w:p w:rsidR="001D7DFE" w:rsidRPr="001D7DFE" w:rsidRDefault="001D7DFE" w:rsidP="008C141B">
      <w:pPr>
        <w:pStyle w:val="Textoindependiente2"/>
        <w:tabs>
          <w:tab w:val="left" w:pos="709"/>
        </w:tabs>
        <w:spacing w:before="120" w:line="240" w:lineRule="auto"/>
        <w:rPr>
          <w:snapToGrid w:val="0"/>
          <w:sz w:val="24"/>
        </w:rPr>
      </w:pPr>
      <w:r w:rsidRPr="001D7DFE">
        <w:rPr>
          <w:snapToGrid w:val="0"/>
          <w:sz w:val="24"/>
        </w:rPr>
        <w:tab/>
      </w:r>
      <w:r w:rsidRPr="001D7DFE">
        <w:rPr>
          <w:bCs/>
          <w:snapToGrid w:val="0"/>
          <w:sz w:val="24"/>
        </w:rPr>
        <w:t>SALA DE LA COMISIÓN</w:t>
      </w:r>
      <w:r w:rsidRPr="001D7DFE">
        <w:rPr>
          <w:snapToGrid w:val="0"/>
          <w:sz w:val="24"/>
        </w:rPr>
        <w:t xml:space="preserve">, a </w:t>
      </w:r>
      <w:r w:rsidR="00AB6C1A">
        <w:rPr>
          <w:snapToGrid w:val="0"/>
          <w:sz w:val="24"/>
        </w:rPr>
        <w:t>2</w:t>
      </w:r>
      <w:r w:rsidR="00294656">
        <w:rPr>
          <w:snapToGrid w:val="0"/>
          <w:sz w:val="24"/>
        </w:rPr>
        <w:t>8</w:t>
      </w:r>
      <w:r w:rsidRPr="001D7DFE">
        <w:rPr>
          <w:snapToGrid w:val="0"/>
          <w:sz w:val="24"/>
        </w:rPr>
        <w:t xml:space="preserve"> de </w:t>
      </w:r>
      <w:r w:rsidR="00294656">
        <w:rPr>
          <w:snapToGrid w:val="0"/>
          <w:sz w:val="24"/>
        </w:rPr>
        <w:t>n</w:t>
      </w:r>
      <w:r w:rsidR="000B238E">
        <w:rPr>
          <w:snapToGrid w:val="0"/>
          <w:sz w:val="24"/>
        </w:rPr>
        <w:t>o</w:t>
      </w:r>
      <w:r w:rsidR="00294656">
        <w:rPr>
          <w:snapToGrid w:val="0"/>
          <w:sz w:val="24"/>
        </w:rPr>
        <w:t>viem</w:t>
      </w:r>
      <w:r w:rsidR="000B238E">
        <w:rPr>
          <w:snapToGrid w:val="0"/>
          <w:sz w:val="24"/>
        </w:rPr>
        <w:t>bre</w:t>
      </w:r>
      <w:r w:rsidRPr="001D7DFE">
        <w:rPr>
          <w:snapToGrid w:val="0"/>
          <w:sz w:val="24"/>
        </w:rPr>
        <w:t xml:space="preserve"> de 201</w:t>
      </w:r>
      <w:r w:rsidR="00294656">
        <w:rPr>
          <w:snapToGrid w:val="0"/>
          <w:sz w:val="24"/>
        </w:rPr>
        <w:t>7</w:t>
      </w:r>
      <w:r w:rsidRPr="001D7DFE">
        <w:rPr>
          <w:snapToGrid w:val="0"/>
          <w:sz w:val="24"/>
        </w:rPr>
        <w:t>.</w:t>
      </w:r>
    </w:p>
    <w:p w:rsidR="009D2957" w:rsidRDefault="009D2957" w:rsidP="008C141B">
      <w:pPr>
        <w:tabs>
          <w:tab w:val="left" w:pos="709"/>
        </w:tabs>
        <w:spacing w:before="120"/>
        <w:jc w:val="both"/>
        <w:rPr>
          <w:rFonts w:ascii="Arial" w:hAnsi="Arial" w:cs="Arial"/>
          <w:snapToGrid w:val="0"/>
        </w:rPr>
      </w:pPr>
    </w:p>
    <w:p w:rsidR="00EB2DE1" w:rsidRDefault="00EB2DE1" w:rsidP="008C141B">
      <w:pPr>
        <w:tabs>
          <w:tab w:val="left" w:pos="709"/>
        </w:tabs>
        <w:spacing w:before="120"/>
        <w:jc w:val="both"/>
        <w:rPr>
          <w:rFonts w:ascii="Arial" w:hAnsi="Arial" w:cs="Arial"/>
          <w:snapToGrid w:val="0"/>
        </w:rPr>
      </w:pPr>
    </w:p>
    <w:p w:rsidR="00EB2DE1" w:rsidRDefault="00EB2DE1" w:rsidP="008C141B">
      <w:pPr>
        <w:tabs>
          <w:tab w:val="left" w:pos="709"/>
        </w:tabs>
        <w:spacing w:before="120"/>
        <w:jc w:val="both"/>
        <w:rPr>
          <w:rFonts w:ascii="Arial" w:hAnsi="Arial" w:cs="Arial"/>
          <w:snapToGrid w:val="0"/>
        </w:rPr>
      </w:pPr>
    </w:p>
    <w:p w:rsidR="001D7DFE" w:rsidRDefault="001D7DFE" w:rsidP="008C141B">
      <w:pPr>
        <w:tabs>
          <w:tab w:val="left" w:pos="709"/>
        </w:tabs>
        <w:spacing w:before="120"/>
        <w:jc w:val="both"/>
        <w:rPr>
          <w:rFonts w:ascii="Arial" w:hAnsi="Arial" w:cs="Arial"/>
          <w:snapToGrid w:val="0"/>
        </w:rPr>
      </w:pPr>
    </w:p>
    <w:p w:rsidR="004E67D0" w:rsidRPr="00174B4E" w:rsidRDefault="00D63311" w:rsidP="008C141B">
      <w:pPr>
        <w:tabs>
          <w:tab w:val="left" w:pos="709"/>
          <w:tab w:val="left" w:pos="1134"/>
        </w:tabs>
        <w:jc w:val="both"/>
        <w:rPr>
          <w:rFonts w:ascii="Arial" w:hAnsi="Arial" w:cs="Arial"/>
        </w:rPr>
      </w:pPr>
      <w:r w:rsidRPr="00E03953">
        <w:rPr>
          <w:rFonts w:ascii="Arial" w:hAnsi="Arial" w:cs="Arial"/>
          <w:snapToGrid w:val="0"/>
        </w:rPr>
        <w:tab/>
      </w:r>
      <w:r w:rsidR="00F746CE" w:rsidRPr="00174B4E">
        <w:rPr>
          <w:rFonts w:ascii="Arial" w:hAnsi="Arial" w:cs="Arial"/>
          <w:snapToGrid w:val="0"/>
        </w:rPr>
        <w:t xml:space="preserve">Tratado y acordado, según consta en </w:t>
      </w:r>
      <w:r w:rsidR="002D083B">
        <w:rPr>
          <w:rFonts w:ascii="Arial" w:hAnsi="Arial" w:cs="Arial"/>
          <w:snapToGrid w:val="0"/>
        </w:rPr>
        <w:t>e</w:t>
      </w:r>
      <w:r w:rsidR="00F746CE" w:rsidRPr="00174B4E">
        <w:rPr>
          <w:rFonts w:ascii="Arial" w:hAnsi="Arial" w:cs="Arial"/>
          <w:snapToGrid w:val="0"/>
        </w:rPr>
        <w:t xml:space="preserve">l acta correspondiente a la </w:t>
      </w:r>
      <w:r w:rsidR="002D083B" w:rsidRPr="00174B4E">
        <w:rPr>
          <w:rFonts w:ascii="Arial" w:hAnsi="Arial" w:cs="Arial"/>
          <w:snapToGrid w:val="0"/>
        </w:rPr>
        <w:t>sesión</w:t>
      </w:r>
      <w:r w:rsidR="00F746CE" w:rsidRPr="00174B4E">
        <w:rPr>
          <w:rFonts w:ascii="Arial" w:hAnsi="Arial" w:cs="Arial"/>
          <w:snapToGrid w:val="0"/>
        </w:rPr>
        <w:t xml:space="preserve"> del día</w:t>
      </w:r>
      <w:r w:rsidR="00C83D90" w:rsidRPr="00174B4E">
        <w:rPr>
          <w:rFonts w:ascii="Arial" w:hAnsi="Arial" w:cs="Arial"/>
          <w:snapToGrid w:val="0"/>
        </w:rPr>
        <w:t xml:space="preserve"> </w:t>
      </w:r>
      <w:r w:rsidR="0046483F" w:rsidRPr="00174B4E">
        <w:rPr>
          <w:rFonts w:ascii="Arial" w:hAnsi="Arial" w:cs="Arial"/>
          <w:snapToGrid w:val="0"/>
        </w:rPr>
        <w:t>2</w:t>
      </w:r>
      <w:r w:rsidR="007412E9" w:rsidRPr="00174B4E">
        <w:rPr>
          <w:rFonts w:ascii="Arial" w:hAnsi="Arial" w:cs="Arial"/>
          <w:snapToGrid w:val="0"/>
        </w:rPr>
        <w:t>8</w:t>
      </w:r>
      <w:r w:rsidR="00A64D19" w:rsidRPr="00174B4E">
        <w:rPr>
          <w:rFonts w:ascii="Arial" w:hAnsi="Arial" w:cs="Arial"/>
          <w:snapToGrid w:val="0"/>
        </w:rPr>
        <w:t xml:space="preserve"> </w:t>
      </w:r>
      <w:r w:rsidR="00E03953" w:rsidRPr="00174B4E">
        <w:rPr>
          <w:rFonts w:ascii="Arial" w:hAnsi="Arial" w:cs="Arial"/>
          <w:snapToGrid w:val="0"/>
        </w:rPr>
        <w:t xml:space="preserve">de </w:t>
      </w:r>
      <w:r w:rsidR="007412E9" w:rsidRPr="00174B4E">
        <w:rPr>
          <w:rFonts w:ascii="Arial" w:hAnsi="Arial" w:cs="Arial"/>
          <w:snapToGrid w:val="0"/>
        </w:rPr>
        <w:t>n</w:t>
      </w:r>
      <w:r w:rsidR="0046483F" w:rsidRPr="00174B4E">
        <w:rPr>
          <w:rFonts w:ascii="Arial" w:hAnsi="Arial" w:cs="Arial"/>
          <w:snapToGrid w:val="0"/>
        </w:rPr>
        <w:t>o</w:t>
      </w:r>
      <w:r w:rsidR="007412E9" w:rsidRPr="00174B4E">
        <w:rPr>
          <w:rFonts w:ascii="Arial" w:hAnsi="Arial" w:cs="Arial"/>
          <w:snapToGrid w:val="0"/>
        </w:rPr>
        <w:t>viemb</w:t>
      </w:r>
      <w:r w:rsidR="0046483F" w:rsidRPr="00174B4E">
        <w:rPr>
          <w:rFonts w:ascii="Arial" w:hAnsi="Arial" w:cs="Arial"/>
          <w:snapToGrid w:val="0"/>
        </w:rPr>
        <w:t>re</w:t>
      </w:r>
      <w:r w:rsidR="00E03953" w:rsidRPr="00174B4E">
        <w:rPr>
          <w:rFonts w:ascii="Arial" w:hAnsi="Arial" w:cs="Arial"/>
          <w:snapToGrid w:val="0"/>
        </w:rPr>
        <w:t xml:space="preserve"> d</w:t>
      </w:r>
      <w:r w:rsidR="00D826F1" w:rsidRPr="00174B4E">
        <w:rPr>
          <w:rFonts w:ascii="Arial" w:hAnsi="Arial" w:cs="Arial"/>
          <w:snapToGrid w:val="0"/>
        </w:rPr>
        <w:t>e</w:t>
      </w:r>
      <w:r w:rsidR="00EE00CA" w:rsidRPr="00174B4E">
        <w:rPr>
          <w:rFonts w:ascii="Arial" w:hAnsi="Arial" w:cs="Arial"/>
          <w:bCs/>
          <w:snapToGrid w:val="0"/>
          <w:lang w:val="es-CL"/>
        </w:rPr>
        <w:t xml:space="preserve"> 20</w:t>
      </w:r>
      <w:r w:rsidR="00E03953" w:rsidRPr="00174B4E">
        <w:rPr>
          <w:rFonts w:ascii="Arial" w:hAnsi="Arial" w:cs="Arial"/>
          <w:bCs/>
          <w:snapToGrid w:val="0"/>
          <w:lang w:val="es-CL"/>
        </w:rPr>
        <w:t>1</w:t>
      </w:r>
      <w:r w:rsidR="007412E9" w:rsidRPr="00174B4E">
        <w:rPr>
          <w:rFonts w:ascii="Arial" w:hAnsi="Arial" w:cs="Arial"/>
          <w:bCs/>
          <w:snapToGrid w:val="0"/>
          <w:lang w:val="es-CL"/>
        </w:rPr>
        <w:t>7</w:t>
      </w:r>
      <w:r w:rsidR="00EE00CA" w:rsidRPr="00174B4E">
        <w:rPr>
          <w:rFonts w:ascii="Arial" w:hAnsi="Arial" w:cs="Arial"/>
          <w:bCs/>
          <w:snapToGrid w:val="0"/>
          <w:lang w:val="es-CL"/>
        </w:rPr>
        <w:t xml:space="preserve">, </w:t>
      </w:r>
      <w:r w:rsidR="00212FE8" w:rsidRPr="00174B4E">
        <w:rPr>
          <w:rFonts w:ascii="Arial" w:hAnsi="Arial" w:cs="Arial"/>
          <w:bCs/>
          <w:snapToGrid w:val="0"/>
          <w:lang w:val="es-CL"/>
        </w:rPr>
        <w:t xml:space="preserve">con la asistencia </w:t>
      </w:r>
      <w:r w:rsidR="004E67D0" w:rsidRPr="00174B4E">
        <w:rPr>
          <w:rFonts w:ascii="Arial" w:hAnsi="Arial" w:cs="Arial"/>
        </w:rPr>
        <w:t xml:space="preserve">de las diputadas Cristina Girardi Lavín, María José Hoffmann Opazo y Camila Vallejo </w:t>
      </w:r>
      <w:proofErr w:type="spellStart"/>
      <w:r w:rsidR="004E67D0" w:rsidRPr="00174B4E">
        <w:rPr>
          <w:rFonts w:ascii="Arial" w:hAnsi="Arial" w:cs="Arial"/>
        </w:rPr>
        <w:t>Dowling</w:t>
      </w:r>
      <w:proofErr w:type="spellEnd"/>
      <w:r w:rsidR="004E67D0" w:rsidRPr="00174B4E">
        <w:rPr>
          <w:rFonts w:ascii="Arial" w:hAnsi="Arial" w:cs="Arial"/>
        </w:rPr>
        <w:t xml:space="preserve">, y los diputados </w:t>
      </w:r>
      <w:proofErr w:type="spellStart"/>
      <w:r w:rsidR="004E67D0" w:rsidRPr="00174B4E">
        <w:rPr>
          <w:rFonts w:ascii="Arial" w:hAnsi="Arial" w:cs="Arial"/>
        </w:rPr>
        <w:t>Romilio</w:t>
      </w:r>
      <w:proofErr w:type="spellEnd"/>
      <w:r w:rsidR="004E67D0" w:rsidRPr="00174B4E">
        <w:rPr>
          <w:rFonts w:ascii="Arial" w:hAnsi="Arial" w:cs="Arial"/>
        </w:rPr>
        <w:t xml:space="preserve"> Gutiérrez Pino, </w:t>
      </w:r>
      <w:r w:rsidR="002D083B">
        <w:rPr>
          <w:rFonts w:ascii="Arial" w:hAnsi="Arial" w:cs="Arial"/>
        </w:rPr>
        <w:t xml:space="preserve">Giorgio Jackson Drago, Roberto Poblete Zapata, </w:t>
      </w:r>
      <w:r w:rsidR="004E67D0" w:rsidRPr="00174B4E">
        <w:rPr>
          <w:rFonts w:ascii="Arial" w:hAnsi="Arial" w:cs="Arial"/>
        </w:rPr>
        <w:t>Alberto Robles Pantoja y Mario Venegas Cárdenas.</w:t>
      </w:r>
    </w:p>
    <w:p w:rsidR="00D826F1" w:rsidRPr="00EC4402" w:rsidRDefault="00D826F1" w:rsidP="008C141B">
      <w:pPr>
        <w:tabs>
          <w:tab w:val="left" w:pos="709"/>
        </w:tabs>
        <w:spacing w:before="120"/>
        <w:jc w:val="both"/>
        <w:rPr>
          <w:rFonts w:ascii="Arial" w:hAnsi="Arial" w:cs="Arial"/>
          <w:bCs/>
          <w:snapToGrid w:val="0"/>
        </w:rPr>
      </w:pPr>
    </w:p>
    <w:p w:rsidR="008607AC" w:rsidRDefault="008607AC" w:rsidP="008C141B">
      <w:pPr>
        <w:tabs>
          <w:tab w:val="left" w:pos="709"/>
        </w:tabs>
        <w:spacing w:before="120"/>
        <w:jc w:val="both"/>
        <w:rPr>
          <w:rFonts w:ascii="Arial" w:hAnsi="Arial" w:cs="Arial"/>
          <w:snapToGrid w:val="0"/>
        </w:rPr>
      </w:pPr>
      <w:bookmarkStart w:id="53" w:name="_GoBack"/>
      <w:bookmarkEnd w:id="53"/>
    </w:p>
    <w:p w:rsidR="003B4A12" w:rsidRDefault="003B4A12" w:rsidP="008C141B">
      <w:pPr>
        <w:tabs>
          <w:tab w:val="left" w:pos="709"/>
        </w:tabs>
        <w:spacing w:before="120"/>
        <w:jc w:val="both"/>
        <w:rPr>
          <w:rFonts w:ascii="Arial" w:hAnsi="Arial" w:cs="Arial"/>
          <w:snapToGrid w:val="0"/>
        </w:rPr>
      </w:pPr>
    </w:p>
    <w:p w:rsidR="00294656" w:rsidRDefault="00294656" w:rsidP="008C141B">
      <w:pPr>
        <w:tabs>
          <w:tab w:val="left" w:pos="709"/>
        </w:tabs>
        <w:spacing w:before="120"/>
        <w:jc w:val="both"/>
        <w:rPr>
          <w:rFonts w:ascii="Arial" w:hAnsi="Arial" w:cs="Arial"/>
          <w:snapToGrid w:val="0"/>
        </w:rPr>
      </w:pPr>
    </w:p>
    <w:p w:rsidR="00294656" w:rsidRPr="00E03953" w:rsidRDefault="00294656" w:rsidP="008C141B">
      <w:pPr>
        <w:tabs>
          <w:tab w:val="left" w:pos="709"/>
        </w:tabs>
        <w:spacing w:before="120"/>
        <w:jc w:val="both"/>
        <w:rPr>
          <w:rFonts w:ascii="Arial" w:hAnsi="Arial" w:cs="Arial"/>
          <w:snapToGrid w:val="0"/>
        </w:rPr>
      </w:pPr>
    </w:p>
    <w:p w:rsidR="00185BD9" w:rsidRPr="00E03953" w:rsidRDefault="00185BD9" w:rsidP="008C141B">
      <w:pPr>
        <w:tabs>
          <w:tab w:val="left" w:pos="709"/>
        </w:tabs>
        <w:spacing w:before="120"/>
        <w:jc w:val="both"/>
        <w:rPr>
          <w:rFonts w:ascii="Arial" w:hAnsi="Arial" w:cs="Arial"/>
          <w:snapToGrid w:val="0"/>
        </w:rPr>
      </w:pPr>
    </w:p>
    <w:p w:rsidR="00185BD9" w:rsidRPr="00E03953" w:rsidRDefault="003A3009" w:rsidP="008C141B">
      <w:pPr>
        <w:tabs>
          <w:tab w:val="left" w:pos="709"/>
        </w:tabs>
        <w:jc w:val="center"/>
        <w:rPr>
          <w:rFonts w:ascii="Arial" w:hAnsi="Arial" w:cs="Arial"/>
          <w:snapToGrid w:val="0"/>
        </w:rPr>
      </w:pPr>
      <w:r w:rsidRPr="00E03953">
        <w:rPr>
          <w:rFonts w:ascii="Arial" w:hAnsi="Arial" w:cs="Arial"/>
          <w:snapToGrid w:val="0"/>
        </w:rPr>
        <w:t xml:space="preserve">MARÍA </w:t>
      </w:r>
      <w:r w:rsidR="00E03953" w:rsidRPr="00E03953">
        <w:rPr>
          <w:rFonts w:ascii="Arial" w:hAnsi="Arial" w:cs="Arial"/>
          <w:snapToGrid w:val="0"/>
        </w:rPr>
        <w:t>SOLEDAD FREDES RUIZ</w:t>
      </w:r>
    </w:p>
    <w:p w:rsidR="00F746CE" w:rsidRDefault="00F746CE" w:rsidP="008C141B">
      <w:pPr>
        <w:tabs>
          <w:tab w:val="left" w:pos="709"/>
        </w:tabs>
        <w:jc w:val="center"/>
        <w:rPr>
          <w:rFonts w:ascii="Arial" w:hAnsi="Arial" w:cs="Arial"/>
          <w:snapToGrid w:val="0"/>
        </w:rPr>
      </w:pPr>
      <w:r w:rsidRPr="00E03953">
        <w:rPr>
          <w:rFonts w:ascii="Arial" w:hAnsi="Arial" w:cs="Arial"/>
          <w:snapToGrid w:val="0"/>
        </w:rPr>
        <w:t>Abogad</w:t>
      </w:r>
      <w:r w:rsidR="00185BD9" w:rsidRPr="00E03953">
        <w:rPr>
          <w:rFonts w:ascii="Arial" w:hAnsi="Arial" w:cs="Arial"/>
          <w:snapToGrid w:val="0"/>
        </w:rPr>
        <w:t>a</w:t>
      </w:r>
      <w:r w:rsidRPr="00E03953">
        <w:rPr>
          <w:rFonts w:ascii="Arial" w:hAnsi="Arial" w:cs="Arial"/>
          <w:snapToGrid w:val="0"/>
        </w:rPr>
        <w:t xml:space="preserve"> Secretaria de Comisiones</w:t>
      </w:r>
    </w:p>
    <w:sectPr w:rsidR="00F746CE" w:rsidSect="00375DBA">
      <w:headerReference w:type="even" r:id="rId9"/>
      <w:headerReference w:type="default" r:id="rId10"/>
      <w:pgSz w:w="12240" w:h="20160" w:code="5"/>
      <w:pgMar w:top="2835" w:right="1701" w:bottom="2835"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07D" w:rsidRDefault="0076607D" w:rsidP="00F746CE">
      <w:pPr>
        <w:pStyle w:val="Textoindependiente"/>
      </w:pPr>
      <w:r>
        <w:separator/>
      </w:r>
    </w:p>
  </w:endnote>
  <w:endnote w:type="continuationSeparator" w:id="0">
    <w:p w:rsidR="0076607D" w:rsidRDefault="0076607D"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07D" w:rsidRDefault="0076607D" w:rsidP="00F746CE">
      <w:pPr>
        <w:pStyle w:val="Textoindependiente"/>
      </w:pPr>
      <w:r>
        <w:separator/>
      </w:r>
    </w:p>
  </w:footnote>
  <w:footnote w:type="continuationSeparator" w:id="0">
    <w:p w:rsidR="0076607D" w:rsidRDefault="0076607D" w:rsidP="00F746CE">
      <w:pPr>
        <w:pStyle w:val="Textoindependient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1CC" w:rsidRDefault="002C21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21CC" w:rsidRDefault="002C21C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1CC" w:rsidRDefault="002C21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739E6">
      <w:rPr>
        <w:rStyle w:val="Nmerodepgina"/>
        <w:noProof/>
      </w:rPr>
      <w:t>9</w:t>
    </w:r>
    <w:r>
      <w:rPr>
        <w:rStyle w:val="Nmerodepgina"/>
      </w:rPr>
      <w:fldChar w:fldCharType="end"/>
    </w:r>
  </w:p>
  <w:p w:rsidR="002C21CC" w:rsidRDefault="002C21CC">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56EA"/>
    <w:multiLevelType w:val="hybridMultilevel"/>
    <w:tmpl w:val="0B54D92C"/>
    <w:lvl w:ilvl="0" w:tplc="3EFA70A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C11F9A"/>
    <w:multiLevelType w:val="hybridMultilevel"/>
    <w:tmpl w:val="574EBA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247925"/>
    <w:multiLevelType w:val="hybridMultilevel"/>
    <w:tmpl w:val="44DE6B40"/>
    <w:lvl w:ilvl="0" w:tplc="5148D1D4">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 w15:restartNumberingAfterBreak="0">
    <w:nsid w:val="046969CE"/>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06290A62"/>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109439B7"/>
    <w:multiLevelType w:val="singleLevel"/>
    <w:tmpl w:val="C296A75A"/>
    <w:lvl w:ilvl="0">
      <w:numFmt w:val="bullet"/>
      <w:lvlText w:val=""/>
      <w:lvlJc w:val="left"/>
      <w:pPr>
        <w:tabs>
          <w:tab w:val="num" w:pos="1776"/>
        </w:tabs>
        <w:ind w:left="1776" w:hanging="360"/>
      </w:pPr>
      <w:rPr>
        <w:rFonts w:ascii="Symbol" w:hAnsi="Symbol" w:hint="default"/>
        <w:b w:val="0"/>
      </w:rPr>
    </w:lvl>
  </w:abstractNum>
  <w:abstractNum w:abstractNumId="6" w15:restartNumberingAfterBreak="0">
    <w:nsid w:val="10AD5D98"/>
    <w:multiLevelType w:val="hybridMultilevel"/>
    <w:tmpl w:val="7BB40872"/>
    <w:lvl w:ilvl="0" w:tplc="DA36D65E">
      <w:start w:val="5"/>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63A6DA5"/>
    <w:multiLevelType w:val="hybridMultilevel"/>
    <w:tmpl w:val="AC84E900"/>
    <w:lvl w:ilvl="0" w:tplc="2BAA9DE4">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785"/>
        </w:tabs>
        <w:ind w:left="1785" w:hanging="360"/>
      </w:pPr>
    </w:lvl>
    <w:lvl w:ilvl="2" w:tplc="340A001B" w:tentative="1">
      <w:start w:val="1"/>
      <w:numFmt w:val="lowerRoman"/>
      <w:lvlText w:val="%3."/>
      <w:lvlJc w:val="right"/>
      <w:pPr>
        <w:tabs>
          <w:tab w:val="num" w:pos="2505"/>
        </w:tabs>
        <w:ind w:left="2505" w:hanging="180"/>
      </w:pPr>
    </w:lvl>
    <w:lvl w:ilvl="3" w:tplc="340A000F" w:tentative="1">
      <w:start w:val="1"/>
      <w:numFmt w:val="decimal"/>
      <w:lvlText w:val="%4."/>
      <w:lvlJc w:val="left"/>
      <w:pPr>
        <w:tabs>
          <w:tab w:val="num" w:pos="3225"/>
        </w:tabs>
        <w:ind w:left="3225" w:hanging="360"/>
      </w:pPr>
    </w:lvl>
    <w:lvl w:ilvl="4" w:tplc="340A0019" w:tentative="1">
      <w:start w:val="1"/>
      <w:numFmt w:val="lowerLetter"/>
      <w:lvlText w:val="%5."/>
      <w:lvlJc w:val="left"/>
      <w:pPr>
        <w:tabs>
          <w:tab w:val="num" w:pos="3945"/>
        </w:tabs>
        <w:ind w:left="3945" w:hanging="360"/>
      </w:pPr>
    </w:lvl>
    <w:lvl w:ilvl="5" w:tplc="340A001B" w:tentative="1">
      <w:start w:val="1"/>
      <w:numFmt w:val="lowerRoman"/>
      <w:lvlText w:val="%6."/>
      <w:lvlJc w:val="right"/>
      <w:pPr>
        <w:tabs>
          <w:tab w:val="num" w:pos="4665"/>
        </w:tabs>
        <w:ind w:left="4665" w:hanging="180"/>
      </w:pPr>
    </w:lvl>
    <w:lvl w:ilvl="6" w:tplc="340A000F" w:tentative="1">
      <w:start w:val="1"/>
      <w:numFmt w:val="decimal"/>
      <w:lvlText w:val="%7."/>
      <w:lvlJc w:val="left"/>
      <w:pPr>
        <w:tabs>
          <w:tab w:val="num" w:pos="5385"/>
        </w:tabs>
        <w:ind w:left="5385" w:hanging="360"/>
      </w:pPr>
    </w:lvl>
    <w:lvl w:ilvl="7" w:tplc="340A0019" w:tentative="1">
      <w:start w:val="1"/>
      <w:numFmt w:val="lowerLetter"/>
      <w:lvlText w:val="%8."/>
      <w:lvlJc w:val="left"/>
      <w:pPr>
        <w:tabs>
          <w:tab w:val="num" w:pos="6105"/>
        </w:tabs>
        <w:ind w:left="6105" w:hanging="360"/>
      </w:pPr>
    </w:lvl>
    <w:lvl w:ilvl="8" w:tplc="340A001B" w:tentative="1">
      <w:start w:val="1"/>
      <w:numFmt w:val="lowerRoman"/>
      <w:lvlText w:val="%9."/>
      <w:lvlJc w:val="right"/>
      <w:pPr>
        <w:tabs>
          <w:tab w:val="num" w:pos="6825"/>
        </w:tabs>
        <w:ind w:left="6825" w:hanging="180"/>
      </w:pPr>
    </w:lvl>
  </w:abstractNum>
  <w:abstractNum w:abstractNumId="8" w15:restartNumberingAfterBreak="0">
    <w:nsid w:val="1823391A"/>
    <w:multiLevelType w:val="hybridMultilevel"/>
    <w:tmpl w:val="33B63074"/>
    <w:lvl w:ilvl="0" w:tplc="0A9C762E">
      <w:start w:val="1"/>
      <w:numFmt w:val="lowerLetter"/>
      <w:lvlText w:val="%1)"/>
      <w:lvlJc w:val="left"/>
      <w:pPr>
        <w:tabs>
          <w:tab w:val="num" w:pos="2700"/>
        </w:tabs>
        <w:ind w:left="2700" w:hanging="360"/>
      </w:pPr>
      <w:rPr>
        <w:rFonts w:hint="default"/>
      </w:rPr>
    </w:lvl>
    <w:lvl w:ilvl="1" w:tplc="0C0A0019" w:tentative="1">
      <w:start w:val="1"/>
      <w:numFmt w:val="lowerLetter"/>
      <w:lvlText w:val="%2."/>
      <w:lvlJc w:val="left"/>
      <w:pPr>
        <w:tabs>
          <w:tab w:val="num" w:pos="3420"/>
        </w:tabs>
        <w:ind w:left="3420" w:hanging="360"/>
      </w:p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9" w15:restartNumberingAfterBreak="0">
    <w:nsid w:val="1F7C077E"/>
    <w:multiLevelType w:val="hybridMultilevel"/>
    <w:tmpl w:val="703AE5CC"/>
    <w:lvl w:ilvl="0" w:tplc="6CB252B6">
      <w:start w:val="1"/>
      <w:numFmt w:val="lowerLetter"/>
      <w:lvlText w:val="%1)"/>
      <w:lvlJc w:val="left"/>
      <w:pPr>
        <w:tabs>
          <w:tab w:val="num" w:pos="3195"/>
        </w:tabs>
        <w:ind w:left="319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22F30543"/>
    <w:multiLevelType w:val="singleLevel"/>
    <w:tmpl w:val="0C0A000F"/>
    <w:lvl w:ilvl="0">
      <w:start w:val="1"/>
      <w:numFmt w:val="decimal"/>
      <w:lvlText w:val="%1."/>
      <w:lvlJc w:val="left"/>
      <w:pPr>
        <w:tabs>
          <w:tab w:val="num" w:pos="720"/>
        </w:tabs>
        <w:ind w:left="720" w:hanging="360"/>
      </w:pPr>
    </w:lvl>
  </w:abstractNum>
  <w:abstractNum w:abstractNumId="11" w15:restartNumberingAfterBreak="0">
    <w:nsid w:val="2A152105"/>
    <w:multiLevelType w:val="hybridMultilevel"/>
    <w:tmpl w:val="DB689E8E"/>
    <w:lvl w:ilvl="0" w:tplc="2CAC51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C0908C1"/>
    <w:multiLevelType w:val="singleLevel"/>
    <w:tmpl w:val="165E5D8A"/>
    <w:lvl w:ilvl="0">
      <w:start w:val="1"/>
      <w:numFmt w:val="bullet"/>
      <w:lvlText w:val="-"/>
      <w:lvlJc w:val="left"/>
      <w:pPr>
        <w:tabs>
          <w:tab w:val="num" w:pos="360"/>
        </w:tabs>
        <w:ind w:left="360" w:hanging="360"/>
      </w:pPr>
      <w:rPr>
        <w:rFonts w:hint="default"/>
      </w:rPr>
    </w:lvl>
  </w:abstractNum>
  <w:abstractNum w:abstractNumId="13" w15:restartNumberingAfterBreak="0">
    <w:nsid w:val="301373AE"/>
    <w:multiLevelType w:val="hybridMultilevel"/>
    <w:tmpl w:val="39909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706E41"/>
    <w:multiLevelType w:val="hybridMultilevel"/>
    <w:tmpl w:val="C130F6F0"/>
    <w:lvl w:ilvl="0" w:tplc="143A5ABE">
      <w:start w:val="1"/>
      <w:numFmt w:val="bullet"/>
      <w:lvlText w:val="-"/>
      <w:lvlJc w:val="left"/>
      <w:pPr>
        <w:tabs>
          <w:tab w:val="num" w:pos="2700"/>
        </w:tabs>
        <w:ind w:left="2700" w:hanging="360"/>
      </w:pPr>
      <w:rPr>
        <w:rFonts w:ascii="Times New Roman" w:eastAsia="Times New Roman" w:hAnsi="Times New Roman" w:cs="Times New Roman"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15" w15:restartNumberingAfterBreak="0">
    <w:nsid w:val="3FC36FD4"/>
    <w:multiLevelType w:val="singleLevel"/>
    <w:tmpl w:val="AEFA2564"/>
    <w:lvl w:ilvl="0">
      <w:start w:val="1"/>
      <w:numFmt w:val="bullet"/>
      <w:lvlText w:val="-"/>
      <w:lvlJc w:val="left"/>
      <w:pPr>
        <w:tabs>
          <w:tab w:val="num" w:pos="360"/>
        </w:tabs>
        <w:ind w:left="360" w:hanging="360"/>
      </w:pPr>
      <w:rPr>
        <w:rFonts w:hint="default"/>
      </w:rPr>
    </w:lvl>
  </w:abstractNum>
  <w:abstractNum w:abstractNumId="16" w15:restartNumberingAfterBreak="0">
    <w:nsid w:val="40FA0026"/>
    <w:multiLevelType w:val="singleLevel"/>
    <w:tmpl w:val="0C0A000F"/>
    <w:lvl w:ilvl="0">
      <w:start w:val="1"/>
      <w:numFmt w:val="decimal"/>
      <w:lvlText w:val="%1."/>
      <w:lvlJc w:val="left"/>
      <w:pPr>
        <w:tabs>
          <w:tab w:val="num" w:pos="360"/>
        </w:tabs>
        <w:ind w:left="360" w:hanging="360"/>
      </w:pPr>
      <w:rPr>
        <w:rFonts w:hint="default"/>
      </w:rPr>
    </w:lvl>
  </w:abstractNum>
  <w:abstractNum w:abstractNumId="17" w15:restartNumberingAfterBreak="0">
    <w:nsid w:val="47F83533"/>
    <w:multiLevelType w:val="hybridMultilevel"/>
    <w:tmpl w:val="8B56E16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EBD700F"/>
    <w:multiLevelType w:val="singleLevel"/>
    <w:tmpl w:val="67AEE668"/>
    <w:lvl w:ilvl="0">
      <w:start w:val="2"/>
      <w:numFmt w:val="bullet"/>
      <w:lvlText w:val="-"/>
      <w:lvlJc w:val="left"/>
      <w:pPr>
        <w:tabs>
          <w:tab w:val="num" w:pos="360"/>
        </w:tabs>
        <w:ind w:left="360" w:hanging="360"/>
      </w:pPr>
      <w:rPr>
        <w:rFonts w:hint="default"/>
      </w:rPr>
    </w:lvl>
  </w:abstractNum>
  <w:abstractNum w:abstractNumId="19" w15:restartNumberingAfterBreak="0">
    <w:nsid w:val="571752F6"/>
    <w:multiLevelType w:val="singleLevel"/>
    <w:tmpl w:val="0C0A000F"/>
    <w:lvl w:ilvl="0">
      <w:start w:val="1"/>
      <w:numFmt w:val="decimal"/>
      <w:lvlText w:val="%1."/>
      <w:lvlJc w:val="left"/>
      <w:pPr>
        <w:tabs>
          <w:tab w:val="num" w:pos="360"/>
        </w:tabs>
        <w:ind w:left="360" w:hanging="360"/>
      </w:pPr>
      <w:rPr>
        <w:rFonts w:hint="default"/>
      </w:rPr>
    </w:lvl>
  </w:abstractNum>
  <w:abstractNum w:abstractNumId="20" w15:restartNumberingAfterBreak="0">
    <w:nsid w:val="5DE902A2"/>
    <w:multiLevelType w:val="singleLevel"/>
    <w:tmpl w:val="3DFC61A6"/>
    <w:lvl w:ilvl="0">
      <w:start w:val="1"/>
      <w:numFmt w:val="decimal"/>
      <w:lvlText w:val="%1."/>
      <w:lvlJc w:val="left"/>
      <w:pPr>
        <w:tabs>
          <w:tab w:val="num" w:pos="360"/>
        </w:tabs>
        <w:ind w:left="360" w:hanging="360"/>
      </w:pPr>
      <w:rPr>
        <w:rFonts w:ascii="Garamond" w:hAnsi="Garamond" w:hint="default"/>
      </w:rPr>
    </w:lvl>
  </w:abstractNum>
  <w:abstractNum w:abstractNumId="21" w15:restartNumberingAfterBreak="0">
    <w:nsid w:val="633D62E1"/>
    <w:multiLevelType w:val="hybridMultilevel"/>
    <w:tmpl w:val="056C394C"/>
    <w:lvl w:ilvl="0" w:tplc="A0BE299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FE406F"/>
    <w:multiLevelType w:val="singleLevel"/>
    <w:tmpl w:val="3956F6FC"/>
    <w:lvl w:ilvl="0">
      <w:start w:val="1"/>
      <w:numFmt w:val="decimal"/>
      <w:lvlText w:val="%1."/>
      <w:lvlJc w:val="left"/>
      <w:pPr>
        <w:tabs>
          <w:tab w:val="num" w:pos="360"/>
        </w:tabs>
        <w:ind w:left="360" w:hanging="360"/>
      </w:pPr>
      <w:rPr>
        <w:rFonts w:hint="default"/>
        <w:b/>
      </w:rPr>
    </w:lvl>
  </w:abstractNum>
  <w:abstractNum w:abstractNumId="23" w15:restartNumberingAfterBreak="0">
    <w:nsid w:val="68252EA5"/>
    <w:multiLevelType w:val="singleLevel"/>
    <w:tmpl w:val="37A62B10"/>
    <w:lvl w:ilvl="0">
      <w:start w:val="1"/>
      <w:numFmt w:val="decimal"/>
      <w:lvlText w:val="%1."/>
      <w:lvlJc w:val="left"/>
      <w:pPr>
        <w:tabs>
          <w:tab w:val="num" w:pos="360"/>
        </w:tabs>
        <w:ind w:left="360" w:hanging="360"/>
      </w:pPr>
      <w:rPr>
        <w:rFonts w:ascii="Garamond" w:hAnsi="Garamond" w:hint="default"/>
      </w:rPr>
    </w:lvl>
  </w:abstractNum>
  <w:abstractNum w:abstractNumId="24" w15:restartNumberingAfterBreak="0">
    <w:nsid w:val="6A2848DF"/>
    <w:multiLevelType w:val="singleLevel"/>
    <w:tmpl w:val="CEB22002"/>
    <w:lvl w:ilvl="0">
      <w:start w:val="1"/>
      <w:numFmt w:val="bullet"/>
      <w:lvlText w:val="-"/>
      <w:lvlJc w:val="left"/>
      <w:pPr>
        <w:tabs>
          <w:tab w:val="num" w:pos="360"/>
        </w:tabs>
        <w:ind w:left="360" w:hanging="360"/>
      </w:pPr>
      <w:rPr>
        <w:rFonts w:hint="default"/>
      </w:rPr>
    </w:lvl>
  </w:abstractNum>
  <w:abstractNum w:abstractNumId="25" w15:restartNumberingAfterBreak="0">
    <w:nsid w:val="733218C7"/>
    <w:multiLevelType w:val="hybridMultilevel"/>
    <w:tmpl w:val="8EFCE8FC"/>
    <w:lvl w:ilvl="0" w:tplc="7FB25CF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4C87D9D"/>
    <w:multiLevelType w:val="singleLevel"/>
    <w:tmpl w:val="66BCD150"/>
    <w:lvl w:ilvl="0">
      <w:start w:val="1"/>
      <w:numFmt w:val="bullet"/>
      <w:lvlText w:val="-"/>
      <w:lvlJc w:val="left"/>
      <w:pPr>
        <w:tabs>
          <w:tab w:val="num" w:pos="1065"/>
        </w:tabs>
        <w:ind w:left="1065" w:hanging="360"/>
      </w:pPr>
      <w:rPr>
        <w:rFonts w:hint="default"/>
      </w:rPr>
    </w:lvl>
  </w:abstractNum>
  <w:abstractNum w:abstractNumId="27" w15:restartNumberingAfterBreak="0">
    <w:nsid w:val="7BE55D8D"/>
    <w:multiLevelType w:val="hybridMultilevel"/>
    <w:tmpl w:val="75AEF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27"/>
  </w:num>
  <w:num w:numId="6">
    <w:abstractNumId w:val="13"/>
  </w:num>
  <w:num w:numId="7">
    <w:abstractNumId w:val="11"/>
  </w:num>
  <w:num w:numId="8">
    <w:abstractNumId w:val="26"/>
  </w:num>
  <w:num w:numId="9">
    <w:abstractNumId w:val="18"/>
  </w:num>
  <w:num w:numId="10">
    <w:abstractNumId w:val="22"/>
  </w:num>
  <w:num w:numId="11">
    <w:abstractNumId w:val="24"/>
  </w:num>
  <w:num w:numId="12">
    <w:abstractNumId w:val="12"/>
  </w:num>
  <w:num w:numId="13">
    <w:abstractNumId w:val="4"/>
  </w:num>
  <w:num w:numId="14">
    <w:abstractNumId w:val="3"/>
  </w:num>
  <w:num w:numId="15">
    <w:abstractNumId w:val="15"/>
  </w:num>
  <w:num w:numId="16">
    <w:abstractNumId w:val="5"/>
  </w:num>
  <w:num w:numId="17">
    <w:abstractNumId w:val="10"/>
  </w:num>
  <w:num w:numId="18">
    <w:abstractNumId w:val="16"/>
  </w:num>
  <w:num w:numId="19">
    <w:abstractNumId w:val="20"/>
  </w:num>
  <w:num w:numId="20">
    <w:abstractNumId w:val="19"/>
  </w:num>
  <w:num w:numId="21">
    <w:abstractNumId w:val="23"/>
  </w:num>
  <w:num w:numId="22">
    <w:abstractNumId w:val="1"/>
  </w:num>
  <w:num w:numId="23">
    <w:abstractNumId w:val="21"/>
  </w:num>
  <w:num w:numId="24">
    <w:abstractNumId w:val="6"/>
  </w:num>
  <w:num w:numId="25">
    <w:abstractNumId w:val="7"/>
  </w:num>
  <w:num w:numId="26">
    <w:abstractNumId w:val="25"/>
  </w:num>
  <w:num w:numId="27">
    <w:abstractNumId w:val="0"/>
  </w:num>
  <w:num w:numId="28">
    <w:abstractNumId w:val="1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D"/>
    <w:rsid w:val="00000667"/>
    <w:rsid w:val="00002A12"/>
    <w:rsid w:val="00003F08"/>
    <w:rsid w:val="00004ACA"/>
    <w:rsid w:val="000057C7"/>
    <w:rsid w:val="0001136E"/>
    <w:rsid w:val="00013711"/>
    <w:rsid w:val="00014E0B"/>
    <w:rsid w:val="00021311"/>
    <w:rsid w:val="00021CB1"/>
    <w:rsid w:val="0002367D"/>
    <w:rsid w:val="0002381C"/>
    <w:rsid w:val="000334A6"/>
    <w:rsid w:val="00034AFD"/>
    <w:rsid w:val="00037879"/>
    <w:rsid w:val="00037E91"/>
    <w:rsid w:val="000425F4"/>
    <w:rsid w:val="00043B08"/>
    <w:rsid w:val="0004491C"/>
    <w:rsid w:val="00051C6D"/>
    <w:rsid w:val="00052706"/>
    <w:rsid w:val="000527BF"/>
    <w:rsid w:val="00054C9D"/>
    <w:rsid w:val="00056AFD"/>
    <w:rsid w:val="00057BCD"/>
    <w:rsid w:val="00060F6E"/>
    <w:rsid w:val="00062504"/>
    <w:rsid w:val="00065AED"/>
    <w:rsid w:val="00067CA1"/>
    <w:rsid w:val="000712D1"/>
    <w:rsid w:val="00072B9B"/>
    <w:rsid w:val="00074B63"/>
    <w:rsid w:val="000771A8"/>
    <w:rsid w:val="000824FA"/>
    <w:rsid w:val="00085DC0"/>
    <w:rsid w:val="00087447"/>
    <w:rsid w:val="00087A84"/>
    <w:rsid w:val="0009254C"/>
    <w:rsid w:val="0009308D"/>
    <w:rsid w:val="000944AB"/>
    <w:rsid w:val="0009559B"/>
    <w:rsid w:val="0009764F"/>
    <w:rsid w:val="000A0900"/>
    <w:rsid w:val="000A5DC6"/>
    <w:rsid w:val="000A647D"/>
    <w:rsid w:val="000A6BE6"/>
    <w:rsid w:val="000B00ED"/>
    <w:rsid w:val="000B03DA"/>
    <w:rsid w:val="000B07C2"/>
    <w:rsid w:val="000B238E"/>
    <w:rsid w:val="000B5DC5"/>
    <w:rsid w:val="000B6677"/>
    <w:rsid w:val="000B7411"/>
    <w:rsid w:val="000B7D3A"/>
    <w:rsid w:val="000C49AE"/>
    <w:rsid w:val="000C5321"/>
    <w:rsid w:val="000C7124"/>
    <w:rsid w:val="000C7DA1"/>
    <w:rsid w:val="000D0F07"/>
    <w:rsid w:val="000D2B0F"/>
    <w:rsid w:val="000D328C"/>
    <w:rsid w:val="000D5486"/>
    <w:rsid w:val="000D5A97"/>
    <w:rsid w:val="000D5AB6"/>
    <w:rsid w:val="000D5E8D"/>
    <w:rsid w:val="000D5EB4"/>
    <w:rsid w:val="000D6EF9"/>
    <w:rsid w:val="000D71CB"/>
    <w:rsid w:val="000D7736"/>
    <w:rsid w:val="000E0CE2"/>
    <w:rsid w:val="000E3749"/>
    <w:rsid w:val="000E7187"/>
    <w:rsid w:val="000E7FFA"/>
    <w:rsid w:val="000F1654"/>
    <w:rsid w:val="000F1A8E"/>
    <w:rsid w:val="000F2652"/>
    <w:rsid w:val="000F310F"/>
    <w:rsid w:val="000F5B43"/>
    <w:rsid w:val="00103562"/>
    <w:rsid w:val="00103603"/>
    <w:rsid w:val="00106E74"/>
    <w:rsid w:val="00113501"/>
    <w:rsid w:val="0011525A"/>
    <w:rsid w:val="00115CE8"/>
    <w:rsid w:val="001162CB"/>
    <w:rsid w:val="00117C57"/>
    <w:rsid w:val="00123E2D"/>
    <w:rsid w:val="001254D4"/>
    <w:rsid w:val="00130912"/>
    <w:rsid w:val="00133B3F"/>
    <w:rsid w:val="00135755"/>
    <w:rsid w:val="00135A7C"/>
    <w:rsid w:val="00136DDF"/>
    <w:rsid w:val="001379A5"/>
    <w:rsid w:val="00140378"/>
    <w:rsid w:val="00142275"/>
    <w:rsid w:val="001425DF"/>
    <w:rsid w:val="00145514"/>
    <w:rsid w:val="00147EE7"/>
    <w:rsid w:val="00150D25"/>
    <w:rsid w:val="001510C0"/>
    <w:rsid w:val="0015307F"/>
    <w:rsid w:val="00156A56"/>
    <w:rsid w:val="00156A9B"/>
    <w:rsid w:val="001630F8"/>
    <w:rsid w:val="00163229"/>
    <w:rsid w:val="00166E12"/>
    <w:rsid w:val="00172075"/>
    <w:rsid w:val="001741FF"/>
    <w:rsid w:val="00174B4E"/>
    <w:rsid w:val="00174C5D"/>
    <w:rsid w:val="001756E7"/>
    <w:rsid w:val="001764BA"/>
    <w:rsid w:val="0017668F"/>
    <w:rsid w:val="001766C6"/>
    <w:rsid w:val="001818DD"/>
    <w:rsid w:val="00185BD9"/>
    <w:rsid w:val="00191A4A"/>
    <w:rsid w:val="00193E90"/>
    <w:rsid w:val="0019447D"/>
    <w:rsid w:val="001A1D0A"/>
    <w:rsid w:val="001A2456"/>
    <w:rsid w:val="001A62A7"/>
    <w:rsid w:val="001B1271"/>
    <w:rsid w:val="001B3AF4"/>
    <w:rsid w:val="001B40C7"/>
    <w:rsid w:val="001B4C09"/>
    <w:rsid w:val="001C07A9"/>
    <w:rsid w:val="001C2164"/>
    <w:rsid w:val="001C4F95"/>
    <w:rsid w:val="001C6EB2"/>
    <w:rsid w:val="001D0053"/>
    <w:rsid w:val="001D36A4"/>
    <w:rsid w:val="001D64F7"/>
    <w:rsid w:val="001D6A3B"/>
    <w:rsid w:val="001D7DFE"/>
    <w:rsid w:val="001E05A1"/>
    <w:rsid w:val="001E17F6"/>
    <w:rsid w:val="001E27B5"/>
    <w:rsid w:val="001E63F2"/>
    <w:rsid w:val="001F072B"/>
    <w:rsid w:val="001F2947"/>
    <w:rsid w:val="001F420D"/>
    <w:rsid w:val="001F446D"/>
    <w:rsid w:val="00200FED"/>
    <w:rsid w:val="002020D3"/>
    <w:rsid w:val="002027C8"/>
    <w:rsid w:val="00205C20"/>
    <w:rsid w:val="00205E76"/>
    <w:rsid w:val="00206486"/>
    <w:rsid w:val="00210B74"/>
    <w:rsid w:val="00212FE8"/>
    <w:rsid w:val="002156B1"/>
    <w:rsid w:val="002172E8"/>
    <w:rsid w:val="0021762B"/>
    <w:rsid w:val="00217A99"/>
    <w:rsid w:val="00217E87"/>
    <w:rsid w:val="002222F4"/>
    <w:rsid w:val="00227253"/>
    <w:rsid w:val="0023092F"/>
    <w:rsid w:val="002319D2"/>
    <w:rsid w:val="00231A63"/>
    <w:rsid w:val="002321BC"/>
    <w:rsid w:val="002325F5"/>
    <w:rsid w:val="00236446"/>
    <w:rsid w:val="00240210"/>
    <w:rsid w:val="0024126E"/>
    <w:rsid w:val="002415B5"/>
    <w:rsid w:val="00245955"/>
    <w:rsid w:val="00247999"/>
    <w:rsid w:val="002511A8"/>
    <w:rsid w:val="002520B9"/>
    <w:rsid w:val="0025620D"/>
    <w:rsid w:val="00257EC9"/>
    <w:rsid w:val="00261122"/>
    <w:rsid w:val="00261B29"/>
    <w:rsid w:val="00265791"/>
    <w:rsid w:val="002703BC"/>
    <w:rsid w:val="002722BE"/>
    <w:rsid w:val="00272722"/>
    <w:rsid w:val="00276C1C"/>
    <w:rsid w:val="002814BB"/>
    <w:rsid w:val="00283421"/>
    <w:rsid w:val="0028359B"/>
    <w:rsid w:val="00283BC3"/>
    <w:rsid w:val="0028599E"/>
    <w:rsid w:val="00286F32"/>
    <w:rsid w:val="0029023F"/>
    <w:rsid w:val="002925E8"/>
    <w:rsid w:val="00293899"/>
    <w:rsid w:val="002939E4"/>
    <w:rsid w:val="00294656"/>
    <w:rsid w:val="00296E86"/>
    <w:rsid w:val="0029796F"/>
    <w:rsid w:val="002A03AC"/>
    <w:rsid w:val="002A132B"/>
    <w:rsid w:val="002A3102"/>
    <w:rsid w:val="002A634E"/>
    <w:rsid w:val="002A7DB6"/>
    <w:rsid w:val="002B2FFB"/>
    <w:rsid w:val="002B4569"/>
    <w:rsid w:val="002C1207"/>
    <w:rsid w:val="002C16F3"/>
    <w:rsid w:val="002C21CC"/>
    <w:rsid w:val="002C38CB"/>
    <w:rsid w:val="002C507A"/>
    <w:rsid w:val="002C557D"/>
    <w:rsid w:val="002C6BAE"/>
    <w:rsid w:val="002D083B"/>
    <w:rsid w:val="002D2706"/>
    <w:rsid w:val="002D2FB0"/>
    <w:rsid w:val="002D38EC"/>
    <w:rsid w:val="002D3CF0"/>
    <w:rsid w:val="002D60B9"/>
    <w:rsid w:val="002D73C5"/>
    <w:rsid w:val="002E0AA5"/>
    <w:rsid w:val="002E1C21"/>
    <w:rsid w:val="002E252E"/>
    <w:rsid w:val="002E673A"/>
    <w:rsid w:val="002E6F9E"/>
    <w:rsid w:val="002F2366"/>
    <w:rsid w:val="002F50CC"/>
    <w:rsid w:val="0030688A"/>
    <w:rsid w:val="0031045B"/>
    <w:rsid w:val="00314C84"/>
    <w:rsid w:val="00315124"/>
    <w:rsid w:val="00320914"/>
    <w:rsid w:val="00322646"/>
    <w:rsid w:val="003226FE"/>
    <w:rsid w:val="003248FA"/>
    <w:rsid w:val="00334D2C"/>
    <w:rsid w:val="003424CA"/>
    <w:rsid w:val="00344EAF"/>
    <w:rsid w:val="003453E3"/>
    <w:rsid w:val="003501A5"/>
    <w:rsid w:val="003506D8"/>
    <w:rsid w:val="003507F5"/>
    <w:rsid w:val="00352A93"/>
    <w:rsid w:val="00353FC5"/>
    <w:rsid w:val="00354467"/>
    <w:rsid w:val="00354BE3"/>
    <w:rsid w:val="00356922"/>
    <w:rsid w:val="003574BE"/>
    <w:rsid w:val="0036027A"/>
    <w:rsid w:val="00361DD5"/>
    <w:rsid w:val="0036274E"/>
    <w:rsid w:val="00363563"/>
    <w:rsid w:val="00364A4A"/>
    <w:rsid w:val="003652BB"/>
    <w:rsid w:val="003667A2"/>
    <w:rsid w:val="00366AD3"/>
    <w:rsid w:val="00366BE4"/>
    <w:rsid w:val="00366E50"/>
    <w:rsid w:val="0036721B"/>
    <w:rsid w:val="003729F7"/>
    <w:rsid w:val="00375DBA"/>
    <w:rsid w:val="0037775C"/>
    <w:rsid w:val="00385CBE"/>
    <w:rsid w:val="0038717B"/>
    <w:rsid w:val="00387BF8"/>
    <w:rsid w:val="00391353"/>
    <w:rsid w:val="003933C1"/>
    <w:rsid w:val="00397DE1"/>
    <w:rsid w:val="003A03CB"/>
    <w:rsid w:val="003A1FA1"/>
    <w:rsid w:val="003A3009"/>
    <w:rsid w:val="003A3749"/>
    <w:rsid w:val="003A3C3B"/>
    <w:rsid w:val="003A4995"/>
    <w:rsid w:val="003A5E67"/>
    <w:rsid w:val="003A634D"/>
    <w:rsid w:val="003A7D32"/>
    <w:rsid w:val="003B0A14"/>
    <w:rsid w:val="003B407B"/>
    <w:rsid w:val="003B4A12"/>
    <w:rsid w:val="003B5A31"/>
    <w:rsid w:val="003B631D"/>
    <w:rsid w:val="003B7D73"/>
    <w:rsid w:val="003B7E40"/>
    <w:rsid w:val="003C0181"/>
    <w:rsid w:val="003C1A73"/>
    <w:rsid w:val="003C2132"/>
    <w:rsid w:val="003C56FB"/>
    <w:rsid w:val="003C7200"/>
    <w:rsid w:val="003C7A2B"/>
    <w:rsid w:val="003D07E5"/>
    <w:rsid w:val="003D2B02"/>
    <w:rsid w:val="003D6425"/>
    <w:rsid w:val="003E1005"/>
    <w:rsid w:val="003E16FA"/>
    <w:rsid w:val="003E5B38"/>
    <w:rsid w:val="003E5BD8"/>
    <w:rsid w:val="003E745C"/>
    <w:rsid w:val="003E7F43"/>
    <w:rsid w:val="003F2661"/>
    <w:rsid w:val="003F4B10"/>
    <w:rsid w:val="00404303"/>
    <w:rsid w:val="00405927"/>
    <w:rsid w:val="004073B3"/>
    <w:rsid w:val="00407A6E"/>
    <w:rsid w:val="00407B38"/>
    <w:rsid w:val="00410683"/>
    <w:rsid w:val="00411AF1"/>
    <w:rsid w:val="00411C23"/>
    <w:rsid w:val="00411CAC"/>
    <w:rsid w:val="00414F0F"/>
    <w:rsid w:val="00417C31"/>
    <w:rsid w:val="00417DCD"/>
    <w:rsid w:val="00417E5D"/>
    <w:rsid w:val="00421A62"/>
    <w:rsid w:val="004223CC"/>
    <w:rsid w:val="004237F2"/>
    <w:rsid w:val="00426DE8"/>
    <w:rsid w:val="004309E0"/>
    <w:rsid w:val="00431397"/>
    <w:rsid w:val="00431EF2"/>
    <w:rsid w:val="00432383"/>
    <w:rsid w:val="00432821"/>
    <w:rsid w:val="00432C6A"/>
    <w:rsid w:val="00444F6D"/>
    <w:rsid w:val="004452F6"/>
    <w:rsid w:val="004458C4"/>
    <w:rsid w:val="00446C3C"/>
    <w:rsid w:val="00451396"/>
    <w:rsid w:val="00451B87"/>
    <w:rsid w:val="00454FDF"/>
    <w:rsid w:val="00460733"/>
    <w:rsid w:val="00460E3A"/>
    <w:rsid w:val="00461306"/>
    <w:rsid w:val="00461F0A"/>
    <w:rsid w:val="004627A9"/>
    <w:rsid w:val="00462934"/>
    <w:rsid w:val="0046483F"/>
    <w:rsid w:val="00464D9C"/>
    <w:rsid w:val="00465E04"/>
    <w:rsid w:val="00466662"/>
    <w:rsid w:val="00466988"/>
    <w:rsid w:val="0047138E"/>
    <w:rsid w:val="00471A0C"/>
    <w:rsid w:val="00472AB9"/>
    <w:rsid w:val="0047394D"/>
    <w:rsid w:val="0047570A"/>
    <w:rsid w:val="0047775E"/>
    <w:rsid w:val="00482528"/>
    <w:rsid w:val="00482B19"/>
    <w:rsid w:val="00484795"/>
    <w:rsid w:val="00484B19"/>
    <w:rsid w:val="00486452"/>
    <w:rsid w:val="004868A9"/>
    <w:rsid w:val="00486E2A"/>
    <w:rsid w:val="00493AA1"/>
    <w:rsid w:val="00497551"/>
    <w:rsid w:val="004A087A"/>
    <w:rsid w:val="004A31D5"/>
    <w:rsid w:val="004A3E5F"/>
    <w:rsid w:val="004A4107"/>
    <w:rsid w:val="004A4908"/>
    <w:rsid w:val="004A494F"/>
    <w:rsid w:val="004A7E0A"/>
    <w:rsid w:val="004B22D6"/>
    <w:rsid w:val="004B2DF6"/>
    <w:rsid w:val="004B3039"/>
    <w:rsid w:val="004B3193"/>
    <w:rsid w:val="004B5216"/>
    <w:rsid w:val="004B53F6"/>
    <w:rsid w:val="004C038A"/>
    <w:rsid w:val="004C2D2C"/>
    <w:rsid w:val="004C7038"/>
    <w:rsid w:val="004C74AF"/>
    <w:rsid w:val="004D2EBC"/>
    <w:rsid w:val="004D5055"/>
    <w:rsid w:val="004D62AA"/>
    <w:rsid w:val="004D6F50"/>
    <w:rsid w:val="004E032B"/>
    <w:rsid w:val="004E03D9"/>
    <w:rsid w:val="004E0A08"/>
    <w:rsid w:val="004E35D3"/>
    <w:rsid w:val="004E4C5D"/>
    <w:rsid w:val="004E67D0"/>
    <w:rsid w:val="004F28BA"/>
    <w:rsid w:val="004F2F56"/>
    <w:rsid w:val="004F3F60"/>
    <w:rsid w:val="004F5A13"/>
    <w:rsid w:val="004F63CF"/>
    <w:rsid w:val="00502BE1"/>
    <w:rsid w:val="00505C66"/>
    <w:rsid w:val="00507094"/>
    <w:rsid w:val="00512FF9"/>
    <w:rsid w:val="0051423F"/>
    <w:rsid w:val="00517A05"/>
    <w:rsid w:val="005206BC"/>
    <w:rsid w:val="0052111C"/>
    <w:rsid w:val="00526478"/>
    <w:rsid w:val="00527454"/>
    <w:rsid w:val="00527D2B"/>
    <w:rsid w:val="00530065"/>
    <w:rsid w:val="00530AC5"/>
    <w:rsid w:val="0053293C"/>
    <w:rsid w:val="00535006"/>
    <w:rsid w:val="005359D9"/>
    <w:rsid w:val="00535DD9"/>
    <w:rsid w:val="005360D8"/>
    <w:rsid w:val="00536214"/>
    <w:rsid w:val="005368B1"/>
    <w:rsid w:val="005376BC"/>
    <w:rsid w:val="00540756"/>
    <w:rsid w:val="005446CC"/>
    <w:rsid w:val="00545300"/>
    <w:rsid w:val="0055097C"/>
    <w:rsid w:val="00553329"/>
    <w:rsid w:val="00554036"/>
    <w:rsid w:val="005550FD"/>
    <w:rsid w:val="005570A4"/>
    <w:rsid w:val="0055724A"/>
    <w:rsid w:val="00561B9C"/>
    <w:rsid w:val="00563775"/>
    <w:rsid w:val="00565BAF"/>
    <w:rsid w:val="00567E9D"/>
    <w:rsid w:val="0057087C"/>
    <w:rsid w:val="0057192B"/>
    <w:rsid w:val="00572909"/>
    <w:rsid w:val="00572B10"/>
    <w:rsid w:val="00573856"/>
    <w:rsid w:val="00580926"/>
    <w:rsid w:val="00581815"/>
    <w:rsid w:val="00581942"/>
    <w:rsid w:val="00581A68"/>
    <w:rsid w:val="005832F1"/>
    <w:rsid w:val="005850D1"/>
    <w:rsid w:val="0058566E"/>
    <w:rsid w:val="00586A7B"/>
    <w:rsid w:val="005874FD"/>
    <w:rsid w:val="005908AD"/>
    <w:rsid w:val="00590B65"/>
    <w:rsid w:val="00595F79"/>
    <w:rsid w:val="005A1AF8"/>
    <w:rsid w:val="005A5450"/>
    <w:rsid w:val="005A5781"/>
    <w:rsid w:val="005A57E9"/>
    <w:rsid w:val="005B12A7"/>
    <w:rsid w:val="005B32FB"/>
    <w:rsid w:val="005B4839"/>
    <w:rsid w:val="005B5078"/>
    <w:rsid w:val="005B542B"/>
    <w:rsid w:val="005C314A"/>
    <w:rsid w:val="005C3AB5"/>
    <w:rsid w:val="005C4B4A"/>
    <w:rsid w:val="005D1153"/>
    <w:rsid w:val="005D78C7"/>
    <w:rsid w:val="005E4997"/>
    <w:rsid w:val="005F1CD0"/>
    <w:rsid w:val="005F411B"/>
    <w:rsid w:val="005F572F"/>
    <w:rsid w:val="00601B98"/>
    <w:rsid w:val="00601FDF"/>
    <w:rsid w:val="006021D1"/>
    <w:rsid w:val="006104F1"/>
    <w:rsid w:val="00610C78"/>
    <w:rsid w:val="00610FF1"/>
    <w:rsid w:val="00617046"/>
    <w:rsid w:val="00621954"/>
    <w:rsid w:val="00622D58"/>
    <w:rsid w:val="006256D3"/>
    <w:rsid w:val="00631A76"/>
    <w:rsid w:val="006326DA"/>
    <w:rsid w:val="00633B05"/>
    <w:rsid w:val="006347C5"/>
    <w:rsid w:val="00642A6D"/>
    <w:rsid w:val="00645565"/>
    <w:rsid w:val="006457C8"/>
    <w:rsid w:val="00646EC1"/>
    <w:rsid w:val="00651083"/>
    <w:rsid w:val="00653153"/>
    <w:rsid w:val="006613CA"/>
    <w:rsid w:val="00662036"/>
    <w:rsid w:val="00664E07"/>
    <w:rsid w:val="00665237"/>
    <w:rsid w:val="00665BF6"/>
    <w:rsid w:val="00667201"/>
    <w:rsid w:val="00670C06"/>
    <w:rsid w:val="00670D5F"/>
    <w:rsid w:val="00673CEA"/>
    <w:rsid w:val="00680282"/>
    <w:rsid w:val="0068031E"/>
    <w:rsid w:val="00681D60"/>
    <w:rsid w:val="00682814"/>
    <w:rsid w:val="006853A8"/>
    <w:rsid w:val="0068552B"/>
    <w:rsid w:val="00686FBD"/>
    <w:rsid w:val="0068754E"/>
    <w:rsid w:val="00687797"/>
    <w:rsid w:val="006900D5"/>
    <w:rsid w:val="00691436"/>
    <w:rsid w:val="00691850"/>
    <w:rsid w:val="0069284C"/>
    <w:rsid w:val="00695DF8"/>
    <w:rsid w:val="00696BA9"/>
    <w:rsid w:val="0069727E"/>
    <w:rsid w:val="006A31BB"/>
    <w:rsid w:val="006A368B"/>
    <w:rsid w:val="006B05B0"/>
    <w:rsid w:val="006B09F3"/>
    <w:rsid w:val="006B1B44"/>
    <w:rsid w:val="006B1BE3"/>
    <w:rsid w:val="006C0797"/>
    <w:rsid w:val="006C1599"/>
    <w:rsid w:val="006C4DCD"/>
    <w:rsid w:val="006C5766"/>
    <w:rsid w:val="006C7E30"/>
    <w:rsid w:val="006D0D8D"/>
    <w:rsid w:val="006D1D20"/>
    <w:rsid w:val="006D26E2"/>
    <w:rsid w:val="006D2C3F"/>
    <w:rsid w:val="006D4989"/>
    <w:rsid w:val="006E384F"/>
    <w:rsid w:val="006F10C1"/>
    <w:rsid w:val="006F3CD2"/>
    <w:rsid w:val="006F761F"/>
    <w:rsid w:val="006F7847"/>
    <w:rsid w:val="007001DA"/>
    <w:rsid w:val="00702D98"/>
    <w:rsid w:val="00703F04"/>
    <w:rsid w:val="00706835"/>
    <w:rsid w:val="00711B6A"/>
    <w:rsid w:val="00712D21"/>
    <w:rsid w:val="00715C2E"/>
    <w:rsid w:val="00717623"/>
    <w:rsid w:val="007204C9"/>
    <w:rsid w:val="00721826"/>
    <w:rsid w:val="00721E00"/>
    <w:rsid w:val="00722373"/>
    <w:rsid w:val="00722697"/>
    <w:rsid w:val="00727E21"/>
    <w:rsid w:val="00734D7C"/>
    <w:rsid w:val="0073753A"/>
    <w:rsid w:val="007412E9"/>
    <w:rsid w:val="007431A9"/>
    <w:rsid w:val="007435BF"/>
    <w:rsid w:val="007455C7"/>
    <w:rsid w:val="007532D2"/>
    <w:rsid w:val="0075353B"/>
    <w:rsid w:val="00754543"/>
    <w:rsid w:val="00754700"/>
    <w:rsid w:val="0075513F"/>
    <w:rsid w:val="00755FA2"/>
    <w:rsid w:val="0075770F"/>
    <w:rsid w:val="007636C0"/>
    <w:rsid w:val="0076494F"/>
    <w:rsid w:val="0076607D"/>
    <w:rsid w:val="007754C0"/>
    <w:rsid w:val="00780648"/>
    <w:rsid w:val="00780E73"/>
    <w:rsid w:val="0078231A"/>
    <w:rsid w:val="00783482"/>
    <w:rsid w:val="0078399D"/>
    <w:rsid w:val="00784491"/>
    <w:rsid w:val="00787E08"/>
    <w:rsid w:val="007901EB"/>
    <w:rsid w:val="0079366F"/>
    <w:rsid w:val="00793941"/>
    <w:rsid w:val="0079399F"/>
    <w:rsid w:val="00793F4A"/>
    <w:rsid w:val="007A0588"/>
    <w:rsid w:val="007A148D"/>
    <w:rsid w:val="007A21F2"/>
    <w:rsid w:val="007A50BE"/>
    <w:rsid w:val="007A5887"/>
    <w:rsid w:val="007A5CB7"/>
    <w:rsid w:val="007A7287"/>
    <w:rsid w:val="007B21F1"/>
    <w:rsid w:val="007B29EB"/>
    <w:rsid w:val="007B3DB3"/>
    <w:rsid w:val="007B516B"/>
    <w:rsid w:val="007B5CE6"/>
    <w:rsid w:val="007B7236"/>
    <w:rsid w:val="007C201F"/>
    <w:rsid w:val="007D0FBB"/>
    <w:rsid w:val="007D38F9"/>
    <w:rsid w:val="007D4DFA"/>
    <w:rsid w:val="007D5CF6"/>
    <w:rsid w:val="007D65CB"/>
    <w:rsid w:val="007E3323"/>
    <w:rsid w:val="007E3703"/>
    <w:rsid w:val="007E4148"/>
    <w:rsid w:val="007E513D"/>
    <w:rsid w:val="007E651A"/>
    <w:rsid w:val="007F0318"/>
    <w:rsid w:val="007F045D"/>
    <w:rsid w:val="007F1FD8"/>
    <w:rsid w:val="007F3307"/>
    <w:rsid w:val="007F5E85"/>
    <w:rsid w:val="007F63E3"/>
    <w:rsid w:val="007F7CAA"/>
    <w:rsid w:val="00801091"/>
    <w:rsid w:val="00803B0E"/>
    <w:rsid w:val="00803D1E"/>
    <w:rsid w:val="00806056"/>
    <w:rsid w:val="0080745F"/>
    <w:rsid w:val="0081083C"/>
    <w:rsid w:val="00810848"/>
    <w:rsid w:val="0081250A"/>
    <w:rsid w:val="00812B41"/>
    <w:rsid w:val="008208CF"/>
    <w:rsid w:val="00820AED"/>
    <w:rsid w:val="008217ED"/>
    <w:rsid w:val="00822591"/>
    <w:rsid w:val="0082319F"/>
    <w:rsid w:val="0082789C"/>
    <w:rsid w:val="008332A4"/>
    <w:rsid w:val="0083450B"/>
    <w:rsid w:val="00834FF3"/>
    <w:rsid w:val="00835B9F"/>
    <w:rsid w:val="0083732E"/>
    <w:rsid w:val="0084054A"/>
    <w:rsid w:val="008422D0"/>
    <w:rsid w:val="00843E66"/>
    <w:rsid w:val="00847FF2"/>
    <w:rsid w:val="00850133"/>
    <w:rsid w:val="00850816"/>
    <w:rsid w:val="008574F8"/>
    <w:rsid w:val="008607AC"/>
    <w:rsid w:val="00861352"/>
    <w:rsid w:val="00861526"/>
    <w:rsid w:val="00862A5B"/>
    <w:rsid w:val="00862BDF"/>
    <w:rsid w:val="0086410A"/>
    <w:rsid w:val="00864282"/>
    <w:rsid w:val="008651BB"/>
    <w:rsid w:val="00872099"/>
    <w:rsid w:val="00873C3B"/>
    <w:rsid w:val="00874582"/>
    <w:rsid w:val="00874C1D"/>
    <w:rsid w:val="00875474"/>
    <w:rsid w:val="0087612B"/>
    <w:rsid w:val="00880EFC"/>
    <w:rsid w:val="00881570"/>
    <w:rsid w:val="0088381F"/>
    <w:rsid w:val="00886ABD"/>
    <w:rsid w:val="00886D42"/>
    <w:rsid w:val="00892F57"/>
    <w:rsid w:val="00894AD7"/>
    <w:rsid w:val="00896AD9"/>
    <w:rsid w:val="00896AF1"/>
    <w:rsid w:val="008979E9"/>
    <w:rsid w:val="008A0F9D"/>
    <w:rsid w:val="008A669E"/>
    <w:rsid w:val="008B27A9"/>
    <w:rsid w:val="008B30D0"/>
    <w:rsid w:val="008B32E0"/>
    <w:rsid w:val="008C141B"/>
    <w:rsid w:val="008C4611"/>
    <w:rsid w:val="008C6683"/>
    <w:rsid w:val="008C6E8B"/>
    <w:rsid w:val="008D17E6"/>
    <w:rsid w:val="008D2079"/>
    <w:rsid w:val="008E3337"/>
    <w:rsid w:val="008E6B23"/>
    <w:rsid w:val="008F06A4"/>
    <w:rsid w:val="008F26BF"/>
    <w:rsid w:val="008F2D7F"/>
    <w:rsid w:val="008F4EB8"/>
    <w:rsid w:val="008F5A2A"/>
    <w:rsid w:val="008F6887"/>
    <w:rsid w:val="008F7203"/>
    <w:rsid w:val="00903BEF"/>
    <w:rsid w:val="00904DD6"/>
    <w:rsid w:val="00904EB4"/>
    <w:rsid w:val="009060E9"/>
    <w:rsid w:val="00907E34"/>
    <w:rsid w:val="00910DC3"/>
    <w:rsid w:val="00913241"/>
    <w:rsid w:val="00914472"/>
    <w:rsid w:val="00920CC9"/>
    <w:rsid w:val="009216E0"/>
    <w:rsid w:val="009224F5"/>
    <w:rsid w:val="009230A4"/>
    <w:rsid w:val="00925BB9"/>
    <w:rsid w:val="00925E0E"/>
    <w:rsid w:val="00927B3A"/>
    <w:rsid w:val="0093711C"/>
    <w:rsid w:val="0093750E"/>
    <w:rsid w:val="009378FE"/>
    <w:rsid w:val="009404FC"/>
    <w:rsid w:val="0094361B"/>
    <w:rsid w:val="0094438E"/>
    <w:rsid w:val="00945618"/>
    <w:rsid w:val="009462C3"/>
    <w:rsid w:val="009502DF"/>
    <w:rsid w:val="0095032A"/>
    <w:rsid w:val="00950B33"/>
    <w:rsid w:val="009510F6"/>
    <w:rsid w:val="00951291"/>
    <w:rsid w:val="0095763E"/>
    <w:rsid w:val="00963685"/>
    <w:rsid w:val="00966298"/>
    <w:rsid w:val="00966DE6"/>
    <w:rsid w:val="009707C7"/>
    <w:rsid w:val="009729F7"/>
    <w:rsid w:val="009739E6"/>
    <w:rsid w:val="009743D2"/>
    <w:rsid w:val="0097508F"/>
    <w:rsid w:val="00982677"/>
    <w:rsid w:val="009833E5"/>
    <w:rsid w:val="00985AA6"/>
    <w:rsid w:val="009871A3"/>
    <w:rsid w:val="00991113"/>
    <w:rsid w:val="0099611F"/>
    <w:rsid w:val="00996D31"/>
    <w:rsid w:val="009A01F4"/>
    <w:rsid w:val="009A068A"/>
    <w:rsid w:val="009A2022"/>
    <w:rsid w:val="009A2ECA"/>
    <w:rsid w:val="009A4FCA"/>
    <w:rsid w:val="009A7FB2"/>
    <w:rsid w:val="009B2512"/>
    <w:rsid w:val="009B3250"/>
    <w:rsid w:val="009B437C"/>
    <w:rsid w:val="009B5455"/>
    <w:rsid w:val="009C5F37"/>
    <w:rsid w:val="009C5FF0"/>
    <w:rsid w:val="009C6D7F"/>
    <w:rsid w:val="009C6F8C"/>
    <w:rsid w:val="009C76EC"/>
    <w:rsid w:val="009D1F64"/>
    <w:rsid w:val="009D2957"/>
    <w:rsid w:val="009D43DB"/>
    <w:rsid w:val="009D53B4"/>
    <w:rsid w:val="009D651C"/>
    <w:rsid w:val="009D7591"/>
    <w:rsid w:val="009D76BD"/>
    <w:rsid w:val="009E01D5"/>
    <w:rsid w:val="009E2361"/>
    <w:rsid w:val="009E2DB2"/>
    <w:rsid w:val="009E339E"/>
    <w:rsid w:val="009E6DA0"/>
    <w:rsid w:val="009F0437"/>
    <w:rsid w:val="009F214B"/>
    <w:rsid w:val="009F262D"/>
    <w:rsid w:val="009F342F"/>
    <w:rsid w:val="009F3C50"/>
    <w:rsid w:val="009F4242"/>
    <w:rsid w:val="009F4276"/>
    <w:rsid w:val="009F6DDE"/>
    <w:rsid w:val="00A00210"/>
    <w:rsid w:val="00A026AA"/>
    <w:rsid w:val="00A02D05"/>
    <w:rsid w:val="00A02DAC"/>
    <w:rsid w:val="00A04F77"/>
    <w:rsid w:val="00A05512"/>
    <w:rsid w:val="00A075D3"/>
    <w:rsid w:val="00A10F2F"/>
    <w:rsid w:val="00A12F07"/>
    <w:rsid w:val="00A134E6"/>
    <w:rsid w:val="00A161CF"/>
    <w:rsid w:val="00A20D5A"/>
    <w:rsid w:val="00A21209"/>
    <w:rsid w:val="00A227D9"/>
    <w:rsid w:val="00A25198"/>
    <w:rsid w:val="00A2674E"/>
    <w:rsid w:val="00A26BA7"/>
    <w:rsid w:val="00A271BD"/>
    <w:rsid w:val="00A322EB"/>
    <w:rsid w:val="00A345A9"/>
    <w:rsid w:val="00A35622"/>
    <w:rsid w:val="00A35EE7"/>
    <w:rsid w:val="00A37127"/>
    <w:rsid w:val="00A407DA"/>
    <w:rsid w:val="00A40C70"/>
    <w:rsid w:val="00A428DD"/>
    <w:rsid w:val="00A44341"/>
    <w:rsid w:val="00A4435B"/>
    <w:rsid w:val="00A4437E"/>
    <w:rsid w:val="00A44F43"/>
    <w:rsid w:val="00A466CF"/>
    <w:rsid w:val="00A52BDA"/>
    <w:rsid w:val="00A54711"/>
    <w:rsid w:val="00A54D26"/>
    <w:rsid w:val="00A552AD"/>
    <w:rsid w:val="00A57BDB"/>
    <w:rsid w:val="00A6152F"/>
    <w:rsid w:val="00A62BAD"/>
    <w:rsid w:val="00A63545"/>
    <w:rsid w:val="00A64ABF"/>
    <w:rsid w:val="00A64D19"/>
    <w:rsid w:val="00A6745B"/>
    <w:rsid w:val="00A71242"/>
    <w:rsid w:val="00A7271C"/>
    <w:rsid w:val="00A73CAA"/>
    <w:rsid w:val="00A73FDC"/>
    <w:rsid w:val="00A74C0D"/>
    <w:rsid w:val="00A75010"/>
    <w:rsid w:val="00A77079"/>
    <w:rsid w:val="00A80D80"/>
    <w:rsid w:val="00A84E53"/>
    <w:rsid w:val="00A84E92"/>
    <w:rsid w:val="00A8552F"/>
    <w:rsid w:val="00A8596F"/>
    <w:rsid w:val="00A86178"/>
    <w:rsid w:val="00A864CD"/>
    <w:rsid w:val="00A870E7"/>
    <w:rsid w:val="00A90158"/>
    <w:rsid w:val="00A913B2"/>
    <w:rsid w:val="00A9273C"/>
    <w:rsid w:val="00A944D9"/>
    <w:rsid w:val="00AA1330"/>
    <w:rsid w:val="00AA200F"/>
    <w:rsid w:val="00AA2FAF"/>
    <w:rsid w:val="00AA55FD"/>
    <w:rsid w:val="00AA5C5F"/>
    <w:rsid w:val="00AA7525"/>
    <w:rsid w:val="00AB0793"/>
    <w:rsid w:val="00AB1053"/>
    <w:rsid w:val="00AB1C2C"/>
    <w:rsid w:val="00AB2663"/>
    <w:rsid w:val="00AB4390"/>
    <w:rsid w:val="00AB4814"/>
    <w:rsid w:val="00AB6C1A"/>
    <w:rsid w:val="00AC05C3"/>
    <w:rsid w:val="00AC2A39"/>
    <w:rsid w:val="00AC3FA0"/>
    <w:rsid w:val="00AC4270"/>
    <w:rsid w:val="00AC5003"/>
    <w:rsid w:val="00AC6040"/>
    <w:rsid w:val="00AD12D2"/>
    <w:rsid w:val="00AD2429"/>
    <w:rsid w:val="00AD41B0"/>
    <w:rsid w:val="00AD54A9"/>
    <w:rsid w:val="00AD7961"/>
    <w:rsid w:val="00AE0A5D"/>
    <w:rsid w:val="00AE1661"/>
    <w:rsid w:val="00AE42E4"/>
    <w:rsid w:val="00AF0616"/>
    <w:rsid w:val="00AF27F3"/>
    <w:rsid w:val="00AF2DFD"/>
    <w:rsid w:val="00AF79DA"/>
    <w:rsid w:val="00B022E6"/>
    <w:rsid w:val="00B0771D"/>
    <w:rsid w:val="00B07E08"/>
    <w:rsid w:val="00B109A4"/>
    <w:rsid w:val="00B12874"/>
    <w:rsid w:val="00B155EB"/>
    <w:rsid w:val="00B210B1"/>
    <w:rsid w:val="00B225DE"/>
    <w:rsid w:val="00B22AD4"/>
    <w:rsid w:val="00B22F96"/>
    <w:rsid w:val="00B23426"/>
    <w:rsid w:val="00B244BA"/>
    <w:rsid w:val="00B24AE2"/>
    <w:rsid w:val="00B30D0A"/>
    <w:rsid w:val="00B34E32"/>
    <w:rsid w:val="00B411D3"/>
    <w:rsid w:val="00B4253B"/>
    <w:rsid w:val="00B43A82"/>
    <w:rsid w:val="00B4464D"/>
    <w:rsid w:val="00B50361"/>
    <w:rsid w:val="00B509DC"/>
    <w:rsid w:val="00B53372"/>
    <w:rsid w:val="00B55152"/>
    <w:rsid w:val="00B552FA"/>
    <w:rsid w:val="00B579B2"/>
    <w:rsid w:val="00B602F0"/>
    <w:rsid w:val="00B63F66"/>
    <w:rsid w:val="00B72CC8"/>
    <w:rsid w:val="00B74DF0"/>
    <w:rsid w:val="00B7799E"/>
    <w:rsid w:val="00B77E4B"/>
    <w:rsid w:val="00B81771"/>
    <w:rsid w:val="00B82996"/>
    <w:rsid w:val="00B82E64"/>
    <w:rsid w:val="00B83815"/>
    <w:rsid w:val="00B83C22"/>
    <w:rsid w:val="00B850A4"/>
    <w:rsid w:val="00B87357"/>
    <w:rsid w:val="00B91050"/>
    <w:rsid w:val="00B9663B"/>
    <w:rsid w:val="00BA32C7"/>
    <w:rsid w:val="00BA76BB"/>
    <w:rsid w:val="00BB2930"/>
    <w:rsid w:val="00BB3F37"/>
    <w:rsid w:val="00BB5C4E"/>
    <w:rsid w:val="00BC075F"/>
    <w:rsid w:val="00BC3B63"/>
    <w:rsid w:val="00BD21B4"/>
    <w:rsid w:val="00BD2882"/>
    <w:rsid w:val="00BD2A95"/>
    <w:rsid w:val="00BD4B5F"/>
    <w:rsid w:val="00BE02F8"/>
    <w:rsid w:val="00BE03A7"/>
    <w:rsid w:val="00BF1C03"/>
    <w:rsid w:val="00BF2847"/>
    <w:rsid w:val="00BF3123"/>
    <w:rsid w:val="00BF6768"/>
    <w:rsid w:val="00BF6776"/>
    <w:rsid w:val="00C0103D"/>
    <w:rsid w:val="00C01191"/>
    <w:rsid w:val="00C01C47"/>
    <w:rsid w:val="00C02BAE"/>
    <w:rsid w:val="00C03602"/>
    <w:rsid w:val="00C05392"/>
    <w:rsid w:val="00C066E1"/>
    <w:rsid w:val="00C1117C"/>
    <w:rsid w:val="00C13337"/>
    <w:rsid w:val="00C14C2F"/>
    <w:rsid w:val="00C200EE"/>
    <w:rsid w:val="00C20A22"/>
    <w:rsid w:val="00C20B79"/>
    <w:rsid w:val="00C211C2"/>
    <w:rsid w:val="00C21EB5"/>
    <w:rsid w:val="00C24D16"/>
    <w:rsid w:val="00C26BBD"/>
    <w:rsid w:val="00C31126"/>
    <w:rsid w:val="00C31CFB"/>
    <w:rsid w:val="00C32691"/>
    <w:rsid w:val="00C32A16"/>
    <w:rsid w:val="00C32CD7"/>
    <w:rsid w:val="00C34B87"/>
    <w:rsid w:val="00C35319"/>
    <w:rsid w:val="00C372DF"/>
    <w:rsid w:val="00C4054D"/>
    <w:rsid w:val="00C42604"/>
    <w:rsid w:val="00C452EE"/>
    <w:rsid w:val="00C47268"/>
    <w:rsid w:val="00C5100F"/>
    <w:rsid w:val="00C53588"/>
    <w:rsid w:val="00C55C00"/>
    <w:rsid w:val="00C56C2D"/>
    <w:rsid w:val="00C628AC"/>
    <w:rsid w:val="00C62B0A"/>
    <w:rsid w:val="00C72EE2"/>
    <w:rsid w:val="00C73773"/>
    <w:rsid w:val="00C74050"/>
    <w:rsid w:val="00C75930"/>
    <w:rsid w:val="00C82223"/>
    <w:rsid w:val="00C833F4"/>
    <w:rsid w:val="00C83C47"/>
    <w:rsid w:val="00C83D90"/>
    <w:rsid w:val="00C84740"/>
    <w:rsid w:val="00C8610E"/>
    <w:rsid w:val="00C901AD"/>
    <w:rsid w:val="00C90C06"/>
    <w:rsid w:val="00C95822"/>
    <w:rsid w:val="00C96C31"/>
    <w:rsid w:val="00C973E0"/>
    <w:rsid w:val="00CA01E7"/>
    <w:rsid w:val="00CA09CE"/>
    <w:rsid w:val="00CA0BC4"/>
    <w:rsid w:val="00CA0C45"/>
    <w:rsid w:val="00CA4272"/>
    <w:rsid w:val="00CA78A1"/>
    <w:rsid w:val="00CA7B4B"/>
    <w:rsid w:val="00CB38A6"/>
    <w:rsid w:val="00CB547D"/>
    <w:rsid w:val="00CB60BF"/>
    <w:rsid w:val="00CB75A7"/>
    <w:rsid w:val="00CC37B8"/>
    <w:rsid w:val="00CC3F79"/>
    <w:rsid w:val="00CC4A57"/>
    <w:rsid w:val="00CC6112"/>
    <w:rsid w:val="00CD1CA4"/>
    <w:rsid w:val="00CD1D91"/>
    <w:rsid w:val="00CD23F5"/>
    <w:rsid w:val="00CD4F7B"/>
    <w:rsid w:val="00CD619B"/>
    <w:rsid w:val="00CD6C68"/>
    <w:rsid w:val="00CD700B"/>
    <w:rsid w:val="00CE170D"/>
    <w:rsid w:val="00CE66D2"/>
    <w:rsid w:val="00CE7E32"/>
    <w:rsid w:val="00CF0768"/>
    <w:rsid w:val="00CF1169"/>
    <w:rsid w:val="00CF3F3A"/>
    <w:rsid w:val="00CF44D5"/>
    <w:rsid w:val="00CF4988"/>
    <w:rsid w:val="00CF71F0"/>
    <w:rsid w:val="00D01908"/>
    <w:rsid w:val="00D02E24"/>
    <w:rsid w:val="00D02EB4"/>
    <w:rsid w:val="00D05808"/>
    <w:rsid w:val="00D15DFD"/>
    <w:rsid w:val="00D21A0E"/>
    <w:rsid w:val="00D227DA"/>
    <w:rsid w:val="00D23360"/>
    <w:rsid w:val="00D2393C"/>
    <w:rsid w:val="00D24F72"/>
    <w:rsid w:val="00D271D2"/>
    <w:rsid w:val="00D27269"/>
    <w:rsid w:val="00D27561"/>
    <w:rsid w:val="00D30C14"/>
    <w:rsid w:val="00D325FA"/>
    <w:rsid w:val="00D32F62"/>
    <w:rsid w:val="00D33B29"/>
    <w:rsid w:val="00D354C5"/>
    <w:rsid w:val="00D4053C"/>
    <w:rsid w:val="00D46147"/>
    <w:rsid w:val="00D4625E"/>
    <w:rsid w:val="00D46E36"/>
    <w:rsid w:val="00D531E0"/>
    <w:rsid w:val="00D53B85"/>
    <w:rsid w:val="00D567D3"/>
    <w:rsid w:val="00D63311"/>
    <w:rsid w:val="00D64482"/>
    <w:rsid w:val="00D649CF"/>
    <w:rsid w:val="00D65BF1"/>
    <w:rsid w:val="00D664C9"/>
    <w:rsid w:val="00D66C79"/>
    <w:rsid w:val="00D67437"/>
    <w:rsid w:val="00D7025B"/>
    <w:rsid w:val="00D71A37"/>
    <w:rsid w:val="00D72D2A"/>
    <w:rsid w:val="00D73E8D"/>
    <w:rsid w:val="00D8061D"/>
    <w:rsid w:val="00D8097F"/>
    <w:rsid w:val="00D8158D"/>
    <w:rsid w:val="00D8202B"/>
    <w:rsid w:val="00D826F1"/>
    <w:rsid w:val="00D83F21"/>
    <w:rsid w:val="00D8429E"/>
    <w:rsid w:val="00D84566"/>
    <w:rsid w:val="00D85381"/>
    <w:rsid w:val="00D92161"/>
    <w:rsid w:val="00D93EA7"/>
    <w:rsid w:val="00D946C0"/>
    <w:rsid w:val="00D9485A"/>
    <w:rsid w:val="00D953F1"/>
    <w:rsid w:val="00D9637E"/>
    <w:rsid w:val="00D974CE"/>
    <w:rsid w:val="00DA19B9"/>
    <w:rsid w:val="00DA3554"/>
    <w:rsid w:val="00DA4112"/>
    <w:rsid w:val="00DA4D70"/>
    <w:rsid w:val="00DA7735"/>
    <w:rsid w:val="00DA7E05"/>
    <w:rsid w:val="00DB25D0"/>
    <w:rsid w:val="00DB2812"/>
    <w:rsid w:val="00DB2F8F"/>
    <w:rsid w:val="00DB6BC9"/>
    <w:rsid w:val="00DC3A3E"/>
    <w:rsid w:val="00DC3C9C"/>
    <w:rsid w:val="00DC6925"/>
    <w:rsid w:val="00DC6965"/>
    <w:rsid w:val="00DC76D6"/>
    <w:rsid w:val="00DD137E"/>
    <w:rsid w:val="00DD3D6E"/>
    <w:rsid w:val="00DD5B72"/>
    <w:rsid w:val="00DD5FB0"/>
    <w:rsid w:val="00DE0FB1"/>
    <w:rsid w:val="00DE3B7E"/>
    <w:rsid w:val="00DE4E5D"/>
    <w:rsid w:val="00DE4FAB"/>
    <w:rsid w:val="00DE6596"/>
    <w:rsid w:val="00DF08C8"/>
    <w:rsid w:val="00DF3C94"/>
    <w:rsid w:val="00DF4AC4"/>
    <w:rsid w:val="00DF6724"/>
    <w:rsid w:val="00DF6762"/>
    <w:rsid w:val="00DF67FB"/>
    <w:rsid w:val="00E01546"/>
    <w:rsid w:val="00E02F9D"/>
    <w:rsid w:val="00E03953"/>
    <w:rsid w:val="00E055EB"/>
    <w:rsid w:val="00E05D91"/>
    <w:rsid w:val="00E07776"/>
    <w:rsid w:val="00E112A1"/>
    <w:rsid w:val="00E13D21"/>
    <w:rsid w:val="00E14158"/>
    <w:rsid w:val="00E14FDA"/>
    <w:rsid w:val="00E1658D"/>
    <w:rsid w:val="00E165D4"/>
    <w:rsid w:val="00E16A64"/>
    <w:rsid w:val="00E208DF"/>
    <w:rsid w:val="00E226D2"/>
    <w:rsid w:val="00E23EE3"/>
    <w:rsid w:val="00E24A0C"/>
    <w:rsid w:val="00E25E15"/>
    <w:rsid w:val="00E3211A"/>
    <w:rsid w:val="00E32FC6"/>
    <w:rsid w:val="00E41848"/>
    <w:rsid w:val="00E41BBA"/>
    <w:rsid w:val="00E439F6"/>
    <w:rsid w:val="00E46146"/>
    <w:rsid w:val="00E46A2B"/>
    <w:rsid w:val="00E50655"/>
    <w:rsid w:val="00E548E7"/>
    <w:rsid w:val="00E55532"/>
    <w:rsid w:val="00E6773B"/>
    <w:rsid w:val="00E70B7E"/>
    <w:rsid w:val="00E71937"/>
    <w:rsid w:val="00E77C0F"/>
    <w:rsid w:val="00E804DD"/>
    <w:rsid w:val="00E81FE7"/>
    <w:rsid w:val="00E830A1"/>
    <w:rsid w:val="00E83D0F"/>
    <w:rsid w:val="00E848EC"/>
    <w:rsid w:val="00E84C1F"/>
    <w:rsid w:val="00E852D5"/>
    <w:rsid w:val="00E8656A"/>
    <w:rsid w:val="00E92658"/>
    <w:rsid w:val="00E958B9"/>
    <w:rsid w:val="00E95BEA"/>
    <w:rsid w:val="00E97DCF"/>
    <w:rsid w:val="00EA1721"/>
    <w:rsid w:val="00EA177C"/>
    <w:rsid w:val="00EA1C6F"/>
    <w:rsid w:val="00EA55C6"/>
    <w:rsid w:val="00EA780A"/>
    <w:rsid w:val="00EB1A58"/>
    <w:rsid w:val="00EB2DE1"/>
    <w:rsid w:val="00EB3671"/>
    <w:rsid w:val="00EB4FE9"/>
    <w:rsid w:val="00EB51E4"/>
    <w:rsid w:val="00EB7618"/>
    <w:rsid w:val="00EC0F74"/>
    <w:rsid w:val="00EC4402"/>
    <w:rsid w:val="00EC45B9"/>
    <w:rsid w:val="00EC4BE8"/>
    <w:rsid w:val="00EC643E"/>
    <w:rsid w:val="00EC6D4A"/>
    <w:rsid w:val="00EC7425"/>
    <w:rsid w:val="00ED48D4"/>
    <w:rsid w:val="00ED5267"/>
    <w:rsid w:val="00ED7FD1"/>
    <w:rsid w:val="00EE00CA"/>
    <w:rsid w:val="00EE2113"/>
    <w:rsid w:val="00EE508D"/>
    <w:rsid w:val="00EE6C37"/>
    <w:rsid w:val="00EF1833"/>
    <w:rsid w:val="00EF39B3"/>
    <w:rsid w:val="00EF6333"/>
    <w:rsid w:val="00EF69E9"/>
    <w:rsid w:val="00EF6CAF"/>
    <w:rsid w:val="00EF6D9B"/>
    <w:rsid w:val="00EF74B1"/>
    <w:rsid w:val="00EF7818"/>
    <w:rsid w:val="00F00EF0"/>
    <w:rsid w:val="00F02CD8"/>
    <w:rsid w:val="00F04D23"/>
    <w:rsid w:val="00F11033"/>
    <w:rsid w:val="00F11D7C"/>
    <w:rsid w:val="00F13A53"/>
    <w:rsid w:val="00F1613F"/>
    <w:rsid w:val="00F16FD1"/>
    <w:rsid w:val="00F17C1F"/>
    <w:rsid w:val="00F20540"/>
    <w:rsid w:val="00F20AF2"/>
    <w:rsid w:val="00F21038"/>
    <w:rsid w:val="00F22BFF"/>
    <w:rsid w:val="00F24F6E"/>
    <w:rsid w:val="00F2541F"/>
    <w:rsid w:val="00F27980"/>
    <w:rsid w:val="00F312CF"/>
    <w:rsid w:val="00F3230D"/>
    <w:rsid w:val="00F33330"/>
    <w:rsid w:val="00F34D21"/>
    <w:rsid w:val="00F40914"/>
    <w:rsid w:val="00F42F8C"/>
    <w:rsid w:val="00F4364E"/>
    <w:rsid w:val="00F454A9"/>
    <w:rsid w:val="00F459E6"/>
    <w:rsid w:val="00F52734"/>
    <w:rsid w:val="00F551CE"/>
    <w:rsid w:val="00F60C1A"/>
    <w:rsid w:val="00F641FB"/>
    <w:rsid w:val="00F661DD"/>
    <w:rsid w:val="00F662B5"/>
    <w:rsid w:val="00F665A4"/>
    <w:rsid w:val="00F6694B"/>
    <w:rsid w:val="00F708B9"/>
    <w:rsid w:val="00F70F99"/>
    <w:rsid w:val="00F730AB"/>
    <w:rsid w:val="00F7315A"/>
    <w:rsid w:val="00F746CE"/>
    <w:rsid w:val="00F84B2C"/>
    <w:rsid w:val="00F84F17"/>
    <w:rsid w:val="00F8629D"/>
    <w:rsid w:val="00F86FEF"/>
    <w:rsid w:val="00F874D8"/>
    <w:rsid w:val="00F87654"/>
    <w:rsid w:val="00F928CD"/>
    <w:rsid w:val="00F966E5"/>
    <w:rsid w:val="00FA04C5"/>
    <w:rsid w:val="00FA1171"/>
    <w:rsid w:val="00FA5DF5"/>
    <w:rsid w:val="00FA6D15"/>
    <w:rsid w:val="00FA6DB0"/>
    <w:rsid w:val="00FA7B3B"/>
    <w:rsid w:val="00FB1BA0"/>
    <w:rsid w:val="00FB5A76"/>
    <w:rsid w:val="00FB5C42"/>
    <w:rsid w:val="00FB7E26"/>
    <w:rsid w:val="00FC2481"/>
    <w:rsid w:val="00FC5CB7"/>
    <w:rsid w:val="00FD045B"/>
    <w:rsid w:val="00FD0BD2"/>
    <w:rsid w:val="00FD2789"/>
    <w:rsid w:val="00FD594A"/>
    <w:rsid w:val="00FE121B"/>
    <w:rsid w:val="00FE14B3"/>
    <w:rsid w:val="00FE3BC4"/>
    <w:rsid w:val="00FE4DA3"/>
    <w:rsid w:val="00FE50BD"/>
    <w:rsid w:val="00FF0DB5"/>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C6652E9-A487-444D-BCBE-177AE333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48"/>
    <w:rPr>
      <w:sz w:val="24"/>
      <w:szCs w:val="24"/>
      <w:lang w:val="es-ES" w:eastAsia="es-ES"/>
    </w:rPr>
  </w:style>
  <w:style w:type="paragraph" w:styleId="Ttulo1">
    <w:name w:val="heading 1"/>
    <w:basedOn w:val="Normal"/>
    <w:next w:val="Normal"/>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pPr>
      <w:keepNext/>
      <w:outlineLvl w:val="3"/>
    </w:pPr>
    <w:rPr>
      <w:rFonts w:ascii="Arial Narrow" w:hAnsi="Arial Narrow"/>
      <w:szCs w:val="20"/>
    </w:rPr>
  </w:style>
  <w:style w:type="paragraph" w:styleId="Ttulo5">
    <w:name w:val="heading 5"/>
    <w:basedOn w:val="Normal"/>
    <w:next w:val="Normal"/>
    <w:qFormat/>
    <w:pPr>
      <w:keepNext/>
      <w:outlineLvl w:val="4"/>
    </w:pPr>
    <w:rPr>
      <w:rFonts w:ascii="Arial Narrow" w:hAnsi="Arial Narrow"/>
      <w:b/>
      <w:szCs w:val="20"/>
    </w:rPr>
  </w:style>
  <w:style w:type="paragraph" w:styleId="Ttulo6">
    <w:name w:val="heading 6"/>
    <w:basedOn w:val="Normal"/>
    <w:next w:val="Normal"/>
    <w:qFormat/>
    <w:pPr>
      <w:keepNext/>
      <w:spacing w:line="360" w:lineRule="auto"/>
      <w:jc w:val="both"/>
      <w:outlineLvl w:val="5"/>
    </w:pPr>
    <w:rPr>
      <w:rFonts w:ascii="Arial" w:hAnsi="Arial" w:cs="Arial"/>
      <w:b/>
      <w:sz w:val="22"/>
    </w:rPr>
  </w:style>
  <w:style w:type="paragraph" w:styleId="Ttulo7">
    <w:name w:val="heading 7"/>
    <w:basedOn w:val="Normal"/>
    <w:next w:val="Normal"/>
    <w:qFormat/>
    <w:pPr>
      <w:keepNext/>
      <w:jc w:val="center"/>
      <w:outlineLvl w:val="6"/>
    </w:pPr>
    <w:rPr>
      <w:rFonts w:ascii="Arial" w:hAnsi="Arial" w:cs="Arial"/>
      <w:b/>
      <w:bCs/>
      <w:snapToGrid w:val="0"/>
      <w:sz w:val="22"/>
    </w:rPr>
  </w:style>
  <w:style w:type="paragraph" w:styleId="Ttulo8">
    <w:name w:val="heading 8"/>
    <w:basedOn w:val="Normal"/>
    <w:next w:val="Normal"/>
    <w:qFormat/>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line="360" w:lineRule="auto"/>
      <w:jc w:val="both"/>
    </w:pPr>
    <w:rPr>
      <w:rFonts w:ascii="Arial" w:hAnsi="Arial" w:cs="Arial"/>
      <w:sz w:val="22"/>
    </w:rPr>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
    <w:name w:val="Body Text"/>
    <w:basedOn w:val="Normal"/>
    <w:pPr>
      <w:tabs>
        <w:tab w:val="left" w:pos="2340"/>
      </w:tabs>
    </w:pPr>
    <w:rPr>
      <w:rFonts w:ascii="Arial" w:hAnsi="Arial" w:cs="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Sangradetextonormal">
    <w:name w:val="Body Text Indent"/>
    <w:basedOn w:val="Normal"/>
    <w:pPr>
      <w:spacing w:before="120" w:after="120" w:line="360" w:lineRule="auto"/>
      <w:ind w:firstLine="709"/>
      <w:jc w:val="both"/>
    </w:pPr>
    <w:rPr>
      <w:rFonts w:ascii="Arial" w:hAnsi="Arial"/>
      <w:sz w:val="22"/>
    </w:rPr>
  </w:style>
  <w:style w:type="paragraph" w:styleId="Sangra3detindependiente">
    <w:name w:val="Body Text Indent 3"/>
    <w:basedOn w:val="Normal"/>
    <w:pPr>
      <w:spacing w:line="360" w:lineRule="auto"/>
      <w:ind w:firstLine="2268"/>
      <w:jc w:val="both"/>
    </w:pPr>
    <w:rPr>
      <w:rFonts w:ascii="Arial" w:hAnsi="Arial" w:cs="Arial"/>
      <w:sz w:val="22"/>
    </w:rPr>
  </w:style>
  <w:style w:type="paragraph" w:styleId="Textodebloque">
    <w:name w:val="Block Text"/>
    <w:basedOn w:val="Normal"/>
    <w:pPr>
      <w:spacing w:line="360" w:lineRule="auto"/>
      <w:ind w:left="1260" w:right="2000"/>
      <w:jc w:val="both"/>
    </w:pPr>
    <w:rPr>
      <w:rFonts w:ascii="Arial" w:hAnsi="Arial" w:cs="Arial"/>
      <w:snapToGrid w:val="0"/>
      <w:sz w:val="22"/>
    </w:rPr>
  </w:style>
  <w:style w:type="paragraph" w:styleId="Textocomentario">
    <w:name w:val="annotation text"/>
    <w:basedOn w:val="Normal"/>
    <w:semiHidden/>
    <w:rPr>
      <w:sz w:val="20"/>
      <w:szCs w:val="20"/>
    </w:rPr>
  </w:style>
  <w:style w:type="character" w:styleId="Refdecomentario">
    <w:name w:val="annotation reference"/>
    <w:semiHidden/>
    <w:rPr>
      <w:sz w:val="16"/>
    </w:rPr>
  </w:style>
  <w:style w:type="paragraph" w:customStyle="1" w:styleId="personal">
    <w:name w:val="personal"/>
    <w:basedOn w:val="Normal"/>
    <w:pPr>
      <w:jc w:val="both"/>
    </w:pPr>
    <w:rPr>
      <w:rFonts w:ascii="Arial" w:hAnsi="Arial"/>
      <w:spacing w:val="6"/>
      <w:szCs w:val="20"/>
      <w:lang w:val="es-ES_tradnl"/>
    </w:rPr>
  </w:style>
  <w:style w:type="paragraph" w:styleId="Textodeglobo">
    <w:name w:val="Balloon Text"/>
    <w:basedOn w:val="Normal"/>
    <w:semiHidden/>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Calibri" w:hAnsi="Calibri"/>
      <w:b/>
      <w:bCs/>
      <w:caps/>
      <w:sz w:val="20"/>
      <w:szCs w:val="20"/>
    </w:rPr>
  </w:style>
  <w:style w:type="paragraph" w:styleId="TDC2">
    <w:name w:val="toc 2"/>
    <w:basedOn w:val="Normal"/>
    <w:next w:val="Normal"/>
    <w:autoRedefine/>
    <w:uiPriority w:val="39"/>
    <w:rsid w:val="00272722"/>
    <w:pPr>
      <w:ind w:left="240"/>
    </w:pPr>
    <w:rPr>
      <w:rFonts w:ascii="Calibri" w:hAnsi="Calibri"/>
      <w:smallCaps/>
      <w:sz w:val="20"/>
      <w:szCs w:val="20"/>
    </w:rPr>
  </w:style>
  <w:style w:type="paragraph" w:styleId="TDC3">
    <w:name w:val="toc 3"/>
    <w:basedOn w:val="Normal"/>
    <w:next w:val="Normal"/>
    <w:autoRedefine/>
    <w:uiPriority w:val="39"/>
    <w:rsid w:val="00272722"/>
    <w:pPr>
      <w:ind w:left="480"/>
    </w:pPr>
    <w:rPr>
      <w:rFonts w:ascii="Calibri" w:hAnsi="Calibri"/>
      <w:i/>
      <w:iCs/>
      <w:sz w:val="20"/>
      <w:szCs w:val="20"/>
    </w:rPr>
  </w:style>
  <w:style w:type="paragraph" w:styleId="TDC4">
    <w:name w:val="toc 4"/>
    <w:basedOn w:val="Normal"/>
    <w:next w:val="Normal"/>
    <w:autoRedefine/>
    <w:semiHidden/>
    <w:rsid w:val="00272722"/>
    <w:pPr>
      <w:ind w:left="720"/>
    </w:pPr>
    <w:rPr>
      <w:rFonts w:ascii="Calibri" w:hAnsi="Calibri"/>
      <w:sz w:val="18"/>
      <w:szCs w:val="18"/>
    </w:rPr>
  </w:style>
  <w:style w:type="paragraph" w:styleId="TDC5">
    <w:name w:val="toc 5"/>
    <w:basedOn w:val="Normal"/>
    <w:next w:val="Normal"/>
    <w:autoRedefine/>
    <w:semiHidden/>
    <w:rsid w:val="00272722"/>
    <w:pPr>
      <w:ind w:left="960"/>
    </w:pPr>
    <w:rPr>
      <w:rFonts w:ascii="Calibri" w:hAnsi="Calibri"/>
      <w:sz w:val="18"/>
      <w:szCs w:val="18"/>
    </w:rPr>
  </w:style>
  <w:style w:type="paragraph" w:styleId="TDC6">
    <w:name w:val="toc 6"/>
    <w:basedOn w:val="Normal"/>
    <w:next w:val="Normal"/>
    <w:autoRedefine/>
    <w:semiHidden/>
    <w:rsid w:val="00272722"/>
    <w:pPr>
      <w:ind w:left="1200"/>
    </w:pPr>
    <w:rPr>
      <w:rFonts w:ascii="Calibri" w:hAnsi="Calibri"/>
      <w:sz w:val="18"/>
      <w:szCs w:val="18"/>
    </w:rPr>
  </w:style>
  <w:style w:type="paragraph" w:styleId="TDC7">
    <w:name w:val="toc 7"/>
    <w:basedOn w:val="Normal"/>
    <w:next w:val="Normal"/>
    <w:autoRedefine/>
    <w:semiHidden/>
    <w:rsid w:val="00272722"/>
    <w:pPr>
      <w:ind w:left="1440"/>
    </w:pPr>
    <w:rPr>
      <w:rFonts w:ascii="Calibri" w:hAnsi="Calibri"/>
      <w:sz w:val="18"/>
      <w:szCs w:val="18"/>
    </w:rPr>
  </w:style>
  <w:style w:type="paragraph" w:styleId="TDC8">
    <w:name w:val="toc 8"/>
    <w:basedOn w:val="Normal"/>
    <w:next w:val="Normal"/>
    <w:autoRedefine/>
    <w:semiHidden/>
    <w:rsid w:val="00272722"/>
    <w:pPr>
      <w:ind w:left="1680"/>
    </w:pPr>
    <w:rPr>
      <w:rFonts w:ascii="Calibri" w:hAnsi="Calibri"/>
      <w:sz w:val="18"/>
      <w:szCs w:val="18"/>
    </w:rPr>
  </w:style>
  <w:style w:type="paragraph" w:styleId="TDC9">
    <w:name w:val="toc 9"/>
    <w:basedOn w:val="Normal"/>
    <w:next w:val="Normal"/>
    <w:autoRedefine/>
    <w:semiHidden/>
    <w:rsid w:val="00272722"/>
    <w:pPr>
      <w:ind w:left="1920"/>
    </w:pPr>
    <w:rPr>
      <w:rFonts w:ascii="Calibri" w:hAnsi="Calibri"/>
      <w:sz w:val="18"/>
      <w:szCs w:val="18"/>
    </w:rPr>
  </w:style>
  <w:style w:type="paragraph" w:styleId="Ttulode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styleId="Tabladelista1clara-nfasis3">
    <w:name w:val="List Table 1 Light Accent 3"/>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44516-F123-4066-9239-298603F2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3901</Words>
  <Characters>20736</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24588</CharactersWithSpaces>
  <SharedDoc>false</SharedDoc>
  <HLinks>
    <vt:vector size="126" baseType="variant">
      <vt:variant>
        <vt:i4>1376312</vt:i4>
      </vt:variant>
      <vt:variant>
        <vt:i4>122</vt:i4>
      </vt:variant>
      <vt:variant>
        <vt:i4>0</vt:i4>
      </vt:variant>
      <vt:variant>
        <vt:i4>5</vt:i4>
      </vt:variant>
      <vt:variant>
        <vt:lpwstr/>
      </vt:variant>
      <vt:variant>
        <vt:lpwstr>_Toc499549174</vt:lpwstr>
      </vt:variant>
      <vt:variant>
        <vt:i4>1376312</vt:i4>
      </vt:variant>
      <vt:variant>
        <vt:i4>116</vt:i4>
      </vt:variant>
      <vt:variant>
        <vt:i4>0</vt:i4>
      </vt:variant>
      <vt:variant>
        <vt:i4>5</vt:i4>
      </vt:variant>
      <vt:variant>
        <vt:lpwstr/>
      </vt:variant>
      <vt:variant>
        <vt:lpwstr>_Toc499549173</vt:lpwstr>
      </vt:variant>
      <vt:variant>
        <vt:i4>1376312</vt:i4>
      </vt:variant>
      <vt:variant>
        <vt:i4>110</vt:i4>
      </vt:variant>
      <vt:variant>
        <vt:i4>0</vt:i4>
      </vt:variant>
      <vt:variant>
        <vt:i4>5</vt:i4>
      </vt:variant>
      <vt:variant>
        <vt:lpwstr/>
      </vt:variant>
      <vt:variant>
        <vt:lpwstr>_Toc499549172</vt:lpwstr>
      </vt:variant>
      <vt:variant>
        <vt:i4>1376312</vt:i4>
      </vt:variant>
      <vt:variant>
        <vt:i4>104</vt:i4>
      </vt:variant>
      <vt:variant>
        <vt:i4>0</vt:i4>
      </vt:variant>
      <vt:variant>
        <vt:i4>5</vt:i4>
      </vt:variant>
      <vt:variant>
        <vt:lpwstr/>
      </vt:variant>
      <vt:variant>
        <vt:lpwstr>_Toc499549171</vt:lpwstr>
      </vt:variant>
      <vt:variant>
        <vt:i4>1376312</vt:i4>
      </vt:variant>
      <vt:variant>
        <vt:i4>98</vt:i4>
      </vt:variant>
      <vt:variant>
        <vt:i4>0</vt:i4>
      </vt:variant>
      <vt:variant>
        <vt:i4>5</vt:i4>
      </vt:variant>
      <vt:variant>
        <vt:lpwstr/>
      </vt:variant>
      <vt:variant>
        <vt:lpwstr>_Toc499549170</vt:lpwstr>
      </vt:variant>
      <vt:variant>
        <vt:i4>1310776</vt:i4>
      </vt:variant>
      <vt:variant>
        <vt:i4>92</vt:i4>
      </vt:variant>
      <vt:variant>
        <vt:i4>0</vt:i4>
      </vt:variant>
      <vt:variant>
        <vt:i4>5</vt:i4>
      </vt:variant>
      <vt:variant>
        <vt:lpwstr/>
      </vt:variant>
      <vt:variant>
        <vt:lpwstr>_Toc499549169</vt:lpwstr>
      </vt:variant>
      <vt:variant>
        <vt:i4>1310776</vt:i4>
      </vt:variant>
      <vt:variant>
        <vt:i4>86</vt:i4>
      </vt:variant>
      <vt:variant>
        <vt:i4>0</vt:i4>
      </vt:variant>
      <vt:variant>
        <vt:i4>5</vt:i4>
      </vt:variant>
      <vt:variant>
        <vt:lpwstr/>
      </vt:variant>
      <vt:variant>
        <vt:lpwstr>_Toc499549168</vt:lpwstr>
      </vt:variant>
      <vt:variant>
        <vt:i4>1310776</vt:i4>
      </vt:variant>
      <vt:variant>
        <vt:i4>80</vt:i4>
      </vt:variant>
      <vt:variant>
        <vt:i4>0</vt:i4>
      </vt:variant>
      <vt:variant>
        <vt:i4>5</vt:i4>
      </vt:variant>
      <vt:variant>
        <vt:lpwstr/>
      </vt:variant>
      <vt:variant>
        <vt:lpwstr>_Toc499549167</vt:lpwstr>
      </vt:variant>
      <vt:variant>
        <vt:i4>1310776</vt:i4>
      </vt:variant>
      <vt:variant>
        <vt:i4>74</vt:i4>
      </vt:variant>
      <vt:variant>
        <vt:i4>0</vt:i4>
      </vt:variant>
      <vt:variant>
        <vt:i4>5</vt:i4>
      </vt:variant>
      <vt:variant>
        <vt:lpwstr/>
      </vt:variant>
      <vt:variant>
        <vt:lpwstr>_Toc499549166</vt:lpwstr>
      </vt:variant>
      <vt:variant>
        <vt:i4>1310776</vt:i4>
      </vt:variant>
      <vt:variant>
        <vt:i4>68</vt:i4>
      </vt:variant>
      <vt:variant>
        <vt:i4>0</vt:i4>
      </vt:variant>
      <vt:variant>
        <vt:i4>5</vt:i4>
      </vt:variant>
      <vt:variant>
        <vt:lpwstr/>
      </vt:variant>
      <vt:variant>
        <vt:lpwstr>_Toc499549165</vt:lpwstr>
      </vt:variant>
      <vt:variant>
        <vt:i4>1310776</vt:i4>
      </vt:variant>
      <vt:variant>
        <vt:i4>62</vt:i4>
      </vt:variant>
      <vt:variant>
        <vt:i4>0</vt:i4>
      </vt:variant>
      <vt:variant>
        <vt:i4>5</vt:i4>
      </vt:variant>
      <vt:variant>
        <vt:lpwstr/>
      </vt:variant>
      <vt:variant>
        <vt:lpwstr>_Toc499549164</vt:lpwstr>
      </vt:variant>
      <vt:variant>
        <vt:i4>1310776</vt:i4>
      </vt:variant>
      <vt:variant>
        <vt:i4>56</vt:i4>
      </vt:variant>
      <vt:variant>
        <vt:i4>0</vt:i4>
      </vt:variant>
      <vt:variant>
        <vt:i4>5</vt:i4>
      </vt:variant>
      <vt:variant>
        <vt:lpwstr/>
      </vt:variant>
      <vt:variant>
        <vt:lpwstr>_Toc499549163</vt:lpwstr>
      </vt:variant>
      <vt:variant>
        <vt:i4>1310776</vt:i4>
      </vt:variant>
      <vt:variant>
        <vt:i4>50</vt:i4>
      </vt:variant>
      <vt:variant>
        <vt:i4>0</vt:i4>
      </vt:variant>
      <vt:variant>
        <vt:i4>5</vt:i4>
      </vt:variant>
      <vt:variant>
        <vt:lpwstr/>
      </vt:variant>
      <vt:variant>
        <vt:lpwstr>_Toc499549162</vt:lpwstr>
      </vt:variant>
      <vt:variant>
        <vt:i4>1310776</vt:i4>
      </vt:variant>
      <vt:variant>
        <vt:i4>44</vt:i4>
      </vt:variant>
      <vt:variant>
        <vt:i4>0</vt:i4>
      </vt:variant>
      <vt:variant>
        <vt:i4>5</vt:i4>
      </vt:variant>
      <vt:variant>
        <vt:lpwstr/>
      </vt:variant>
      <vt:variant>
        <vt:lpwstr>_Toc499549161</vt:lpwstr>
      </vt:variant>
      <vt:variant>
        <vt:i4>1310776</vt:i4>
      </vt:variant>
      <vt:variant>
        <vt:i4>38</vt:i4>
      </vt:variant>
      <vt:variant>
        <vt:i4>0</vt:i4>
      </vt:variant>
      <vt:variant>
        <vt:i4>5</vt:i4>
      </vt:variant>
      <vt:variant>
        <vt:lpwstr/>
      </vt:variant>
      <vt:variant>
        <vt:lpwstr>_Toc499549160</vt:lpwstr>
      </vt:variant>
      <vt:variant>
        <vt:i4>1507384</vt:i4>
      </vt:variant>
      <vt:variant>
        <vt:i4>32</vt:i4>
      </vt:variant>
      <vt:variant>
        <vt:i4>0</vt:i4>
      </vt:variant>
      <vt:variant>
        <vt:i4>5</vt:i4>
      </vt:variant>
      <vt:variant>
        <vt:lpwstr/>
      </vt:variant>
      <vt:variant>
        <vt:lpwstr>_Toc499549159</vt:lpwstr>
      </vt:variant>
      <vt:variant>
        <vt:i4>1507384</vt:i4>
      </vt:variant>
      <vt:variant>
        <vt:i4>26</vt:i4>
      </vt:variant>
      <vt:variant>
        <vt:i4>0</vt:i4>
      </vt:variant>
      <vt:variant>
        <vt:i4>5</vt:i4>
      </vt:variant>
      <vt:variant>
        <vt:lpwstr/>
      </vt:variant>
      <vt:variant>
        <vt:lpwstr>_Toc499549158</vt:lpwstr>
      </vt:variant>
      <vt:variant>
        <vt:i4>1507384</vt:i4>
      </vt:variant>
      <vt:variant>
        <vt:i4>20</vt:i4>
      </vt:variant>
      <vt:variant>
        <vt:i4>0</vt:i4>
      </vt:variant>
      <vt:variant>
        <vt:i4>5</vt:i4>
      </vt:variant>
      <vt:variant>
        <vt:lpwstr/>
      </vt:variant>
      <vt:variant>
        <vt:lpwstr>_Toc499549157</vt:lpwstr>
      </vt:variant>
      <vt:variant>
        <vt:i4>1507384</vt:i4>
      </vt:variant>
      <vt:variant>
        <vt:i4>14</vt:i4>
      </vt:variant>
      <vt:variant>
        <vt:i4>0</vt:i4>
      </vt:variant>
      <vt:variant>
        <vt:i4>5</vt:i4>
      </vt:variant>
      <vt:variant>
        <vt:lpwstr/>
      </vt:variant>
      <vt:variant>
        <vt:lpwstr>_Toc499549156</vt:lpwstr>
      </vt:variant>
      <vt:variant>
        <vt:i4>1507384</vt:i4>
      </vt:variant>
      <vt:variant>
        <vt:i4>8</vt:i4>
      </vt:variant>
      <vt:variant>
        <vt:i4>0</vt:i4>
      </vt:variant>
      <vt:variant>
        <vt:i4>5</vt:i4>
      </vt:variant>
      <vt:variant>
        <vt:lpwstr/>
      </vt:variant>
      <vt:variant>
        <vt:lpwstr>_Toc499549155</vt:lpwstr>
      </vt:variant>
      <vt:variant>
        <vt:i4>1507384</vt:i4>
      </vt:variant>
      <vt:variant>
        <vt:i4>2</vt:i4>
      </vt:variant>
      <vt:variant>
        <vt:i4>0</vt:i4>
      </vt:variant>
      <vt:variant>
        <vt:i4>5</vt:i4>
      </vt:variant>
      <vt:variant>
        <vt:lpwstr/>
      </vt:variant>
      <vt:variant>
        <vt:lpwstr>_Toc499549154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cp:lastModifiedBy>Macarena Correa Vega</cp:lastModifiedBy>
  <cp:revision>4</cp:revision>
  <cp:lastPrinted>2016-06-23T14:44:00Z</cp:lastPrinted>
  <dcterms:created xsi:type="dcterms:W3CDTF">2017-11-29T20:14:00Z</dcterms:created>
  <dcterms:modified xsi:type="dcterms:W3CDTF">2017-11-29T21:02:00Z</dcterms:modified>
</cp:coreProperties>
</file>