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7274"/>
      </w:tblGrid>
      <w:tr w:rsidR="00681B8F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000000"/>
          </w:tcPr>
          <w:p w:rsidR="00681B8F" w:rsidRDefault="002B742B">
            <w:pPr>
              <w:spacing w:before="221" w:after="372" w:line="155" w:lineRule="exact"/>
              <w:ind w:right="36"/>
              <w:jc w:val="right"/>
              <w:textAlignment w:val="baseline"/>
              <w:rPr>
                <w:rFonts w:eastAsia="Times New Roman"/>
                <w:color w:val="FFFFFF"/>
                <w:sz w:val="12"/>
                <w:vertAlign w:val="superscript"/>
                <w:lang w:val="es-ES"/>
              </w:rPr>
            </w:pPr>
            <w:r>
              <w:rPr>
                <w:rFonts w:eastAsia="Times New Roman"/>
                <w:color w:val="FFFFFF"/>
                <w:sz w:val="12"/>
                <w:vertAlign w:val="superscript"/>
                <w:lang w:val="es-ES"/>
              </w:rPr>
              <w:t>1</w:t>
            </w:r>
            <w:r>
              <w:rPr>
                <w:rFonts w:eastAsia="Times New Roman"/>
                <w:color w:val="FFFFFF"/>
                <w:sz w:val="12"/>
                <w:lang w:val="es-ES"/>
              </w:rPr>
              <w:t>0</w:t>
            </w:r>
            <w:r>
              <w:rPr>
                <w:rFonts w:eastAsia="Times New Roman"/>
                <w:color w:val="FFFFFF"/>
                <w:sz w:val="12"/>
                <w:vertAlign w:val="superscript"/>
                <w:lang w:val="es-ES"/>
              </w:rPr>
              <w:t>11</w:t>
            </w:r>
            <w:r>
              <w:rPr>
                <w:rFonts w:ascii="Arial" w:eastAsia="Arial" w:hAnsi="Arial"/>
                <w:color w:val="FFFFFF"/>
                <w:sz w:val="14"/>
                <w:lang w:val="es-ES"/>
              </w:rPr>
              <w:t xml:space="preserve">1 </w:t>
            </w:r>
            <w:r>
              <w:rPr>
                <w:rFonts w:eastAsia="Times New Roman"/>
                <w:color w:val="FFFFFF"/>
                <w:sz w:val="12"/>
                <w:lang w:val="es-ES"/>
              </w:rPr>
              <w:t>Presupuestos</w:t>
            </w:r>
          </w:p>
        </w:tc>
        <w:tc>
          <w:tcPr>
            <w:tcW w:w="727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681B8F" w:rsidRDefault="002B742B">
            <w:pPr>
              <w:spacing w:before="169" w:line="182" w:lineRule="exact"/>
              <w:ind w:left="144" w:right="5112"/>
              <w:textAlignment w:val="baseline"/>
              <w:rPr>
                <w:rFonts w:ascii="Verdana" w:eastAsia="Verdana" w:hAnsi="Verdana"/>
                <w:b/>
                <w:color w:val="000000"/>
                <w:spacing w:val="-5"/>
                <w:sz w:val="16"/>
                <w:lang w:val="es-ES"/>
              </w:rPr>
            </w:pPr>
            <w:r>
              <w:rPr>
                <w:rFonts w:ascii="Verdana" w:eastAsia="Verdana" w:hAnsi="Verdana"/>
                <w:b/>
                <w:color w:val="000000"/>
                <w:spacing w:val="-5"/>
                <w:sz w:val="16"/>
                <w:lang w:val="es-ES"/>
              </w:rPr>
              <w:t xml:space="preserve">Ministerio de Hacienda </w:t>
            </w:r>
            <w:r>
              <w:rPr>
                <w:rFonts w:ascii="Verdana" w:eastAsia="Verdana" w:hAnsi="Verdana"/>
                <w:color w:val="000000"/>
                <w:spacing w:val="-5"/>
                <w:sz w:val="16"/>
                <w:lang w:val="es-ES"/>
              </w:rPr>
              <w:t>Dirección de Presupuestos Reg. 670/sector 00</w:t>
            </w:r>
          </w:p>
          <w:p w:rsidR="00681B8F" w:rsidRDefault="002B742B">
            <w:pPr>
              <w:spacing w:after="430" w:line="179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6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es-ES"/>
              </w:rPr>
              <w:t>I.F. N° 94 - 01/10/2014</w:t>
            </w:r>
          </w:p>
        </w:tc>
      </w:tr>
      <w:tr w:rsidR="00681B8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000000"/>
            <w:vAlign w:val="bottom"/>
          </w:tcPr>
          <w:p w:rsidR="00681B8F" w:rsidRDefault="002B742B">
            <w:pPr>
              <w:spacing w:before="389" w:after="61" w:line="118" w:lineRule="exact"/>
              <w:ind w:right="36"/>
              <w:jc w:val="right"/>
              <w:textAlignment w:val="baseline"/>
              <w:rPr>
                <w:rFonts w:eastAsia="Times New Roman"/>
                <w:color w:val="FFFFFF"/>
                <w:sz w:val="9"/>
                <w:lang w:val="es-ES"/>
              </w:rPr>
            </w:pPr>
            <w:proofErr w:type="spellStart"/>
            <w:r>
              <w:rPr>
                <w:rFonts w:eastAsia="Times New Roman"/>
                <w:color w:val="FFFFFF"/>
                <w:sz w:val="9"/>
                <w:lang w:val="es-ES"/>
              </w:rPr>
              <w:t>enhkrne</w:t>
            </w:r>
            <w:proofErr w:type="spellEnd"/>
            <w:r>
              <w:rPr>
                <w:rFonts w:eastAsia="Times New Roman"/>
                <w:color w:val="FFFFFF"/>
                <w:sz w:val="9"/>
                <w:lang w:val="es-ES"/>
              </w:rPr>
              <w:t xml:space="preserve"> </w:t>
            </w:r>
            <w:proofErr w:type="spellStart"/>
            <w:r>
              <w:rPr>
                <w:rFonts w:eastAsia="Times New Roman"/>
                <w:color w:val="FFFFFF"/>
                <w:sz w:val="10"/>
                <w:lang w:val="es-ES"/>
              </w:rPr>
              <w:t>Ja</w:t>
            </w:r>
            <w:proofErr w:type="spellEnd"/>
            <w:r>
              <w:rPr>
                <w:rFonts w:eastAsia="Times New Roman"/>
                <w:color w:val="FFFFFF"/>
                <w:sz w:val="10"/>
                <w:lang w:val="es-ES"/>
              </w:rPr>
              <w:t xml:space="preserve"> </w:t>
            </w:r>
            <w:proofErr w:type="spellStart"/>
            <w:r>
              <w:rPr>
                <w:rFonts w:eastAsia="Times New Roman"/>
                <w:color w:val="FFFFFF"/>
                <w:sz w:val="10"/>
                <w:lang w:val="es-ES"/>
              </w:rPr>
              <w:t>Cniln</w:t>
            </w:r>
            <w:proofErr w:type="spellEnd"/>
          </w:p>
        </w:tc>
        <w:tc>
          <w:tcPr>
            <w:tcW w:w="727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1B8F" w:rsidRDefault="00681B8F"/>
        </w:tc>
      </w:tr>
    </w:tbl>
    <w:p w:rsidR="00681B8F" w:rsidRDefault="00681B8F">
      <w:pPr>
        <w:spacing w:after="304" w:line="20" w:lineRule="exact"/>
      </w:pPr>
    </w:p>
    <w:p w:rsidR="00681B8F" w:rsidRDefault="002B742B">
      <w:pPr>
        <w:spacing w:before="92" w:line="259" w:lineRule="exact"/>
        <w:ind w:left="111" w:right="111" w:firstLine="111"/>
        <w:jc w:val="center"/>
        <w:textAlignment w:val="baseline"/>
        <w:rPr>
          <w:rFonts w:ascii="Verdana" w:eastAsia="Verdana" w:hAnsi="Verdana"/>
          <w:b/>
          <w:color w:val="000000"/>
          <w:spacing w:val="-5"/>
          <w:lang w:val="es-E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left:0;text-align:left;margin-left:96.7pt;margin-top:114.95pt;width:435pt;height:94.8pt;z-index:-251660288;mso-wrap-distance-left:0;mso-wrap-distance-right:0;mso-wrap-distance-bottom:19.75pt;mso-position-horizontal-relative:page;mso-position-vertical-relative:page" filled="f" stroked="f">
            <v:textbox inset="0,0,0,0">
              <w:txbxContent>
                <w:p w:rsidR="00681B8F" w:rsidRDefault="00681B8F">
                  <w:pPr>
                    <w:pBdr>
                      <w:top w:val="single" w:sz="7" w:space="0" w:color="060707"/>
                      <w:left w:val="single" w:sz="7" w:space="0" w:color="040404"/>
                      <w:bottom w:val="single" w:sz="7" w:space="19" w:color="030303"/>
                      <w:right w:val="single" w:sz="7" w:space="0" w:color="0F0F0F"/>
                    </w:pBdr>
                  </w:pPr>
                </w:p>
              </w:txbxContent>
            </v:textbox>
            <w10:wrap anchorx="page" anchory="page"/>
          </v:shape>
        </w:pict>
      </w:r>
      <w:r>
        <w:rPr>
          <w:rFonts w:ascii="Verdana" w:eastAsia="Verdana" w:hAnsi="Verdana"/>
          <w:b/>
          <w:color w:val="000000"/>
          <w:spacing w:val="-5"/>
          <w:lang w:val="es-ES"/>
        </w:rPr>
        <w:t>Informe Financiero</w:t>
      </w:r>
    </w:p>
    <w:p w:rsidR="00681B8F" w:rsidRDefault="002B742B">
      <w:pPr>
        <w:spacing w:before="275" w:line="251" w:lineRule="exact"/>
        <w:ind w:left="111" w:right="111" w:firstLine="111"/>
        <w:jc w:val="center"/>
        <w:textAlignment w:val="baseline"/>
        <w:rPr>
          <w:rFonts w:ascii="Verdana" w:eastAsia="Verdana" w:hAnsi="Verdana"/>
          <w:b/>
          <w:color w:val="000000"/>
          <w:lang w:val="es-ES"/>
        </w:rPr>
      </w:pPr>
      <w:r>
        <w:rPr>
          <w:rFonts w:ascii="Verdana" w:eastAsia="Verdana" w:hAnsi="Verdana"/>
          <w:b/>
          <w:color w:val="000000"/>
          <w:lang w:val="es-ES"/>
        </w:rPr>
        <w:t xml:space="preserve">Indicaciones al Proyecto de Ley que crea el Ministerio de la Mujer y </w:t>
      </w:r>
      <w:r>
        <w:rPr>
          <w:rFonts w:ascii="Verdana" w:eastAsia="Verdana" w:hAnsi="Verdana"/>
          <w:b/>
          <w:color w:val="000000"/>
          <w:lang w:val="es-ES"/>
        </w:rPr>
        <w:br/>
        <w:t>de la Equidad de Género</w:t>
      </w:r>
    </w:p>
    <w:p w:rsidR="00681B8F" w:rsidRDefault="002B742B">
      <w:pPr>
        <w:spacing w:before="229" w:after="670" w:line="259" w:lineRule="exact"/>
        <w:ind w:left="111" w:right="111" w:firstLine="111"/>
        <w:jc w:val="center"/>
        <w:textAlignment w:val="baseline"/>
        <w:rPr>
          <w:rFonts w:ascii="Verdana" w:eastAsia="Verdana" w:hAnsi="Verdana"/>
          <w:b/>
          <w:color w:val="000000"/>
          <w:spacing w:val="-17"/>
          <w:lang w:val="es-ES"/>
        </w:rPr>
      </w:pPr>
      <w:r>
        <w:rPr>
          <w:rFonts w:ascii="Verdana" w:eastAsia="Verdana" w:hAnsi="Verdana"/>
          <w:b/>
          <w:color w:val="000000"/>
          <w:spacing w:val="-17"/>
          <w:lang w:val="es-ES"/>
        </w:rPr>
        <w:t>Boletín N° 9287-06</w:t>
      </w:r>
    </w:p>
    <w:p w:rsidR="00681B8F" w:rsidRDefault="002B742B">
      <w:pPr>
        <w:spacing w:before="5" w:line="259" w:lineRule="exact"/>
        <w:textAlignment w:val="baseline"/>
        <w:rPr>
          <w:rFonts w:ascii="Verdana" w:eastAsia="Verdana" w:hAnsi="Verdana"/>
          <w:b/>
          <w:color w:val="000000"/>
          <w:spacing w:val="-6"/>
          <w:lang w:val="es-ES"/>
        </w:rPr>
      </w:pPr>
      <w:r>
        <w:rPr>
          <w:rFonts w:ascii="Verdana" w:eastAsia="Verdana" w:hAnsi="Verdana"/>
          <w:b/>
          <w:color w:val="000000"/>
          <w:spacing w:val="-6"/>
          <w:lang w:val="es-ES"/>
        </w:rPr>
        <w:t>I Antecedentes.</w:t>
      </w:r>
    </w:p>
    <w:p w:rsidR="00681B8F" w:rsidRDefault="002B742B">
      <w:pPr>
        <w:spacing w:before="265" w:line="255" w:lineRule="exact"/>
        <w:ind w:right="216"/>
        <w:jc w:val="both"/>
        <w:textAlignment w:val="baseline"/>
        <w:rPr>
          <w:rFonts w:ascii="Verdana" w:eastAsia="Verdana" w:hAnsi="Verdana"/>
          <w:color w:val="000000"/>
          <w:lang w:val="es-ES"/>
        </w:rPr>
      </w:pPr>
      <w:r>
        <w:rPr>
          <w:rFonts w:ascii="Verdana" w:eastAsia="Verdana" w:hAnsi="Verdana"/>
          <w:color w:val="000000"/>
          <w:lang w:val="es-ES"/>
        </w:rPr>
        <w:t>Las indicaciones presentadas en los oficios números 164-362, 224-362 y 322</w:t>
      </w:r>
      <w:r>
        <w:rPr>
          <w:rFonts w:ascii="Verdana" w:eastAsia="Verdana" w:hAnsi="Verdana"/>
          <w:color w:val="000000"/>
          <w:lang w:val="es-ES"/>
        </w:rPr>
        <w:softHyphen/>
      </w:r>
      <w:r>
        <w:rPr>
          <w:rFonts w:ascii="Verdana" w:eastAsia="Verdana" w:hAnsi="Verdana"/>
          <w:color w:val="000000"/>
          <w:lang w:val="es-ES"/>
        </w:rPr>
        <w:t>362 tienen como objetivo general clarificar y precisar ciertos conceptos, agregando por ejemplo términos de igualdad de derechos en varios de los artículos e incorporando lenguaje inclusivo al proyecto. Las indicaciones pueden abarcarse fundamentalmente co</w:t>
      </w:r>
      <w:r>
        <w:rPr>
          <w:rFonts w:ascii="Verdana" w:eastAsia="Verdana" w:hAnsi="Verdana"/>
          <w:color w:val="000000"/>
          <w:lang w:val="es-ES"/>
        </w:rPr>
        <w:t>mo sigue:</w:t>
      </w:r>
    </w:p>
    <w:p w:rsidR="00681B8F" w:rsidRDefault="002B742B">
      <w:pPr>
        <w:numPr>
          <w:ilvl w:val="0"/>
          <w:numId w:val="1"/>
        </w:numPr>
        <w:spacing w:before="513" w:line="269" w:lineRule="exact"/>
        <w:ind w:left="0"/>
        <w:textAlignment w:val="baseline"/>
        <w:rPr>
          <w:rFonts w:ascii="Verdana" w:eastAsia="Verdana" w:hAnsi="Verdana"/>
          <w:color w:val="000000"/>
          <w:spacing w:val="-6"/>
          <w:lang w:val="es-ES"/>
        </w:rPr>
      </w:pPr>
      <w:r>
        <w:rPr>
          <w:rFonts w:ascii="Verdana" w:eastAsia="Verdana" w:hAnsi="Verdana"/>
          <w:color w:val="000000"/>
          <w:spacing w:val="-6"/>
          <w:lang w:val="es-ES"/>
        </w:rPr>
        <w:t>Naturaleza, Objeto y Funciones.</w:t>
      </w:r>
    </w:p>
    <w:p w:rsidR="00681B8F" w:rsidRDefault="002B742B">
      <w:pPr>
        <w:spacing w:before="250" w:line="256" w:lineRule="exact"/>
        <w:ind w:right="216"/>
        <w:jc w:val="both"/>
        <w:textAlignment w:val="baseline"/>
        <w:rPr>
          <w:rFonts w:ascii="Verdana" w:eastAsia="Verdana" w:hAnsi="Verdana"/>
          <w:color w:val="000000"/>
          <w:spacing w:val="-6"/>
          <w:lang w:val="es-ES"/>
        </w:rPr>
      </w:pPr>
      <w:r>
        <w:rPr>
          <w:rFonts w:ascii="Verdana" w:eastAsia="Verdana" w:hAnsi="Verdana"/>
          <w:color w:val="000000"/>
          <w:spacing w:val="-6"/>
          <w:lang w:val="es-ES"/>
        </w:rPr>
        <w:t>Se señala que dentro de las funciones y atribuciones del Ministerio, se deben generar los espacios de coordinación entre los organismos de la Administración del Estado, a nivel nacional, regional y local, promovien</w:t>
      </w:r>
      <w:r>
        <w:rPr>
          <w:rFonts w:ascii="Verdana" w:eastAsia="Verdana" w:hAnsi="Verdana"/>
          <w:color w:val="000000"/>
          <w:spacing w:val="-6"/>
          <w:lang w:val="es-ES"/>
        </w:rPr>
        <w:t>do la igualdad de derechos e impulsando, coordinando y evaluando la incorporación de la perspectiva de género en las políticas y planes de los diversos Ministerios y Servicios.</w:t>
      </w:r>
    </w:p>
    <w:p w:rsidR="00681B8F" w:rsidRDefault="002B742B">
      <w:pPr>
        <w:spacing w:before="255" w:line="257" w:lineRule="exact"/>
        <w:ind w:right="216"/>
        <w:jc w:val="both"/>
        <w:textAlignment w:val="baseline"/>
        <w:rPr>
          <w:rFonts w:ascii="Verdana" w:eastAsia="Verdana" w:hAnsi="Verdana"/>
          <w:color w:val="000000"/>
          <w:lang w:val="es-ES"/>
        </w:rPr>
      </w:pPr>
      <w:r>
        <w:rPr>
          <w:rFonts w:ascii="Verdana" w:eastAsia="Verdana" w:hAnsi="Verdana"/>
          <w:color w:val="000000"/>
          <w:lang w:val="es-ES"/>
        </w:rPr>
        <w:t>Se repone la atribución que originalmente el proyecto contenía en el artículo 3</w:t>
      </w:r>
      <w:r>
        <w:rPr>
          <w:rFonts w:ascii="Verdana" w:eastAsia="Verdana" w:hAnsi="Verdana"/>
          <w:color w:val="000000"/>
          <w:lang w:val="es-ES"/>
        </w:rPr>
        <w:t xml:space="preserve">° letra m) para que el Ministerio pueda realizar procesos de capacitación a los (las) funcionarios (as) del Sector Público en materias relacionadas con las funciones encomendadas al mismo, </w:t>
      </w:r>
      <w:r w:rsidRPr="000D4686">
        <w:rPr>
          <w:rFonts w:ascii="Verdana" w:eastAsia="Verdana" w:hAnsi="Verdana"/>
          <w:color w:val="000000"/>
          <w:lang w:val="es-ES"/>
        </w:rPr>
        <w:t>los</w:t>
      </w:r>
      <w:r>
        <w:rPr>
          <w:rFonts w:ascii="Verdana" w:eastAsia="Verdana" w:hAnsi="Verdana"/>
          <w:b/>
          <w:color w:val="000000"/>
          <w:lang w:val="es-ES"/>
        </w:rPr>
        <w:t xml:space="preserve"> </w:t>
      </w:r>
      <w:r>
        <w:rPr>
          <w:rFonts w:ascii="Verdana" w:eastAsia="Verdana" w:hAnsi="Verdana"/>
          <w:color w:val="000000"/>
          <w:lang w:val="es-ES"/>
        </w:rPr>
        <w:t>que también podrán otorgarse a particulares.</w:t>
      </w:r>
    </w:p>
    <w:p w:rsidR="00681B8F" w:rsidRDefault="002B742B">
      <w:pPr>
        <w:numPr>
          <w:ilvl w:val="0"/>
          <w:numId w:val="1"/>
        </w:numPr>
        <w:spacing w:before="243" w:line="261" w:lineRule="exact"/>
        <w:ind w:left="0"/>
        <w:textAlignment w:val="baseline"/>
        <w:rPr>
          <w:rFonts w:ascii="Verdana" w:eastAsia="Verdana" w:hAnsi="Verdana"/>
          <w:color w:val="000000"/>
          <w:spacing w:val="-10"/>
          <w:lang w:val="es-ES"/>
        </w:rPr>
      </w:pPr>
      <w:r>
        <w:rPr>
          <w:rFonts w:ascii="Verdana" w:eastAsia="Verdana" w:hAnsi="Verdana"/>
          <w:color w:val="000000"/>
          <w:spacing w:val="-10"/>
          <w:lang w:val="es-ES"/>
        </w:rPr>
        <w:t>Organización.</w:t>
      </w:r>
    </w:p>
    <w:p w:rsidR="00681B8F" w:rsidRPr="000D4686" w:rsidRDefault="002B742B">
      <w:pPr>
        <w:spacing w:before="255" w:line="251" w:lineRule="exact"/>
        <w:ind w:right="216"/>
        <w:jc w:val="both"/>
        <w:textAlignment w:val="baseline"/>
        <w:rPr>
          <w:rFonts w:ascii="Verdana" w:eastAsia="Verdana" w:hAnsi="Verdana"/>
          <w:color w:val="000000"/>
          <w:spacing w:val="-9"/>
          <w:lang w:val="es-ES"/>
        </w:rPr>
      </w:pPr>
      <w:r>
        <w:rPr>
          <w:rFonts w:ascii="Verdana" w:eastAsia="Verdana" w:hAnsi="Verdana"/>
          <w:color w:val="000000"/>
          <w:spacing w:val="-9"/>
          <w:lang w:val="es-ES"/>
        </w:rPr>
        <w:t xml:space="preserve">En cuanto a la organización del Ministerio, se señala que su estructura interna debe considerar a lo menos las Divisiones de Estudios y Capacitación en </w:t>
      </w:r>
      <w:r w:rsidRPr="000D4686">
        <w:rPr>
          <w:rFonts w:ascii="Verdana" w:eastAsia="Verdana" w:hAnsi="Verdana"/>
          <w:color w:val="000000"/>
          <w:spacing w:val="-9"/>
          <w:lang w:val="es-ES"/>
        </w:rPr>
        <w:t xml:space="preserve">Género, Planificación y Control de Gestión y Políticas de Igualdad que </w:t>
      </w:r>
      <w:proofErr w:type="spellStart"/>
      <w:r w:rsidRPr="000D4686">
        <w:rPr>
          <w:rFonts w:ascii="Verdana" w:eastAsia="Verdana" w:hAnsi="Verdana"/>
          <w:color w:val="000000"/>
          <w:spacing w:val="-9"/>
          <w:lang w:val="es-ES"/>
        </w:rPr>
        <w:t>transversalicen</w:t>
      </w:r>
      <w:proofErr w:type="spellEnd"/>
      <w:r w:rsidRPr="000D4686">
        <w:rPr>
          <w:rFonts w:ascii="Verdana" w:eastAsia="Verdana" w:hAnsi="Verdana"/>
          <w:color w:val="000000"/>
          <w:spacing w:val="-9"/>
          <w:lang w:val="es-ES"/>
        </w:rPr>
        <w:t xml:space="preserve"> la </w:t>
      </w:r>
      <w:r w:rsidRPr="000D4686">
        <w:rPr>
          <w:rFonts w:ascii="Verdana" w:eastAsia="Verdana" w:hAnsi="Verdana"/>
          <w:color w:val="000000"/>
          <w:spacing w:val="-9"/>
          <w:lang w:val="es-ES"/>
        </w:rPr>
        <w:t>perspectiva de</w:t>
      </w:r>
      <w:r w:rsidRPr="000D4686">
        <w:rPr>
          <w:rFonts w:ascii="Verdana" w:eastAsia="Verdana" w:hAnsi="Verdana"/>
          <w:color w:val="000000"/>
          <w:spacing w:val="-9"/>
          <w:lang w:val="es-ES"/>
        </w:rPr>
        <w:t xml:space="preserve"> género en el quehacer del Estado.</w:t>
      </w:r>
    </w:p>
    <w:p w:rsidR="00681B8F" w:rsidRDefault="002B742B">
      <w:pPr>
        <w:numPr>
          <w:ilvl w:val="0"/>
          <w:numId w:val="1"/>
        </w:numPr>
        <w:spacing w:before="246" w:line="259" w:lineRule="exact"/>
        <w:ind w:left="0" w:right="216"/>
        <w:jc w:val="both"/>
        <w:textAlignment w:val="baseline"/>
        <w:rPr>
          <w:rFonts w:ascii="Verdana" w:eastAsia="Verdana" w:hAnsi="Verdana"/>
          <w:color w:val="000000"/>
          <w:lang w:val="es-ES"/>
        </w:rPr>
      </w:pPr>
      <w:r w:rsidRPr="000D4686">
        <w:rPr>
          <w:rFonts w:ascii="Verdana" w:eastAsia="Verdana" w:hAnsi="Verdana"/>
          <w:color w:val="000000"/>
          <w:lang w:val="es-ES"/>
        </w:rPr>
        <w:t>Comité Interm</w:t>
      </w:r>
      <w:r>
        <w:rPr>
          <w:rFonts w:ascii="Verdana" w:eastAsia="Verdana" w:hAnsi="Verdana"/>
          <w:color w:val="000000"/>
          <w:lang w:val="es-ES"/>
        </w:rPr>
        <w:t>inisterial para la Igualdad de Oportunidades y del Consejo Asesor.</w:t>
      </w:r>
    </w:p>
    <w:p w:rsidR="00681B8F" w:rsidRDefault="002B742B">
      <w:pPr>
        <w:spacing w:before="238" w:line="257" w:lineRule="exact"/>
        <w:jc w:val="both"/>
        <w:textAlignment w:val="baseline"/>
        <w:rPr>
          <w:rFonts w:ascii="Verdana" w:eastAsia="Verdana" w:hAnsi="Verdana"/>
          <w:color w:val="000000"/>
          <w:spacing w:val="-2"/>
          <w:lang w:val="es-ES"/>
        </w:rPr>
      </w:pPr>
      <w:r>
        <w:rPr>
          <w:rFonts w:ascii="Verdana" w:eastAsia="Verdana" w:hAnsi="Verdana"/>
          <w:color w:val="000000"/>
          <w:spacing w:val="-2"/>
          <w:lang w:val="es-ES"/>
        </w:rPr>
        <w:t>Se agregan al Comité los Ministros de Defensa Nacional, Hacienda, Vivienda y</w:t>
      </w:r>
    </w:p>
    <w:p w:rsidR="00681B8F" w:rsidRDefault="002B742B">
      <w:pPr>
        <w:tabs>
          <w:tab w:val="right" w:leader="underscore" w:pos="8496"/>
        </w:tabs>
        <w:spacing w:line="265" w:lineRule="exact"/>
        <w:jc w:val="both"/>
        <w:textAlignment w:val="baseline"/>
        <w:rPr>
          <w:rFonts w:ascii="Verdana" w:eastAsia="Verdana" w:hAnsi="Verdana"/>
          <w:color w:val="000000"/>
          <w:lang w:val="es-ES"/>
        </w:rPr>
      </w:pPr>
      <w:r>
        <w:rPr>
          <w:rFonts w:ascii="Verdana" w:eastAsia="Verdana" w:hAnsi="Verdana"/>
          <w:color w:val="000000"/>
          <w:lang w:val="es-ES"/>
        </w:rPr>
        <w:t>Urbanismo y el Ministro Presidente del</w:t>
      </w:r>
      <w:r w:rsidR="000D4686">
        <w:rPr>
          <w:rFonts w:ascii="Verdana" w:eastAsia="Verdana" w:hAnsi="Verdana"/>
          <w:color w:val="000000"/>
          <w:lang w:val="es-ES"/>
        </w:rPr>
        <w:t xml:space="preserve"> Co</w:t>
      </w:r>
      <w:r>
        <w:rPr>
          <w:rFonts w:ascii="Verdana" w:eastAsia="Verdana" w:hAnsi="Verdana"/>
          <w:color w:val="000000"/>
          <w:lang w:val="es-ES"/>
        </w:rPr>
        <w:t>nsejo Nacional de la Cultura y las</w:t>
      </w:r>
    </w:p>
    <w:p w:rsidR="00681B8F" w:rsidRPr="002B742B" w:rsidRDefault="002B742B">
      <w:pPr>
        <w:tabs>
          <w:tab w:val="left" w:pos="4104"/>
        </w:tabs>
        <w:spacing w:line="313" w:lineRule="exact"/>
        <w:textAlignment w:val="baseline"/>
        <w:rPr>
          <w:rFonts w:ascii="Verdana" w:eastAsia="Verdana" w:hAnsi="Verdana"/>
          <w:color w:val="000000"/>
          <w:spacing w:val="-19"/>
          <w:lang w:val="es-ES"/>
        </w:rPr>
      </w:pPr>
      <w:r>
        <w:rPr>
          <w:rFonts w:ascii="Verdana" w:eastAsia="Verdana" w:hAnsi="Verdana"/>
          <w:color w:val="000000"/>
          <w:spacing w:val="-19"/>
          <w:lang w:val="es-ES"/>
        </w:rPr>
        <w:t>Artes.</w:t>
      </w:r>
      <w:r>
        <w:rPr>
          <w:rFonts w:ascii="Verdana" w:eastAsia="Verdana" w:hAnsi="Verdana"/>
          <w:color w:val="000000"/>
          <w:spacing w:val="-19"/>
          <w:lang w:val="es-ES"/>
        </w:rPr>
        <w:tab/>
      </w:r>
    </w:p>
    <w:p w:rsidR="00681B8F" w:rsidRPr="002B742B" w:rsidRDefault="002B742B" w:rsidP="000D4686">
      <w:pPr>
        <w:tabs>
          <w:tab w:val="right" w:pos="8496"/>
        </w:tabs>
        <w:spacing w:line="139" w:lineRule="exact"/>
        <w:jc w:val="right"/>
        <w:textAlignment w:val="baseline"/>
        <w:rPr>
          <w:rFonts w:ascii="Verdana" w:eastAsia="Verdana" w:hAnsi="Verdana"/>
          <w:b/>
          <w:color w:val="172D94"/>
          <w:spacing w:val="37"/>
          <w:sz w:val="16"/>
          <w:szCs w:val="16"/>
          <w:lang w:val="es-ES"/>
        </w:rPr>
      </w:pPr>
      <w:r w:rsidRPr="002B742B">
        <w:rPr>
          <w:rFonts w:ascii="Verdana" w:eastAsia="Verdana" w:hAnsi="Verdana"/>
          <w:b/>
          <w:color w:val="000000"/>
          <w:sz w:val="16"/>
          <w:szCs w:val="16"/>
          <w:lang w:val="es-ES"/>
        </w:rPr>
        <w:t>Página 1 de</w:t>
      </w:r>
      <w:bookmarkStart w:id="0" w:name="_GoBack"/>
      <w:bookmarkEnd w:id="0"/>
      <w:r w:rsidRPr="002B742B">
        <w:rPr>
          <w:rFonts w:ascii="Verdana" w:eastAsia="Verdana" w:hAnsi="Verdana"/>
          <w:b/>
          <w:color w:val="000000"/>
          <w:sz w:val="16"/>
          <w:szCs w:val="16"/>
          <w:lang w:val="es-ES"/>
        </w:rPr>
        <w:t xml:space="preserve"> 2</w:t>
      </w:r>
    </w:p>
    <w:p w:rsidR="00681B8F" w:rsidRPr="000D4686" w:rsidRDefault="00681B8F" w:rsidP="000D4686">
      <w:pPr>
        <w:jc w:val="right"/>
        <w:rPr>
          <w:lang w:val="es-CL"/>
        </w:rPr>
        <w:sectPr w:rsidR="00681B8F" w:rsidRPr="000D4686">
          <w:pgSz w:w="12182" w:h="15643"/>
          <w:pgMar w:top="640" w:right="1548" w:bottom="101" w:left="1934" w:header="720" w:footer="720" w:gutter="0"/>
          <w:cols w:space="720"/>
        </w:sectPr>
      </w:pPr>
    </w:p>
    <w:p w:rsidR="00681B8F" w:rsidRPr="000D4686" w:rsidRDefault="002B742B">
      <w:pPr>
        <w:rPr>
          <w:sz w:val="2"/>
          <w:lang w:val="es-CL"/>
        </w:rPr>
      </w:pPr>
      <w:r>
        <w:lastRenderedPageBreak/>
        <w:pict>
          <v:shape id="_x0000_s1031" type="#_x0000_t202" style="position:absolute;margin-left:449.75pt;margin-top:711.1pt;width:66.75pt;height:10.35pt;z-index:-251659264;mso-wrap-distance-left:0;mso-wrap-distance-right:0;mso-position-horizontal-relative:page;mso-position-vertical-relative:page" filled="f" stroked="f">
            <v:textbox inset="0,0,0,0">
              <w:txbxContent>
                <w:p w:rsidR="00681B8F" w:rsidRDefault="002B742B">
                  <w:pPr>
                    <w:spacing w:after="4" w:line="202" w:lineRule="exact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pacing w:val="-1"/>
                      <w:sz w:val="16"/>
                      <w:lang w:val="es-ES"/>
                    </w:rPr>
                    <w:t>Página 2 de 2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7187"/>
      </w:tblGrid>
      <w:tr w:rsidR="00681B8F">
        <w:tblPrEx>
          <w:tblCellMar>
            <w:top w:w="0" w:type="dxa"/>
            <w:bottom w:w="0" w:type="dxa"/>
          </w:tblCellMar>
        </w:tblPrEx>
        <w:trPr>
          <w:trHeight w:hRule="exact" w:val="1369"/>
        </w:trPr>
        <w:tc>
          <w:tcPr>
            <w:tcW w:w="15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1B8F" w:rsidRDefault="002B742B">
            <w:pPr>
              <w:spacing w:before="10" w:after="29"/>
              <w:ind w:left="150"/>
              <w:jc w:val="right"/>
              <w:textAlignment w:val="baseline"/>
            </w:pP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865505" cy="84455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1B8F" w:rsidRDefault="002B742B">
            <w:pPr>
              <w:spacing w:before="179" w:line="187" w:lineRule="exact"/>
              <w:ind w:left="144" w:right="5040"/>
              <w:textAlignment w:val="baseline"/>
              <w:rPr>
                <w:rFonts w:ascii="Verdana" w:eastAsia="Verdana" w:hAnsi="Verdana"/>
                <w:b/>
                <w:color w:val="000000"/>
                <w:spacing w:val="-6"/>
                <w:sz w:val="16"/>
                <w:lang w:val="es-ES"/>
              </w:rPr>
            </w:pPr>
            <w:r>
              <w:rPr>
                <w:rFonts w:ascii="Verdana" w:eastAsia="Verdana" w:hAnsi="Verdana"/>
                <w:b/>
                <w:color w:val="000000"/>
                <w:spacing w:val="-6"/>
                <w:sz w:val="16"/>
                <w:lang w:val="es-ES"/>
              </w:rPr>
              <w:t xml:space="preserve">Ministerio de Hacienda </w:t>
            </w:r>
            <w:r>
              <w:rPr>
                <w:rFonts w:ascii="Verdana" w:eastAsia="Verdana" w:hAnsi="Verdana"/>
                <w:color w:val="000000"/>
                <w:spacing w:val="-6"/>
                <w:sz w:val="16"/>
                <w:lang w:val="es-ES"/>
              </w:rPr>
              <w:t>Dirección de Presupuestos Reg. 670/sector 00</w:t>
            </w:r>
          </w:p>
          <w:p w:rsidR="00681B8F" w:rsidRDefault="002B742B">
            <w:pPr>
              <w:spacing w:after="440" w:line="184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6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es-ES"/>
              </w:rPr>
              <w:t>I.F. N° 94 - 01/10/2014</w:t>
            </w:r>
          </w:p>
        </w:tc>
      </w:tr>
    </w:tbl>
    <w:p w:rsidR="00681B8F" w:rsidRDefault="00681B8F">
      <w:pPr>
        <w:spacing w:after="520" w:line="20" w:lineRule="exact"/>
      </w:pPr>
    </w:p>
    <w:p w:rsidR="00681B8F" w:rsidRDefault="002B742B">
      <w:pPr>
        <w:spacing w:before="5" w:line="261" w:lineRule="exact"/>
        <w:ind w:left="72"/>
        <w:textAlignment w:val="baseline"/>
        <w:rPr>
          <w:rFonts w:ascii="Verdana" w:eastAsia="Verdana" w:hAnsi="Verdana"/>
          <w:color w:val="000000"/>
          <w:spacing w:val="-4"/>
          <w:lang w:val="es-ES"/>
        </w:rPr>
      </w:pPr>
      <w:r>
        <w:rPr>
          <w:rFonts w:ascii="Verdana" w:eastAsia="Verdana" w:hAnsi="Verdana"/>
          <w:color w:val="000000"/>
          <w:spacing w:val="-4"/>
          <w:lang w:val="es-ES"/>
        </w:rPr>
        <w:t>d) Fondo para la Equidad de Género.</w:t>
      </w:r>
    </w:p>
    <w:p w:rsidR="00681B8F" w:rsidRDefault="002B742B">
      <w:pPr>
        <w:spacing w:before="274" w:line="256" w:lineRule="exact"/>
        <w:ind w:left="72" w:right="72"/>
        <w:jc w:val="both"/>
        <w:textAlignment w:val="baseline"/>
        <w:rPr>
          <w:rFonts w:ascii="Verdana" w:eastAsia="Verdana" w:hAnsi="Verdana"/>
          <w:color w:val="000000"/>
          <w:spacing w:val="-5"/>
          <w:lang w:val="es-ES"/>
        </w:rPr>
      </w:pPr>
      <w:r>
        <w:rPr>
          <w:rFonts w:ascii="Verdana" w:eastAsia="Verdana" w:hAnsi="Verdana"/>
          <w:color w:val="000000"/>
          <w:spacing w:val="-5"/>
          <w:lang w:val="es-ES"/>
        </w:rPr>
        <w:t xml:space="preserve">Se señala explícitamente que en el mes de Enero de cada año, el Subsecretario (a) de la Mujer y la Equidad de Género aprobará, por resolución exenta, los componentes o líneas de acción anual del Fondo para la Equidad de </w:t>
      </w:r>
      <w:r>
        <w:rPr>
          <w:rFonts w:ascii="Verdana" w:eastAsia="Verdana" w:hAnsi="Verdana"/>
          <w:color w:val="000000"/>
          <w:spacing w:val="-5"/>
          <w:lang w:val="es-ES"/>
        </w:rPr>
        <w:t>Género y lo enviará al Director (a) del Servicio Nacional de la Mujer y la Equidad de Género para su ejecución, debiendo éste último remitir en la primera quincena del mes de Diciembre del año anterior, una propuesta para tales efectos.</w:t>
      </w:r>
    </w:p>
    <w:p w:rsidR="00681B8F" w:rsidRDefault="002B742B">
      <w:pPr>
        <w:spacing w:before="255" w:line="261" w:lineRule="exact"/>
        <w:ind w:left="72" w:right="72"/>
        <w:jc w:val="both"/>
        <w:textAlignment w:val="baseline"/>
        <w:rPr>
          <w:rFonts w:ascii="Verdana" w:eastAsia="Verdana" w:hAnsi="Verdana"/>
          <w:b/>
          <w:color w:val="000000"/>
          <w:lang w:val="es-ES"/>
        </w:rPr>
      </w:pPr>
      <w:r>
        <w:rPr>
          <w:rFonts w:ascii="Verdana" w:eastAsia="Verdana" w:hAnsi="Verdana"/>
          <w:b/>
          <w:color w:val="000000"/>
          <w:lang w:val="es-ES"/>
        </w:rPr>
        <w:t xml:space="preserve">La </w:t>
      </w:r>
      <w:r>
        <w:rPr>
          <w:rFonts w:ascii="Verdana" w:eastAsia="Verdana" w:hAnsi="Verdana"/>
          <w:color w:val="000000"/>
          <w:lang w:val="es-ES"/>
        </w:rPr>
        <w:t xml:space="preserve">adjudicación de </w:t>
      </w:r>
      <w:r>
        <w:rPr>
          <w:rFonts w:ascii="Verdana" w:eastAsia="Verdana" w:hAnsi="Verdana"/>
          <w:color w:val="000000"/>
          <w:lang w:val="es-ES"/>
        </w:rPr>
        <w:t>los recursos del Fondo se efectuará por resolución del Director (a) que además deberá ser visada por el Subsecretario (a).</w:t>
      </w:r>
    </w:p>
    <w:p w:rsidR="00681B8F" w:rsidRDefault="002B742B">
      <w:pPr>
        <w:spacing w:before="500" w:line="254" w:lineRule="exact"/>
        <w:ind w:left="72"/>
        <w:textAlignment w:val="baseline"/>
        <w:rPr>
          <w:rFonts w:ascii="Verdana" w:eastAsia="Verdana" w:hAnsi="Verdana"/>
          <w:b/>
          <w:color w:val="000000"/>
          <w:spacing w:val="-5"/>
          <w:lang w:val="es-ES"/>
        </w:rPr>
      </w:pPr>
      <w:r>
        <w:rPr>
          <w:rFonts w:ascii="Verdana" w:eastAsia="Verdana" w:hAnsi="Verdana"/>
          <w:b/>
          <w:color w:val="000000"/>
          <w:spacing w:val="-5"/>
          <w:lang w:val="es-ES"/>
        </w:rPr>
        <w:t>II. Efecto del Proyecto sobre el Presupuesto Fiscal.</w:t>
      </w:r>
    </w:p>
    <w:p w:rsidR="00681B8F" w:rsidRPr="000D4686" w:rsidRDefault="002B742B" w:rsidP="000D4686">
      <w:pPr>
        <w:pStyle w:val="Prrafodelista"/>
        <w:numPr>
          <w:ilvl w:val="0"/>
          <w:numId w:val="2"/>
        </w:numPr>
        <w:spacing w:before="259" w:line="259" w:lineRule="exact"/>
        <w:textAlignment w:val="baseline"/>
        <w:rPr>
          <w:rFonts w:ascii="Verdana" w:eastAsia="Verdana" w:hAnsi="Verdana"/>
          <w:color w:val="000000"/>
          <w:spacing w:val="-4"/>
          <w:lang w:val="es-ES"/>
        </w:rPr>
      </w:pPr>
      <w:r w:rsidRPr="000D4686">
        <w:rPr>
          <w:rFonts w:ascii="Verdana" w:eastAsia="Verdana" w:hAnsi="Verdana"/>
          <w:color w:val="000000"/>
          <w:spacing w:val="-4"/>
          <w:lang w:val="es-ES"/>
        </w:rPr>
        <w:t>Las presentes indicaciones no tienen impacto presupuestario.</w:t>
      </w:r>
    </w:p>
    <w:sectPr w:rsidR="00681B8F" w:rsidRPr="000D4686">
      <w:pgSz w:w="12144" w:h="15643"/>
      <w:pgMar w:top="580" w:right="1693" w:bottom="7836" w:left="17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E3ACA"/>
    <w:multiLevelType w:val="hybridMultilevel"/>
    <w:tmpl w:val="23B2A898"/>
    <w:lvl w:ilvl="0" w:tplc="340A000F">
      <w:start w:val="1"/>
      <w:numFmt w:val="decimal"/>
      <w:lvlText w:val="%1."/>
      <w:lvlJc w:val="left"/>
      <w:pPr>
        <w:ind w:left="792" w:hanging="360"/>
      </w:pPr>
    </w:lvl>
    <w:lvl w:ilvl="1" w:tplc="340A0019" w:tentative="1">
      <w:start w:val="1"/>
      <w:numFmt w:val="lowerLetter"/>
      <w:lvlText w:val="%2."/>
      <w:lvlJc w:val="left"/>
      <w:pPr>
        <w:ind w:left="1512" w:hanging="360"/>
      </w:pPr>
    </w:lvl>
    <w:lvl w:ilvl="2" w:tplc="340A001B" w:tentative="1">
      <w:start w:val="1"/>
      <w:numFmt w:val="lowerRoman"/>
      <w:lvlText w:val="%3."/>
      <w:lvlJc w:val="right"/>
      <w:pPr>
        <w:ind w:left="2232" w:hanging="180"/>
      </w:pPr>
    </w:lvl>
    <w:lvl w:ilvl="3" w:tplc="340A000F" w:tentative="1">
      <w:start w:val="1"/>
      <w:numFmt w:val="decimal"/>
      <w:lvlText w:val="%4."/>
      <w:lvlJc w:val="left"/>
      <w:pPr>
        <w:ind w:left="2952" w:hanging="360"/>
      </w:pPr>
    </w:lvl>
    <w:lvl w:ilvl="4" w:tplc="340A0019" w:tentative="1">
      <w:start w:val="1"/>
      <w:numFmt w:val="lowerLetter"/>
      <w:lvlText w:val="%5."/>
      <w:lvlJc w:val="left"/>
      <w:pPr>
        <w:ind w:left="3672" w:hanging="360"/>
      </w:pPr>
    </w:lvl>
    <w:lvl w:ilvl="5" w:tplc="340A001B" w:tentative="1">
      <w:start w:val="1"/>
      <w:numFmt w:val="lowerRoman"/>
      <w:lvlText w:val="%6."/>
      <w:lvlJc w:val="right"/>
      <w:pPr>
        <w:ind w:left="4392" w:hanging="180"/>
      </w:pPr>
    </w:lvl>
    <w:lvl w:ilvl="6" w:tplc="340A000F" w:tentative="1">
      <w:start w:val="1"/>
      <w:numFmt w:val="decimal"/>
      <w:lvlText w:val="%7."/>
      <w:lvlJc w:val="left"/>
      <w:pPr>
        <w:ind w:left="5112" w:hanging="360"/>
      </w:pPr>
    </w:lvl>
    <w:lvl w:ilvl="7" w:tplc="340A0019" w:tentative="1">
      <w:start w:val="1"/>
      <w:numFmt w:val="lowerLetter"/>
      <w:lvlText w:val="%8."/>
      <w:lvlJc w:val="left"/>
      <w:pPr>
        <w:ind w:left="5832" w:hanging="360"/>
      </w:pPr>
    </w:lvl>
    <w:lvl w:ilvl="8" w:tplc="34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72976561"/>
    <w:multiLevelType w:val="multilevel"/>
    <w:tmpl w:val="276CE53C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Verdana" w:eastAsia="Verdana" w:hAnsi="Verdana"/>
        <w:strike w:val="0"/>
        <w:color w:val="000000"/>
        <w:spacing w:val="-6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681B8F"/>
    <w:rsid w:val="000150F2"/>
    <w:rsid w:val="000D4686"/>
    <w:rsid w:val="002B742B"/>
    <w:rsid w:val="006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  <w15:docId w15:val="{8D429DDD-9E74-453E-92AB-A26C6D76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4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Gonzalez</dc:creator>
  <cp:lastModifiedBy>Oscar Gonzalez</cp:lastModifiedBy>
  <cp:revision>4</cp:revision>
  <dcterms:created xsi:type="dcterms:W3CDTF">2014-10-02T13:26:00Z</dcterms:created>
  <dcterms:modified xsi:type="dcterms:W3CDTF">2014-10-02T13:30:00Z</dcterms:modified>
</cp:coreProperties>
</file>