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1FC4" w:rsidRDefault="00000000">
      <w:pPr>
        <w:pStyle w:val="Textoindependiente"/>
        <w:spacing w:before="83"/>
        <w:ind w:left="362"/>
        <w:jc w:val="center"/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Ley</w:t>
      </w:r>
    </w:p>
    <w:p w:rsidR="003A1FC4" w:rsidRDefault="003A1FC4">
      <w:pPr>
        <w:pStyle w:val="Textoindependiente"/>
        <w:spacing w:before="265"/>
      </w:pPr>
    </w:p>
    <w:p w:rsidR="003A1FC4" w:rsidRDefault="00000000">
      <w:pPr>
        <w:spacing w:line="360" w:lineRule="auto"/>
        <w:ind w:left="621" w:right="259"/>
        <w:jc w:val="both"/>
        <w:rPr>
          <w:b/>
          <w:sz w:val="24"/>
        </w:rPr>
      </w:pPr>
      <w:r>
        <w:rPr>
          <w:b/>
          <w:sz w:val="24"/>
        </w:rPr>
        <w:t>Modifica la Ley N° 14.908 para permitir la reiteración del procedimiento de cobro de deudas por pensión de alimentos, y fortalece su operatividad y acceso.</w:t>
      </w:r>
    </w:p>
    <w:p w:rsidR="003A1FC4" w:rsidRDefault="003A1FC4">
      <w:pPr>
        <w:pStyle w:val="Textoindependiente"/>
        <w:rPr>
          <w:b/>
        </w:rPr>
      </w:pPr>
    </w:p>
    <w:p w:rsidR="003A1FC4" w:rsidRDefault="003A1FC4">
      <w:pPr>
        <w:pStyle w:val="Textoindependiente"/>
        <w:rPr>
          <w:b/>
        </w:rPr>
      </w:pPr>
    </w:p>
    <w:p w:rsidR="003A1FC4" w:rsidRDefault="003A1FC4">
      <w:pPr>
        <w:pStyle w:val="Textoindependiente"/>
        <w:rPr>
          <w:b/>
        </w:rPr>
      </w:pPr>
    </w:p>
    <w:p w:rsidR="003A1FC4" w:rsidRDefault="00000000">
      <w:pPr>
        <w:pStyle w:val="Ttulo1"/>
        <w:spacing w:before="1"/>
        <w:jc w:val="both"/>
      </w:pPr>
      <w:r>
        <w:t>I.</w:t>
      </w:r>
      <w:r>
        <w:rPr>
          <w:spacing w:val="70"/>
        </w:rPr>
        <w:t xml:space="preserve">  </w:t>
      </w:r>
      <w:r>
        <w:rPr>
          <w:spacing w:val="-2"/>
        </w:rPr>
        <w:t>FUNDAMENTOS</w:t>
      </w:r>
    </w:p>
    <w:p w:rsidR="003A1FC4" w:rsidRDefault="003A1FC4">
      <w:pPr>
        <w:pStyle w:val="Textoindependiente"/>
        <w:rPr>
          <w:b/>
        </w:rPr>
      </w:pPr>
    </w:p>
    <w:p w:rsidR="003A1FC4" w:rsidRDefault="003A1FC4">
      <w:pPr>
        <w:pStyle w:val="Textoindependiente"/>
        <w:spacing w:before="8"/>
        <w:rPr>
          <w:b/>
        </w:rPr>
      </w:pPr>
    </w:p>
    <w:p w:rsidR="003A1FC4" w:rsidRDefault="00000000">
      <w:pPr>
        <w:pStyle w:val="Textoindependiente"/>
        <w:tabs>
          <w:tab w:val="left" w:pos="7875"/>
        </w:tabs>
        <w:spacing w:line="360" w:lineRule="auto"/>
        <w:ind w:left="621" w:right="255"/>
        <w:jc w:val="both"/>
      </w:pPr>
      <w:r>
        <w:t>La Ley N° 21.484, conocida como “Ley Papito Corazón”, ha significado un avance sustancial en la recuperación de pensiones</w:t>
      </w:r>
      <w:r>
        <w:rPr>
          <w:spacing w:val="-18"/>
        </w:rPr>
        <w:t xml:space="preserve"> </w:t>
      </w:r>
      <w:r>
        <w:t>alimenticias</w:t>
      </w:r>
      <w:r>
        <w:rPr>
          <w:spacing w:val="-18"/>
        </w:rPr>
        <w:t xml:space="preserve"> </w:t>
      </w:r>
      <w:r>
        <w:t>impagas,</w:t>
      </w:r>
      <w:r>
        <w:rPr>
          <w:spacing w:val="-18"/>
        </w:rPr>
        <w:t xml:space="preserve"> </w:t>
      </w:r>
      <w:r>
        <w:t>beneficiando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más</w:t>
      </w:r>
      <w:r>
        <w:rPr>
          <w:spacing w:val="-20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 xml:space="preserve">280 mil familias. No obstante, su implementación ha evidenciado deficiencias que deben ser corregidas para asegurar el derecho de niños, niñas y adolescentes a una </w:t>
      </w:r>
      <w:r>
        <w:rPr>
          <w:spacing w:val="-4"/>
        </w:rPr>
        <w:t>vida</w:t>
      </w:r>
      <w:r>
        <w:tab/>
      </w:r>
      <w:r>
        <w:rPr>
          <w:spacing w:val="-2"/>
        </w:rPr>
        <w:t>digna.</w:t>
      </w:r>
    </w:p>
    <w:p w:rsidR="003A1FC4" w:rsidRDefault="003A1FC4">
      <w:pPr>
        <w:pStyle w:val="Textoindependiente"/>
        <w:spacing w:before="135"/>
      </w:pPr>
    </w:p>
    <w:p w:rsidR="003A1FC4" w:rsidRDefault="00000000">
      <w:pPr>
        <w:pStyle w:val="Textoindependiente"/>
        <w:ind w:left="621"/>
        <w:jc w:val="both"/>
      </w:pPr>
      <w:r>
        <w:t>Entre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principales</w:t>
      </w:r>
      <w:r>
        <w:rPr>
          <w:spacing w:val="4"/>
        </w:rPr>
        <w:t xml:space="preserve"> </w:t>
      </w:r>
      <w:r>
        <w:t>problemas</w:t>
      </w:r>
      <w:r>
        <w:rPr>
          <w:spacing w:val="3"/>
        </w:rPr>
        <w:t xml:space="preserve"> </w:t>
      </w:r>
      <w:r>
        <w:t>detectados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encuentra:</w:t>
      </w:r>
    </w:p>
    <w:p w:rsidR="003A1FC4" w:rsidRDefault="00000000">
      <w:pPr>
        <w:pStyle w:val="Textoindependiente"/>
        <w:spacing w:before="136" w:line="360" w:lineRule="auto"/>
        <w:ind w:left="621" w:right="257"/>
        <w:jc w:val="both"/>
      </w:pPr>
      <w:r>
        <w:t>(i)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imposibilidad,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muchos</w:t>
      </w:r>
      <w:r>
        <w:rPr>
          <w:spacing w:val="-16"/>
        </w:rPr>
        <w:t xml:space="preserve"> </w:t>
      </w:r>
      <w:r>
        <w:t>tribunales,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iniciar</w:t>
      </w:r>
      <w:r>
        <w:rPr>
          <w:spacing w:val="-16"/>
        </w:rPr>
        <w:t xml:space="preserve"> </w:t>
      </w:r>
      <w:r>
        <w:t>un nuevo proceso de cobro tras un nuevo incumplimiento del deudor, por una interpretación restrictiva sin sustento legal;</w:t>
      </w:r>
      <w:r>
        <w:rPr>
          <w:spacing w:val="-35"/>
        </w:rPr>
        <w:t xml:space="preserve"> </w:t>
      </w:r>
      <w:r>
        <w:t>(ii)</w:t>
      </w:r>
      <w:r>
        <w:rPr>
          <w:spacing w:val="-34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excesiva</w:t>
      </w:r>
      <w:r>
        <w:rPr>
          <w:spacing w:val="-34"/>
        </w:rPr>
        <w:t xml:space="preserve"> </w:t>
      </w:r>
      <w:r>
        <w:t>demora</w:t>
      </w:r>
      <w:r>
        <w:rPr>
          <w:spacing w:val="-34"/>
        </w:rPr>
        <w:t xml:space="preserve"> </w:t>
      </w:r>
      <w:r>
        <w:t>en</w:t>
      </w:r>
      <w:r>
        <w:rPr>
          <w:spacing w:val="-36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tramitación</w:t>
      </w:r>
      <w:r>
        <w:rPr>
          <w:spacing w:val="-34"/>
        </w:rPr>
        <w:t xml:space="preserve"> </w:t>
      </w:r>
      <w:r>
        <w:t>judicial, que</w:t>
      </w:r>
      <w:r>
        <w:rPr>
          <w:spacing w:val="-36"/>
        </w:rPr>
        <w:t xml:space="preserve"> </w:t>
      </w:r>
      <w:r>
        <w:t>dificulta</w:t>
      </w:r>
      <w:r>
        <w:rPr>
          <w:spacing w:val="-37"/>
        </w:rPr>
        <w:t xml:space="preserve"> </w:t>
      </w:r>
      <w:r>
        <w:t>una</w:t>
      </w:r>
      <w:r>
        <w:rPr>
          <w:spacing w:val="-36"/>
        </w:rPr>
        <w:t xml:space="preserve"> </w:t>
      </w:r>
      <w:r>
        <w:t>respuesta</w:t>
      </w:r>
      <w:r>
        <w:rPr>
          <w:spacing w:val="-36"/>
        </w:rPr>
        <w:t xml:space="preserve"> </w:t>
      </w:r>
      <w:r>
        <w:t>oportuna;</w:t>
      </w:r>
      <w:r>
        <w:rPr>
          <w:spacing w:val="-36"/>
        </w:rPr>
        <w:t xml:space="preserve"> </w:t>
      </w:r>
      <w:r>
        <w:t>(iii)</w:t>
      </w:r>
      <w:r>
        <w:rPr>
          <w:spacing w:val="-36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complejidad del proceso, que afecta principalmente a mujeres sin representación legal; y (iv) la falta de criterios uniformes</w:t>
      </w:r>
      <w:r>
        <w:rPr>
          <w:spacing w:val="47"/>
          <w:w w:val="150"/>
        </w:rPr>
        <w:t xml:space="preserve">    </w:t>
      </w:r>
      <w:r>
        <w:t>en</w:t>
      </w:r>
      <w:r>
        <w:rPr>
          <w:spacing w:val="47"/>
          <w:w w:val="150"/>
        </w:rPr>
        <w:t xml:space="preserve">    </w:t>
      </w:r>
      <w:r>
        <w:t>el</w:t>
      </w:r>
      <w:r>
        <w:rPr>
          <w:spacing w:val="48"/>
          <w:w w:val="150"/>
        </w:rPr>
        <w:t xml:space="preserve">    </w:t>
      </w:r>
      <w:r>
        <w:t>Poder</w:t>
      </w:r>
      <w:r>
        <w:rPr>
          <w:spacing w:val="47"/>
          <w:w w:val="150"/>
        </w:rPr>
        <w:t xml:space="preserve">    </w:t>
      </w:r>
      <w:r>
        <w:rPr>
          <w:spacing w:val="-2"/>
        </w:rPr>
        <w:t>Judicial.</w:t>
      </w:r>
    </w:p>
    <w:p w:rsidR="003A1FC4" w:rsidRDefault="003A1FC4">
      <w:pPr>
        <w:pStyle w:val="Textoindependiente"/>
        <w:spacing w:before="136"/>
      </w:pPr>
    </w:p>
    <w:p w:rsidR="003A1FC4" w:rsidRDefault="00000000">
      <w:pPr>
        <w:pStyle w:val="Textoindependiente"/>
        <w:ind w:left="621"/>
        <w:jc w:val="both"/>
      </w:pPr>
      <w:r>
        <w:t>Por</w:t>
      </w:r>
      <w:r>
        <w:rPr>
          <w:spacing w:val="38"/>
          <w:w w:val="150"/>
        </w:rPr>
        <w:t xml:space="preserve"> </w:t>
      </w:r>
      <w:r>
        <w:t>lo</w:t>
      </w:r>
      <w:r>
        <w:rPr>
          <w:spacing w:val="38"/>
          <w:w w:val="150"/>
        </w:rPr>
        <w:t xml:space="preserve"> </w:t>
      </w:r>
      <w:r>
        <w:t>anterior,</w:t>
      </w:r>
      <w:r>
        <w:rPr>
          <w:spacing w:val="38"/>
          <w:w w:val="150"/>
        </w:rPr>
        <w:t xml:space="preserve"> </w:t>
      </w:r>
      <w:r>
        <w:t>se</w:t>
      </w:r>
      <w:r>
        <w:rPr>
          <w:spacing w:val="38"/>
          <w:w w:val="150"/>
        </w:rPr>
        <w:t xml:space="preserve"> </w:t>
      </w:r>
      <w:r>
        <w:t>propone</w:t>
      </w:r>
      <w:r>
        <w:rPr>
          <w:spacing w:val="38"/>
          <w:w w:val="150"/>
        </w:rPr>
        <w:t xml:space="preserve"> </w:t>
      </w:r>
      <w:r>
        <w:t>modificar</w:t>
      </w:r>
      <w:r>
        <w:rPr>
          <w:spacing w:val="38"/>
          <w:w w:val="150"/>
        </w:rPr>
        <w:t xml:space="preserve"> </w:t>
      </w:r>
      <w:r>
        <w:t>la</w:t>
      </w:r>
      <w:r>
        <w:rPr>
          <w:spacing w:val="38"/>
          <w:w w:val="150"/>
        </w:rPr>
        <w:t xml:space="preserve"> </w:t>
      </w:r>
      <w:r>
        <w:t>ley</w:t>
      </w:r>
      <w:r>
        <w:rPr>
          <w:spacing w:val="38"/>
          <w:w w:val="150"/>
        </w:rPr>
        <w:t xml:space="preserve"> </w:t>
      </w:r>
      <w:r>
        <w:rPr>
          <w:spacing w:val="-2"/>
        </w:rPr>
        <w:t>para:</w:t>
      </w:r>
    </w:p>
    <w:p w:rsidR="003A1FC4" w:rsidRDefault="00000000">
      <w:pPr>
        <w:pStyle w:val="Prrafodelista"/>
        <w:numPr>
          <w:ilvl w:val="0"/>
          <w:numId w:val="1"/>
        </w:numPr>
        <w:tabs>
          <w:tab w:val="left" w:pos="932"/>
        </w:tabs>
        <w:spacing w:line="360" w:lineRule="auto"/>
        <w:ind w:left="621" w:firstLine="0"/>
        <w:jc w:val="both"/>
        <w:rPr>
          <w:sz w:val="24"/>
        </w:rPr>
      </w:pPr>
      <w:r>
        <w:rPr>
          <w:sz w:val="24"/>
        </w:rPr>
        <w:t>Establecer expresamente que se podrá iniciar un nuevo proceso de cobro si existen nuevas deudas, una vez que cambien las condiciones favorablemente para el alimentante</w:t>
      </w:r>
      <w:r>
        <w:rPr>
          <w:spacing w:val="-36"/>
          <w:sz w:val="24"/>
        </w:rPr>
        <w:t xml:space="preserve"> </w:t>
      </w:r>
      <w:r>
        <w:rPr>
          <w:sz w:val="24"/>
        </w:rPr>
        <w:t>o</w:t>
      </w:r>
      <w:r>
        <w:rPr>
          <w:spacing w:val="-37"/>
          <w:sz w:val="24"/>
        </w:rPr>
        <w:t xml:space="preserve"> </w:t>
      </w:r>
      <w:r>
        <w:rPr>
          <w:sz w:val="24"/>
        </w:rPr>
        <w:t>se</w:t>
      </w:r>
      <w:r>
        <w:rPr>
          <w:spacing w:val="-36"/>
          <w:sz w:val="24"/>
        </w:rPr>
        <w:t xml:space="preserve"> </w:t>
      </w:r>
      <w:r>
        <w:rPr>
          <w:sz w:val="24"/>
        </w:rPr>
        <w:t>descubran</w:t>
      </w:r>
      <w:r>
        <w:rPr>
          <w:spacing w:val="-36"/>
          <w:sz w:val="24"/>
        </w:rPr>
        <w:t xml:space="preserve"> </w:t>
      </w:r>
      <w:r>
        <w:rPr>
          <w:sz w:val="24"/>
        </w:rPr>
        <w:t>nuevos</w:t>
      </w:r>
      <w:r>
        <w:rPr>
          <w:spacing w:val="-36"/>
          <w:sz w:val="24"/>
        </w:rPr>
        <w:t xml:space="preserve"> </w:t>
      </w:r>
      <w:r>
        <w:rPr>
          <w:sz w:val="24"/>
        </w:rPr>
        <w:t>antecdentes</w:t>
      </w:r>
      <w:r>
        <w:rPr>
          <w:spacing w:val="-36"/>
          <w:sz w:val="24"/>
        </w:rPr>
        <w:t xml:space="preserve"> </w:t>
      </w:r>
      <w:r>
        <w:rPr>
          <w:sz w:val="24"/>
        </w:rPr>
        <w:t>que</w:t>
      </w:r>
      <w:r>
        <w:rPr>
          <w:spacing w:val="-36"/>
          <w:sz w:val="24"/>
        </w:rPr>
        <w:t xml:space="preserve"> </w:t>
      </w:r>
      <w:r>
        <w:rPr>
          <w:sz w:val="24"/>
        </w:rPr>
        <w:t>permitan</w:t>
      </w:r>
    </w:p>
    <w:p w:rsidR="003A1FC4" w:rsidRDefault="003A1FC4">
      <w:pPr>
        <w:pStyle w:val="Prrafodelista"/>
        <w:spacing w:line="360" w:lineRule="auto"/>
        <w:jc w:val="both"/>
        <w:rPr>
          <w:sz w:val="24"/>
        </w:rPr>
        <w:sectPr w:rsidR="003A1FC4">
          <w:type w:val="continuous"/>
          <w:pgSz w:w="12240" w:h="15840"/>
          <w:pgMar w:top="1340" w:right="1440" w:bottom="280" w:left="1800" w:header="720" w:footer="720" w:gutter="0"/>
          <w:cols w:space="720"/>
        </w:sectPr>
      </w:pPr>
    </w:p>
    <w:p w:rsidR="003A1FC4" w:rsidRDefault="00000000">
      <w:pPr>
        <w:pStyle w:val="Textoindependiente"/>
        <w:tabs>
          <w:tab w:val="left" w:pos="3518"/>
          <w:tab w:val="left" w:pos="5554"/>
          <w:tab w:val="left" w:pos="8596"/>
        </w:tabs>
        <w:spacing w:before="83"/>
        <w:ind w:left="621"/>
      </w:pPr>
      <w:r>
        <w:rPr>
          <w:spacing w:val="-2"/>
        </w:rPr>
        <w:lastRenderedPageBreak/>
        <w:t>presumir</w:t>
      </w:r>
      <w:r>
        <w:tab/>
      </w:r>
      <w:r>
        <w:rPr>
          <w:spacing w:val="-5"/>
        </w:rPr>
        <w:t>lo</w:t>
      </w:r>
      <w:r>
        <w:tab/>
      </w:r>
      <w:r>
        <w:rPr>
          <w:spacing w:val="-2"/>
        </w:rPr>
        <w:t>anterior.</w:t>
      </w:r>
      <w:r>
        <w:tab/>
      </w:r>
      <w:r>
        <w:rPr>
          <w:spacing w:val="-10"/>
        </w:rPr>
        <w:t>.</w:t>
      </w:r>
    </w:p>
    <w:p w:rsidR="003A1FC4" w:rsidRDefault="00000000">
      <w:pPr>
        <w:pStyle w:val="Prrafodelista"/>
        <w:numPr>
          <w:ilvl w:val="0"/>
          <w:numId w:val="1"/>
        </w:numPr>
        <w:tabs>
          <w:tab w:val="left" w:pos="1122"/>
          <w:tab w:val="left" w:pos="7809"/>
        </w:tabs>
        <w:spacing w:line="360" w:lineRule="auto"/>
        <w:ind w:left="621" w:firstLine="0"/>
        <w:rPr>
          <w:sz w:val="24"/>
        </w:rPr>
      </w:pPr>
      <w:r>
        <w:rPr>
          <w:sz w:val="24"/>
        </w:rPr>
        <w:t>Fortalecer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los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estándares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celeridad</w:t>
      </w:r>
      <w:r>
        <w:rPr>
          <w:sz w:val="24"/>
        </w:rPr>
        <w:tab/>
        <w:t>en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tramitación.</w:t>
      </w:r>
    </w:p>
    <w:p w:rsidR="003A1FC4" w:rsidRDefault="00000000">
      <w:pPr>
        <w:pStyle w:val="Prrafodelista"/>
        <w:numPr>
          <w:ilvl w:val="0"/>
          <w:numId w:val="1"/>
        </w:numPr>
        <w:tabs>
          <w:tab w:val="left" w:pos="978"/>
        </w:tabs>
        <w:spacing w:before="0" w:line="360" w:lineRule="auto"/>
        <w:ind w:left="621" w:right="258" w:firstLine="0"/>
        <w:rPr>
          <w:sz w:val="24"/>
        </w:rPr>
      </w:pPr>
      <w:r>
        <w:rPr>
          <w:sz w:val="24"/>
        </w:rPr>
        <w:t>Mejorar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simplicidad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asegurar acceso igualitario en todos los tribunales del país.</w:t>
      </w:r>
    </w:p>
    <w:p w:rsidR="003A1FC4" w:rsidRDefault="003A1FC4">
      <w:pPr>
        <w:pStyle w:val="Textoindependiente"/>
      </w:pPr>
    </w:p>
    <w:p w:rsidR="003A1FC4" w:rsidRDefault="003A1FC4">
      <w:pPr>
        <w:pStyle w:val="Textoindependiente"/>
        <w:spacing w:before="265"/>
      </w:pPr>
    </w:p>
    <w:p w:rsidR="003A1FC4" w:rsidRDefault="00000000">
      <w:pPr>
        <w:pStyle w:val="Ttulo1"/>
        <w:spacing w:before="1"/>
      </w:pP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PROPONE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LEY:</w:t>
      </w:r>
    </w:p>
    <w:p w:rsidR="003A1FC4" w:rsidRDefault="003A1FC4">
      <w:pPr>
        <w:pStyle w:val="Textoindependiente"/>
        <w:rPr>
          <w:b/>
        </w:rPr>
      </w:pPr>
    </w:p>
    <w:p w:rsidR="003A1FC4" w:rsidRDefault="003A1FC4">
      <w:pPr>
        <w:pStyle w:val="Textoindependiente"/>
        <w:rPr>
          <w:b/>
        </w:rPr>
      </w:pPr>
    </w:p>
    <w:p w:rsidR="003A1FC4" w:rsidRDefault="003A1FC4">
      <w:pPr>
        <w:pStyle w:val="Textoindependiente"/>
        <w:spacing w:before="144"/>
        <w:rPr>
          <w:b/>
        </w:rPr>
      </w:pPr>
    </w:p>
    <w:p w:rsidR="003A1FC4" w:rsidRDefault="00000000">
      <w:pPr>
        <w:pStyle w:val="Textoindependiente"/>
        <w:spacing w:line="360" w:lineRule="auto"/>
        <w:ind w:left="621" w:right="256"/>
        <w:jc w:val="both"/>
      </w:pPr>
      <w:r>
        <w:t>"Artículo</w:t>
      </w:r>
      <w:r>
        <w:rPr>
          <w:spacing w:val="-34"/>
        </w:rPr>
        <w:t xml:space="preserve"> </w:t>
      </w:r>
      <w:r>
        <w:t>único:</w:t>
      </w:r>
      <w:r>
        <w:rPr>
          <w:spacing w:val="-34"/>
        </w:rPr>
        <w:t xml:space="preserve"> </w:t>
      </w:r>
      <w:r>
        <w:t>Agrégase</w:t>
      </w:r>
      <w:r>
        <w:rPr>
          <w:spacing w:val="-34"/>
        </w:rPr>
        <w:t xml:space="preserve"> </w:t>
      </w:r>
      <w:r>
        <w:t>el</w:t>
      </w:r>
      <w:r>
        <w:rPr>
          <w:spacing w:val="-34"/>
        </w:rPr>
        <w:t xml:space="preserve"> </w:t>
      </w:r>
      <w:r>
        <w:t>siguiente</w:t>
      </w:r>
      <w:r>
        <w:rPr>
          <w:spacing w:val="-34"/>
        </w:rPr>
        <w:t xml:space="preserve"> </w:t>
      </w:r>
      <w:r>
        <w:t>artículo</w:t>
      </w:r>
      <w:r>
        <w:rPr>
          <w:spacing w:val="77"/>
        </w:rPr>
        <w:t xml:space="preserve"> </w:t>
      </w:r>
      <w:r>
        <w:t>19</w:t>
      </w:r>
      <w:r>
        <w:rPr>
          <w:spacing w:val="-36"/>
        </w:rPr>
        <w:t xml:space="preserve"> </w:t>
      </w:r>
      <w:r>
        <w:t>nonies a la ley N° 14.908, sobre abandono de familia y pago de pensiones alimenticias, cuyo texto refundido, coordinado y sistematizado se encuentra contenido en el artículo 7° del</w:t>
      </w:r>
      <w:r>
        <w:rPr>
          <w:spacing w:val="-36"/>
        </w:rPr>
        <w:t xml:space="preserve"> </w:t>
      </w:r>
      <w:r>
        <w:t>decreto</w:t>
      </w:r>
      <w:r>
        <w:rPr>
          <w:spacing w:val="-37"/>
        </w:rPr>
        <w:t xml:space="preserve"> </w:t>
      </w:r>
      <w:r>
        <w:t>con</w:t>
      </w:r>
      <w:r>
        <w:rPr>
          <w:spacing w:val="-36"/>
        </w:rPr>
        <w:t xml:space="preserve"> </w:t>
      </w:r>
      <w:r>
        <w:t>fuerza</w:t>
      </w:r>
      <w:r>
        <w:rPr>
          <w:spacing w:val="-36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ley</w:t>
      </w:r>
      <w:r>
        <w:rPr>
          <w:spacing w:val="-36"/>
        </w:rPr>
        <w:t xml:space="preserve"> </w:t>
      </w:r>
      <w:r>
        <w:t>N°</w:t>
      </w:r>
      <w:r>
        <w:rPr>
          <w:spacing w:val="-36"/>
        </w:rPr>
        <w:t xml:space="preserve"> </w:t>
      </w:r>
      <w:r>
        <w:t>1,</w:t>
      </w:r>
      <w:r>
        <w:rPr>
          <w:spacing w:val="-36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2000,</w:t>
      </w:r>
      <w:r>
        <w:rPr>
          <w:spacing w:val="-36"/>
        </w:rPr>
        <w:t xml:space="preserve"> </w:t>
      </w:r>
      <w:r>
        <w:t>del</w:t>
      </w:r>
      <w:r>
        <w:rPr>
          <w:spacing w:val="-36"/>
        </w:rPr>
        <w:t xml:space="preserve"> </w:t>
      </w:r>
      <w:r>
        <w:t>Ministerio de Justicia, del siguiente tenor:</w:t>
      </w:r>
    </w:p>
    <w:p w:rsidR="003A1FC4" w:rsidRDefault="003A1FC4">
      <w:pPr>
        <w:pStyle w:val="Textoindependiente"/>
      </w:pPr>
    </w:p>
    <w:p w:rsidR="003A1FC4" w:rsidRDefault="003A1FC4">
      <w:pPr>
        <w:pStyle w:val="Textoindependiente"/>
      </w:pPr>
    </w:p>
    <w:p w:rsidR="003A1FC4" w:rsidRDefault="003A1FC4">
      <w:pPr>
        <w:pStyle w:val="Textoindependiente"/>
      </w:pPr>
    </w:p>
    <w:p w:rsidR="003A1FC4" w:rsidRDefault="003A1FC4">
      <w:pPr>
        <w:pStyle w:val="Textoindependiente"/>
      </w:pPr>
    </w:p>
    <w:p w:rsidR="003A1FC4" w:rsidRDefault="003A1FC4">
      <w:pPr>
        <w:pStyle w:val="Textoindependiente"/>
        <w:spacing w:before="183"/>
      </w:pPr>
    </w:p>
    <w:p w:rsidR="003A1FC4" w:rsidRDefault="00000000">
      <w:pPr>
        <w:spacing w:line="360" w:lineRule="auto"/>
        <w:ind w:left="1318" w:right="256"/>
        <w:jc w:val="both"/>
        <w:rPr>
          <w:i/>
          <w:sz w:val="24"/>
        </w:rPr>
      </w:pPr>
      <w:r>
        <w:rPr>
          <w:sz w:val="24"/>
        </w:rPr>
        <w:t xml:space="preserve">" </w:t>
      </w:r>
      <w:r>
        <w:rPr>
          <w:i/>
          <w:sz w:val="24"/>
        </w:rPr>
        <w:t>Artículo 19 nonies.- En caso de nuevos incumplimientos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deudor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alimentario,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se podrá iniciar un nuevo proceso de pago efectivo de deuda de pensión de alimentos establecido en los artículos 19 quinquies y siguientes, una vez transcurridos seis meses desde la fecha del último pago efectivo realizado conforme a esta ley. Esta reiteración será procedente en tanto se cumplan nuevamente los requisitos legales establecidos, respetando los límites porcentuales establecidos para el retiro de fondos previsionales."</w:t>
      </w:r>
    </w:p>
    <w:p w:rsidR="003A1FC4" w:rsidRDefault="003A1FC4">
      <w:pPr>
        <w:spacing w:line="360" w:lineRule="auto"/>
        <w:jc w:val="both"/>
        <w:rPr>
          <w:i/>
          <w:sz w:val="24"/>
        </w:rPr>
        <w:sectPr w:rsidR="003A1FC4">
          <w:pgSz w:w="12240" w:h="15840"/>
          <w:pgMar w:top="1340" w:right="1440" w:bottom="280" w:left="1800" w:header="720" w:footer="720" w:gutter="0"/>
          <w:cols w:space="720"/>
        </w:sectPr>
      </w:pPr>
    </w:p>
    <w:p w:rsidR="003A1FC4" w:rsidRDefault="003A1FC4">
      <w:pPr>
        <w:pStyle w:val="Textoindependiente"/>
        <w:rPr>
          <w:i/>
        </w:rPr>
      </w:pPr>
    </w:p>
    <w:p w:rsidR="003A1FC4" w:rsidRDefault="003A1FC4">
      <w:pPr>
        <w:pStyle w:val="Textoindependiente"/>
        <w:rPr>
          <w:i/>
        </w:rPr>
      </w:pPr>
    </w:p>
    <w:p w:rsidR="003A1FC4" w:rsidRDefault="003A1FC4">
      <w:pPr>
        <w:pStyle w:val="Textoindependiente"/>
        <w:spacing w:before="4"/>
        <w:rPr>
          <w:i/>
        </w:rPr>
      </w:pPr>
    </w:p>
    <w:p w:rsidR="003A1FC4" w:rsidRDefault="00000000">
      <w:pPr>
        <w:pStyle w:val="Ttulo1"/>
        <w:jc w:val="both"/>
      </w:pPr>
      <w:r>
        <w:t>DISPOSICIONES</w:t>
      </w:r>
      <w:r>
        <w:rPr>
          <w:spacing w:val="-13"/>
        </w:rPr>
        <w:t xml:space="preserve"> </w:t>
      </w:r>
      <w:r>
        <w:rPr>
          <w:spacing w:val="-2"/>
        </w:rPr>
        <w:t>TRANSITORIAS</w:t>
      </w:r>
    </w:p>
    <w:p w:rsidR="003A1FC4" w:rsidRDefault="003A1FC4">
      <w:pPr>
        <w:pStyle w:val="Textoindependiente"/>
        <w:rPr>
          <w:b/>
        </w:rPr>
      </w:pPr>
    </w:p>
    <w:p w:rsidR="003A1FC4" w:rsidRDefault="003A1FC4">
      <w:pPr>
        <w:pStyle w:val="Textoindependiente"/>
        <w:rPr>
          <w:b/>
        </w:rPr>
      </w:pPr>
    </w:p>
    <w:p w:rsidR="003A1FC4" w:rsidRDefault="00000000">
      <w:pPr>
        <w:pStyle w:val="Ttulo2"/>
      </w:pPr>
      <w:r>
        <w:t>Artículo</w:t>
      </w:r>
      <w:r>
        <w:rPr>
          <w:spacing w:val="-8"/>
        </w:rPr>
        <w:t xml:space="preserve"> </w:t>
      </w:r>
      <w:r>
        <w:rPr>
          <w:spacing w:val="-2"/>
        </w:rPr>
        <w:t>primero.</w:t>
      </w:r>
    </w:p>
    <w:p w:rsidR="003A1FC4" w:rsidRDefault="00000000">
      <w:pPr>
        <w:spacing w:before="144" w:line="360" w:lineRule="auto"/>
        <w:ind w:left="621" w:right="262"/>
        <w:jc w:val="both"/>
        <w:rPr>
          <w:i/>
          <w:sz w:val="24"/>
        </w:rPr>
      </w:pPr>
      <w:r>
        <w:rPr>
          <w:i/>
          <w:sz w:val="24"/>
        </w:rPr>
        <w:t>Esta ley entrará en vigencia al tercer mes contado desde su publicación en el Diario Oficial.</w:t>
      </w:r>
    </w:p>
    <w:p w:rsidR="003A1FC4" w:rsidRDefault="003A1FC4">
      <w:pPr>
        <w:pStyle w:val="Textoindependiente"/>
        <w:spacing w:before="129"/>
        <w:rPr>
          <w:i/>
        </w:rPr>
      </w:pPr>
    </w:p>
    <w:p w:rsidR="003A1FC4" w:rsidRDefault="00000000">
      <w:pPr>
        <w:pStyle w:val="Ttulo2"/>
      </w:pPr>
      <w:r>
        <w:t>Artículo</w:t>
      </w:r>
      <w:r>
        <w:rPr>
          <w:spacing w:val="-8"/>
        </w:rPr>
        <w:t xml:space="preserve"> </w:t>
      </w:r>
      <w:r>
        <w:rPr>
          <w:spacing w:val="-2"/>
        </w:rPr>
        <w:t>segundo.</w:t>
      </w:r>
    </w:p>
    <w:p w:rsidR="003A1FC4" w:rsidRDefault="00000000">
      <w:pPr>
        <w:spacing w:before="144" w:line="360" w:lineRule="auto"/>
        <w:ind w:left="621" w:right="256"/>
        <w:jc w:val="both"/>
        <w:rPr>
          <w:i/>
          <w:sz w:val="24"/>
        </w:rPr>
      </w:pPr>
      <w:r>
        <w:rPr>
          <w:i/>
          <w:sz w:val="24"/>
        </w:rPr>
        <w:t>Los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procesos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pendientes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fecha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entrada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vigencia de esta ley podrán acogerse a la disposición de esta ley siempre que hayan transcurrido al menos seis meses desde el último pago efectivo.</w:t>
      </w:r>
    </w:p>
    <w:p w:rsidR="003A1FC4" w:rsidRDefault="003A1FC4">
      <w:pPr>
        <w:pStyle w:val="Textoindependiente"/>
        <w:rPr>
          <w:i/>
        </w:rPr>
      </w:pPr>
    </w:p>
    <w:p w:rsidR="003A1FC4" w:rsidRDefault="003A1FC4">
      <w:pPr>
        <w:pStyle w:val="Textoindependiente"/>
        <w:spacing w:before="263"/>
        <w:rPr>
          <w:i/>
        </w:rPr>
      </w:pPr>
    </w:p>
    <w:p w:rsidR="003A1FC4" w:rsidRDefault="00000000">
      <w:pPr>
        <w:spacing w:line="360" w:lineRule="auto"/>
        <w:ind w:left="4105" w:right="1586" w:hanging="1080"/>
        <w:rPr>
          <w:b/>
          <w:sz w:val="24"/>
        </w:rPr>
      </w:pPr>
      <w:r>
        <w:rPr>
          <w:b/>
          <w:sz w:val="24"/>
        </w:rPr>
        <w:t>CHIARA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BARCHIESI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 xml:space="preserve">CHÁVEZ </w:t>
      </w:r>
      <w:r>
        <w:rPr>
          <w:b/>
          <w:spacing w:val="-2"/>
          <w:sz w:val="24"/>
        </w:rPr>
        <w:t>DIPUTADA</w:t>
      </w:r>
    </w:p>
    <w:sectPr w:rsidR="003A1FC4">
      <w:pgSz w:w="12240" w:h="15840"/>
      <w:pgMar w:top="1820" w:right="144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47BEC"/>
    <w:multiLevelType w:val="hybridMultilevel"/>
    <w:tmpl w:val="B0CE3D46"/>
    <w:lvl w:ilvl="0" w:tplc="F800A1EC">
      <w:numFmt w:val="bullet"/>
      <w:lvlText w:val="-"/>
      <w:lvlJc w:val="left"/>
      <w:pPr>
        <w:ind w:left="622" w:hanging="31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DC245AA">
      <w:numFmt w:val="bullet"/>
      <w:lvlText w:val="•"/>
      <w:lvlJc w:val="left"/>
      <w:pPr>
        <w:ind w:left="1458" w:hanging="312"/>
      </w:pPr>
      <w:rPr>
        <w:rFonts w:hint="default"/>
        <w:lang w:val="es-ES" w:eastAsia="en-US" w:bidi="ar-SA"/>
      </w:rPr>
    </w:lvl>
    <w:lvl w:ilvl="2" w:tplc="FD8EBFCC">
      <w:numFmt w:val="bullet"/>
      <w:lvlText w:val="•"/>
      <w:lvlJc w:val="left"/>
      <w:pPr>
        <w:ind w:left="2296" w:hanging="312"/>
      </w:pPr>
      <w:rPr>
        <w:rFonts w:hint="default"/>
        <w:lang w:val="es-ES" w:eastAsia="en-US" w:bidi="ar-SA"/>
      </w:rPr>
    </w:lvl>
    <w:lvl w:ilvl="3" w:tplc="A600D294">
      <w:numFmt w:val="bullet"/>
      <w:lvlText w:val="•"/>
      <w:lvlJc w:val="left"/>
      <w:pPr>
        <w:ind w:left="3134" w:hanging="312"/>
      </w:pPr>
      <w:rPr>
        <w:rFonts w:hint="default"/>
        <w:lang w:val="es-ES" w:eastAsia="en-US" w:bidi="ar-SA"/>
      </w:rPr>
    </w:lvl>
    <w:lvl w:ilvl="4" w:tplc="17AA1CE2">
      <w:numFmt w:val="bullet"/>
      <w:lvlText w:val="•"/>
      <w:lvlJc w:val="left"/>
      <w:pPr>
        <w:ind w:left="3972" w:hanging="312"/>
      </w:pPr>
      <w:rPr>
        <w:rFonts w:hint="default"/>
        <w:lang w:val="es-ES" w:eastAsia="en-US" w:bidi="ar-SA"/>
      </w:rPr>
    </w:lvl>
    <w:lvl w:ilvl="5" w:tplc="68C4B9AC">
      <w:numFmt w:val="bullet"/>
      <w:lvlText w:val="•"/>
      <w:lvlJc w:val="left"/>
      <w:pPr>
        <w:ind w:left="4810" w:hanging="312"/>
      </w:pPr>
      <w:rPr>
        <w:rFonts w:hint="default"/>
        <w:lang w:val="es-ES" w:eastAsia="en-US" w:bidi="ar-SA"/>
      </w:rPr>
    </w:lvl>
    <w:lvl w:ilvl="6" w:tplc="B17C84EE">
      <w:numFmt w:val="bullet"/>
      <w:lvlText w:val="•"/>
      <w:lvlJc w:val="left"/>
      <w:pPr>
        <w:ind w:left="5648" w:hanging="312"/>
      </w:pPr>
      <w:rPr>
        <w:rFonts w:hint="default"/>
        <w:lang w:val="es-ES" w:eastAsia="en-US" w:bidi="ar-SA"/>
      </w:rPr>
    </w:lvl>
    <w:lvl w:ilvl="7" w:tplc="2C82E6E8">
      <w:numFmt w:val="bullet"/>
      <w:lvlText w:val="•"/>
      <w:lvlJc w:val="left"/>
      <w:pPr>
        <w:ind w:left="6486" w:hanging="312"/>
      </w:pPr>
      <w:rPr>
        <w:rFonts w:hint="default"/>
        <w:lang w:val="es-ES" w:eastAsia="en-US" w:bidi="ar-SA"/>
      </w:rPr>
    </w:lvl>
    <w:lvl w:ilvl="8" w:tplc="11926F94">
      <w:numFmt w:val="bullet"/>
      <w:lvlText w:val="•"/>
      <w:lvlJc w:val="left"/>
      <w:pPr>
        <w:ind w:left="7324" w:hanging="312"/>
      </w:pPr>
      <w:rPr>
        <w:rFonts w:hint="default"/>
        <w:lang w:val="es-ES" w:eastAsia="en-US" w:bidi="ar-SA"/>
      </w:rPr>
    </w:lvl>
  </w:abstractNum>
  <w:num w:numId="1" w16cid:durableId="79241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1FC4"/>
    <w:rsid w:val="003A1FC4"/>
    <w:rsid w:val="008C20AA"/>
    <w:rsid w:val="00C5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E6EF4-2E19-45F6-9FC6-D09E4BCE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es-ES"/>
    </w:rPr>
  </w:style>
  <w:style w:type="paragraph" w:styleId="Ttulo1">
    <w:name w:val="heading 1"/>
    <w:basedOn w:val="Normal"/>
    <w:uiPriority w:val="9"/>
    <w:qFormat/>
    <w:pPr>
      <w:ind w:left="62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621"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36"/>
      <w:ind w:left="621" w:right="2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Sebastián Andrés Olivares Pino</dc:creator>
  <cp:lastModifiedBy>Guillermo Diaz Vallejos</cp:lastModifiedBy>
  <cp:revision>1</cp:revision>
  <dcterms:created xsi:type="dcterms:W3CDTF">2025-08-21T20:02:00Z</dcterms:created>
  <dcterms:modified xsi:type="dcterms:W3CDTF">2025-09-02T21:49:00Z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Word 2016</vt:lpwstr>
  </property>
</Properties>
</file>