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DD2F" w14:textId="77777777" w:rsidR="00F50AED" w:rsidRDefault="00F50AED" w:rsidP="00B9277B">
      <w:pPr>
        <w:spacing w:line="360" w:lineRule="auto"/>
        <w:jc w:val="both"/>
        <w:rPr>
          <w:rFonts w:ascii="Bookman Old Style" w:hAnsi="Bookman Old Style"/>
          <w:b/>
          <w:bCs/>
          <w:sz w:val="24"/>
          <w:szCs w:val="24"/>
        </w:rPr>
      </w:pPr>
    </w:p>
    <w:p w14:paraId="5499166E" w14:textId="1677F4EA" w:rsidR="001777A8" w:rsidRDefault="007329EA" w:rsidP="00B9277B">
      <w:pPr>
        <w:spacing w:line="360" w:lineRule="auto"/>
        <w:jc w:val="both"/>
        <w:rPr>
          <w:rFonts w:ascii="Bookman Old Style" w:hAnsi="Bookman Old Style"/>
          <w:b/>
          <w:bCs/>
          <w:sz w:val="24"/>
          <w:szCs w:val="24"/>
        </w:rPr>
      </w:pPr>
      <w:r w:rsidRPr="004D5492">
        <w:rPr>
          <w:rFonts w:ascii="Bookman Old Style" w:hAnsi="Bookman Old Style"/>
          <w:b/>
          <w:bCs/>
          <w:sz w:val="24"/>
          <w:szCs w:val="24"/>
        </w:rPr>
        <w:t xml:space="preserve">PROYECTO DE LEY QUE </w:t>
      </w:r>
      <w:r w:rsidR="00B80B9C">
        <w:rPr>
          <w:rFonts w:ascii="Bookman Old Style" w:hAnsi="Bookman Old Style"/>
          <w:b/>
          <w:bCs/>
          <w:sz w:val="24"/>
          <w:szCs w:val="24"/>
        </w:rPr>
        <w:t xml:space="preserve">MODIFICA DIVERSOS CUERPOS NORMATIVOS </w:t>
      </w:r>
      <w:r w:rsidR="00B80B9C" w:rsidRPr="00854439">
        <w:rPr>
          <w:rFonts w:ascii="Bookman Old Style" w:hAnsi="Bookman Old Style"/>
          <w:b/>
          <w:bCs/>
          <w:sz w:val="24"/>
          <w:szCs w:val="24"/>
        </w:rPr>
        <w:t xml:space="preserve">EN MATERIA DE </w:t>
      </w:r>
      <w:r w:rsidR="00313429">
        <w:rPr>
          <w:rFonts w:ascii="Bookman Old Style" w:hAnsi="Bookman Old Style"/>
          <w:b/>
          <w:bCs/>
          <w:sz w:val="24"/>
          <w:szCs w:val="24"/>
        </w:rPr>
        <w:t>COBROS</w:t>
      </w:r>
      <w:r w:rsidR="00B80B9C" w:rsidRPr="00854439">
        <w:rPr>
          <w:rFonts w:ascii="Bookman Old Style" w:hAnsi="Bookman Old Style"/>
          <w:b/>
          <w:bCs/>
          <w:sz w:val="24"/>
          <w:szCs w:val="24"/>
        </w:rPr>
        <w:t xml:space="preserve"> Y </w:t>
      </w:r>
      <w:r w:rsidR="005D4EBF" w:rsidRPr="00854439">
        <w:rPr>
          <w:rFonts w:ascii="Bookman Old Style" w:hAnsi="Bookman Old Style"/>
          <w:b/>
          <w:bCs/>
          <w:sz w:val="24"/>
          <w:szCs w:val="24"/>
        </w:rPr>
        <w:t xml:space="preserve">PROCESOS DE </w:t>
      </w:r>
      <w:r w:rsidR="00B80B9C" w:rsidRPr="00854439">
        <w:rPr>
          <w:rFonts w:ascii="Bookman Old Style" w:hAnsi="Bookman Old Style"/>
          <w:b/>
          <w:bCs/>
          <w:sz w:val="24"/>
          <w:szCs w:val="24"/>
        </w:rPr>
        <w:t>REGULACIÓN</w:t>
      </w:r>
      <w:r w:rsidR="00755BC3" w:rsidRPr="00854439">
        <w:rPr>
          <w:rFonts w:ascii="Bookman Old Style" w:hAnsi="Bookman Old Style"/>
          <w:b/>
          <w:bCs/>
          <w:sz w:val="24"/>
          <w:szCs w:val="24"/>
        </w:rPr>
        <w:t xml:space="preserve"> </w:t>
      </w:r>
      <w:r w:rsidR="00854439">
        <w:rPr>
          <w:rFonts w:ascii="Bookman Old Style" w:hAnsi="Bookman Old Style"/>
          <w:b/>
          <w:bCs/>
          <w:sz w:val="24"/>
          <w:szCs w:val="24"/>
        </w:rPr>
        <w:t>TARIFARIA.</w:t>
      </w:r>
    </w:p>
    <w:p w14:paraId="11F4BC46" w14:textId="77777777" w:rsidR="002B733B" w:rsidRDefault="002B733B" w:rsidP="00B9277B">
      <w:pPr>
        <w:spacing w:line="360" w:lineRule="auto"/>
        <w:jc w:val="both"/>
        <w:rPr>
          <w:rFonts w:ascii="Bookman Old Style" w:hAnsi="Bookman Old Style"/>
          <w:b/>
          <w:bCs/>
          <w:sz w:val="24"/>
          <w:szCs w:val="24"/>
        </w:rPr>
      </w:pPr>
    </w:p>
    <w:p w14:paraId="3CBF9802" w14:textId="276E089F" w:rsidR="00AB7316" w:rsidRDefault="004D5492" w:rsidP="00AB7316">
      <w:pPr>
        <w:pStyle w:val="Prrafodelista"/>
        <w:numPr>
          <w:ilvl w:val="0"/>
          <w:numId w:val="1"/>
        </w:numPr>
        <w:spacing w:line="360" w:lineRule="auto"/>
        <w:jc w:val="both"/>
        <w:rPr>
          <w:rFonts w:ascii="Bookman Old Style" w:hAnsi="Bookman Old Style"/>
          <w:sz w:val="24"/>
          <w:szCs w:val="24"/>
        </w:rPr>
      </w:pPr>
      <w:r>
        <w:rPr>
          <w:rFonts w:ascii="Bookman Old Style" w:hAnsi="Bookman Old Style"/>
          <w:sz w:val="24"/>
          <w:szCs w:val="24"/>
        </w:rPr>
        <w:t>Antecedentes</w:t>
      </w:r>
    </w:p>
    <w:p w14:paraId="124308B1" w14:textId="5E314019" w:rsidR="00AB7316" w:rsidRDefault="00AB7316" w:rsidP="00AB7316">
      <w:pPr>
        <w:spacing w:line="360" w:lineRule="auto"/>
        <w:jc w:val="both"/>
        <w:rPr>
          <w:rFonts w:ascii="Bookman Old Style" w:hAnsi="Bookman Old Style"/>
          <w:sz w:val="24"/>
          <w:szCs w:val="24"/>
        </w:rPr>
      </w:pPr>
      <w:r>
        <w:rPr>
          <w:rFonts w:ascii="Bookman Old Style" w:hAnsi="Bookman Old Style"/>
          <w:sz w:val="24"/>
          <w:szCs w:val="24"/>
        </w:rPr>
        <w:t xml:space="preserve">Durante los últimos años se han implementado diversos instrumentos de modernización tanto de la institucionalidad como la regulación del sector eléctrico. Particularmente, el segmento de la distribución experimentó una importante modificación con la ley N°21.194, de 2019, que Rebaja la rentabilidad de las empresas de distribución y perfecciona el proceso tarifario de distribución eléctrica. </w:t>
      </w:r>
    </w:p>
    <w:p w14:paraId="51DAC5C4" w14:textId="027CA5CB" w:rsidR="00F50AED" w:rsidRDefault="001777A8" w:rsidP="00AB7316">
      <w:pPr>
        <w:spacing w:line="360" w:lineRule="auto"/>
        <w:jc w:val="both"/>
        <w:rPr>
          <w:rFonts w:ascii="Bookman Old Style" w:hAnsi="Bookman Old Style"/>
          <w:sz w:val="24"/>
          <w:szCs w:val="24"/>
        </w:rPr>
      </w:pPr>
      <w:r>
        <w:rPr>
          <w:rFonts w:ascii="Bookman Old Style" w:hAnsi="Bookman Old Style"/>
          <w:sz w:val="24"/>
          <w:szCs w:val="24"/>
        </w:rPr>
        <w:t>Así, e</w:t>
      </w:r>
      <w:r w:rsidR="00AB7316">
        <w:rPr>
          <w:rFonts w:ascii="Bookman Old Style" w:hAnsi="Bookman Old Style"/>
          <w:sz w:val="24"/>
          <w:szCs w:val="24"/>
        </w:rPr>
        <w:t xml:space="preserve">ntre otras cosas, la ley </w:t>
      </w:r>
      <w:r>
        <w:rPr>
          <w:rFonts w:ascii="Bookman Old Style" w:hAnsi="Bookman Old Style"/>
          <w:sz w:val="24"/>
          <w:szCs w:val="24"/>
        </w:rPr>
        <w:t xml:space="preserve">también </w:t>
      </w:r>
      <w:r w:rsidR="00AB7316">
        <w:rPr>
          <w:rFonts w:ascii="Bookman Old Style" w:hAnsi="Bookman Old Style"/>
          <w:sz w:val="24"/>
          <w:szCs w:val="24"/>
        </w:rPr>
        <w:t xml:space="preserve">conocida como Ley Corta de Distribución, modernizó el procedimiento </w:t>
      </w:r>
      <w:r w:rsidR="00F50AED">
        <w:rPr>
          <w:rFonts w:ascii="Bookman Old Style" w:hAnsi="Bookman Old Style"/>
          <w:sz w:val="24"/>
          <w:szCs w:val="24"/>
        </w:rPr>
        <w:t>para la realización de los estudios tarifarios en materia de distribución de energía eléctrica—el Valor Agregado de Distribución (VAD)—correspondiente al valor por el uso y mantención de las redes de distribución eléctrica.</w:t>
      </w:r>
    </w:p>
    <w:p w14:paraId="153C2D59" w14:textId="6E532EE0" w:rsidR="00F50AED" w:rsidRDefault="00F50AED" w:rsidP="00AB7316">
      <w:pPr>
        <w:spacing w:line="360" w:lineRule="auto"/>
        <w:jc w:val="both"/>
        <w:rPr>
          <w:rFonts w:ascii="Bookman Old Style" w:hAnsi="Bookman Old Style"/>
          <w:sz w:val="24"/>
          <w:szCs w:val="24"/>
        </w:rPr>
      </w:pPr>
      <w:r>
        <w:rPr>
          <w:rFonts w:ascii="Bookman Old Style" w:hAnsi="Bookman Old Style"/>
          <w:sz w:val="24"/>
          <w:szCs w:val="24"/>
        </w:rPr>
        <w:t>A fin de determinar adecuadamente los costos de prestación de dicho servicio, la ley mandata la elaboración de un estudio liderado por la Comisión Nacional de Energía cada cuatro años, el cual deberá determinar los costos anuales de inversión de las instalaciones de distribución.</w:t>
      </w:r>
    </w:p>
    <w:p w14:paraId="304BC271" w14:textId="6AA02BB7" w:rsidR="00AB7316" w:rsidRDefault="00AB7316" w:rsidP="00AB7316">
      <w:pPr>
        <w:spacing w:line="360" w:lineRule="auto"/>
        <w:jc w:val="both"/>
        <w:rPr>
          <w:rFonts w:ascii="Bookman Old Style" w:hAnsi="Bookman Old Style"/>
          <w:sz w:val="24"/>
          <w:szCs w:val="24"/>
        </w:rPr>
      </w:pPr>
      <w:r>
        <w:rPr>
          <w:rFonts w:ascii="Bookman Old Style" w:hAnsi="Bookman Old Style"/>
          <w:sz w:val="24"/>
          <w:szCs w:val="24"/>
        </w:rPr>
        <w:t xml:space="preserve">Adicionalmente, </w:t>
      </w:r>
      <w:r w:rsidR="006046BB">
        <w:rPr>
          <w:rFonts w:ascii="Bookman Old Style" w:hAnsi="Bookman Old Style"/>
          <w:sz w:val="24"/>
          <w:szCs w:val="24"/>
        </w:rPr>
        <w:t>la ley eliminó</w:t>
      </w:r>
      <w:r>
        <w:rPr>
          <w:rFonts w:ascii="Bookman Old Style" w:hAnsi="Bookman Old Style"/>
          <w:sz w:val="24"/>
          <w:szCs w:val="24"/>
        </w:rPr>
        <w:t xml:space="preserve"> la ponderación de posturas</w:t>
      </w:r>
      <w:r w:rsidR="00300FD1">
        <w:rPr>
          <w:rFonts w:ascii="Bookman Old Style" w:hAnsi="Bookman Old Style"/>
          <w:sz w:val="24"/>
          <w:szCs w:val="24"/>
        </w:rPr>
        <w:t xml:space="preserve"> respecto a la materia</w:t>
      </w:r>
      <w:r>
        <w:rPr>
          <w:rFonts w:ascii="Bookman Old Style" w:hAnsi="Bookman Old Style"/>
          <w:sz w:val="24"/>
          <w:szCs w:val="24"/>
        </w:rPr>
        <w:t>, generando un nuevo mecanismo de solución de controversias donde el Panel de Expertos deberá optar por solo una alternativa, sin posibilidad de elegir opciones intermedias, lo que busca acelerar el proceso</w:t>
      </w:r>
      <w:r w:rsidR="00300FD1">
        <w:rPr>
          <w:rFonts w:ascii="Bookman Old Style" w:hAnsi="Bookman Old Style"/>
          <w:sz w:val="24"/>
          <w:szCs w:val="24"/>
        </w:rPr>
        <w:t xml:space="preserve"> y disminuir las asimetrías de información.</w:t>
      </w:r>
    </w:p>
    <w:p w14:paraId="08CC6EB9" w14:textId="06E1130E" w:rsidR="002901AC" w:rsidRDefault="00300FD1" w:rsidP="00AB7316">
      <w:pPr>
        <w:spacing w:line="360" w:lineRule="auto"/>
        <w:jc w:val="both"/>
        <w:rPr>
          <w:rFonts w:ascii="Bookman Old Style" w:hAnsi="Bookman Old Style"/>
          <w:sz w:val="24"/>
          <w:szCs w:val="24"/>
        </w:rPr>
      </w:pPr>
      <w:r>
        <w:rPr>
          <w:rFonts w:ascii="Bookman Old Style" w:hAnsi="Bookman Old Style"/>
          <w:sz w:val="24"/>
          <w:szCs w:val="24"/>
        </w:rPr>
        <w:lastRenderedPageBreak/>
        <w:t>Esta regulación se aplicó al proceso de determinación de tarifas de distribución correspondiente al cuadrienio 2020-2024 y luego, tras la promulgación de la Ley N°</w:t>
      </w:r>
      <w:r w:rsidR="00667243">
        <w:rPr>
          <w:rFonts w:ascii="Bookman Old Style" w:hAnsi="Bookman Old Style"/>
          <w:sz w:val="24"/>
          <w:szCs w:val="24"/>
        </w:rPr>
        <w:t xml:space="preserve">21.667, que Modifica diversos cuerpos legales en materia de estabilización tarifaria, </w:t>
      </w:r>
      <w:r w:rsidR="002901AC">
        <w:rPr>
          <w:rFonts w:ascii="Bookman Old Style" w:hAnsi="Bookman Old Style"/>
          <w:sz w:val="24"/>
          <w:szCs w:val="24"/>
        </w:rPr>
        <w:t xml:space="preserve">se estableció que </w:t>
      </w:r>
      <w:r w:rsidR="006046BB">
        <w:rPr>
          <w:rFonts w:ascii="Bookman Old Style" w:hAnsi="Bookman Old Style"/>
          <w:sz w:val="24"/>
          <w:szCs w:val="24"/>
        </w:rPr>
        <w:t>dicho mecanismo continuaría vigente. De esta manera, los restantes procesos de fijación tarifaria se mantendría la aplicación del mismo procedimiento referido.</w:t>
      </w:r>
    </w:p>
    <w:p w14:paraId="1B3AB5BE" w14:textId="19F3EA8D" w:rsidR="002901AC" w:rsidRPr="00AB7316" w:rsidRDefault="002901AC" w:rsidP="00AB7316">
      <w:pPr>
        <w:spacing w:line="360" w:lineRule="auto"/>
        <w:jc w:val="both"/>
        <w:rPr>
          <w:rFonts w:ascii="Bookman Old Style" w:hAnsi="Bookman Old Style"/>
          <w:sz w:val="24"/>
          <w:szCs w:val="24"/>
        </w:rPr>
      </w:pPr>
      <w:r>
        <w:rPr>
          <w:rFonts w:ascii="Bookman Old Style" w:hAnsi="Bookman Old Style"/>
          <w:sz w:val="24"/>
          <w:szCs w:val="24"/>
        </w:rPr>
        <w:t xml:space="preserve">Por otro lado, se han tomado diversas medidas en materia de </w:t>
      </w:r>
      <w:r w:rsidR="006046BB">
        <w:rPr>
          <w:rFonts w:ascii="Bookman Old Style" w:hAnsi="Bookman Old Style"/>
          <w:sz w:val="24"/>
          <w:szCs w:val="24"/>
        </w:rPr>
        <w:t>compensación para los clientes</w:t>
      </w:r>
      <w:r w:rsidR="005E5ADF">
        <w:rPr>
          <w:rFonts w:ascii="Bookman Old Style" w:hAnsi="Bookman Old Style"/>
          <w:sz w:val="24"/>
          <w:szCs w:val="24"/>
        </w:rPr>
        <w:t xml:space="preserve"> </w:t>
      </w:r>
      <w:r w:rsidR="006046BB">
        <w:rPr>
          <w:rFonts w:ascii="Bookman Old Style" w:hAnsi="Bookman Old Style"/>
          <w:sz w:val="24"/>
          <w:szCs w:val="24"/>
        </w:rPr>
        <w:t xml:space="preserve">orientada a resguardas los derechos de los usuarios frente a interrupciones del suministro eléctrico. </w:t>
      </w:r>
    </w:p>
    <w:p w14:paraId="7C473844" w14:textId="2D138DAB" w:rsidR="00530564" w:rsidRDefault="00530564" w:rsidP="00C56948">
      <w:pPr>
        <w:spacing w:line="360" w:lineRule="auto"/>
        <w:jc w:val="both"/>
        <w:rPr>
          <w:rFonts w:ascii="Bookman Old Style" w:hAnsi="Bookman Old Style"/>
          <w:sz w:val="24"/>
          <w:szCs w:val="24"/>
        </w:rPr>
      </w:pPr>
      <w:r>
        <w:rPr>
          <w:rFonts w:ascii="Bookman Old Style" w:hAnsi="Bookman Old Style"/>
          <w:sz w:val="24"/>
          <w:szCs w:val="24"/>
        </w:rPr>
        <w:t xml:space="preserve">La ley N°18.410, que Crea la Superintendencia de Electricidad y Combustibles, </w:t>
      </w:r>
      <w:r w:rsidR="002901AC">
        <w:rPr>
          <w:rFonts w:ascii="Bookman Old Style" w:hAnsi="Bookman Old Style"/>
          <w:sz w:val="24"/>
          <w:szCs w:val="24"/>
        </w:rPr>
        <w:t xml:space="preserve">establece </w:t>
      </w:r>
      <w:r w:rsidR="00097378">
        <w:rPr>
          <w:rFonts w:ascii="Bookman Old Style" w:hAnsi="Bookman Old Style"/>
          <w:sz w:val="24"/>
          <w:szCs w:val="24"/>
        </w:rPr>
        <w:t xml:space="preserve">como una de </w:t>
      </w:r>
      <w:r w:rsidR="00D713E9">
        <w:rPr>
          <w:rFonts w:ascii="Bookman Old Style" w:hAnsi="Bookman Old Style"/>
          <w:sz w:val="24"/>
          <w:szCs w:val="24"/>
        </w:rPr>
        <w:t xml:space="preserve">las </w:t>
      </w:r>
      <w:r w:rsidR="00097378">
        <w:rPr>
          <w:rFonts w:ascii="Bookman Old Style" w:hAnsi="Bookman Old Style"/>
          <w:sz w:val="24"/>
          <w:szCs w:val="24"/>
        </w:rPr>
        <w:t xml:space="preserve">funciones </w:t>
      </w:r>
      <w:r w:rsidR="00D713E9">
        <w:rPr>
          <w:rFonts w:ascii="Bookman Old Style" w:hAnsi="Bookman Old Style"/>
          <w:sz w:val="24"/>
          <w:szCs w:val="24"/>
        </w:rPr>
        <w:t>de la entidad l</w:t>
      </w:r>
      <w:r w:rsidR="00097378">
        <w:rPr>
          <w:rFonts w:ascii="Bookman Old Style" w:hAnsi="Bookman Old Style"/>
          <w:sz w:val="24"/>
          <w:szCs w:val="24"/>
        </w:rPr>
        <w:t xml:space="preserve">a </w:t>
      </w:r>
      <w:r w:rsidR="00D713E9">
        <w:rPr>
          <w:rFonts w:ascii="Bookman Old Style" w:hAnsi="Bookman Old Style"/>
          <w:sz w:val="24"/>
          <w:szCs w:val="24"/>
        </w:rPr>
        <w:t>vigilancia en la adecuada operación de los servicios, para lo que cuenta con atribuciones para fiscalizar a las empresas, supervisar la calidad del servicio, y atender y resolver reclamos de los usuarios.</w:t>
      </w:r>
    </w:p>
    <w:p w14:paraId="22922D21" w14:textId="07F92684" w:rsidR="00C56948" w:rsidRDefault="00C56948" w:rsidP="00C56948">
      <w:pPr>
        <w:spacing w:line="360" w:lineRule="auto"/>
        <w:jc w:val="both"/>
        <w:rPr>
          <w:rFonts w:ascii="Bookman Old Style" w:hAnsi="Bookman Old Style"/>
          <w:sz w:val="24"/>
          <w:szCs w:val="24"/>
        </w:rPr>
      </w:pPr>
      <w:r>
        <w:rPr>
          <w:rFonts w:ascii="Bookman Old Style" w:hAnsi="Bookman Old Style"/>
          <w:sz w:val="24"/>
          <w:szCs w:val="24"/>
        </w:rPr>
        <w:t>Otra potestad, distinta a su función fiscalizadora, es aquella que permite a la Superintendencia aplicar multas, clausuras y revocaciones en caso de existir una infracción a las normas legales, reglamentarias o técnicas.</w:t>
      </w:r>
      <w:r w:rsidR="00530564">
        <w:rPr>
          <w:rFonts w:ascii="Bookman Old Style" w:hAnsi="Bookman Old Style"/>
          <w:sz w:val="24"/>
          <w:szCs w:val="24"/>
        </w:rPr>
        <w:t xml:space="preserve"> </w:t>
      </w:r>
    </w:p>
    <w:p w14:paraId="0F75EBB8" w14:textId="316AA2A4" w:rsidR="003C0247" w:rsidRDefault="003C0247" w:rsidP="00AA04E8">
      <w:pPr>
        <w:spacing w:line="360" w:lineRule="auto"/>
        <w:jc w:val="both"/>
        <w:rPr>
          <w:rFonts w:ascii="Bookman Old Style" w:hAnsi="Bookman Old Style"/>
          <w:sz w:val="24"/>
          <w:szCs w:val="24"/>
        </w:rPr>
      </w:pPr>
      <w:r>
        <w:rPr>
          <w:rFonts w:ascii="Bookman Old Style" w:hAnsi="Bookman Old Style"/>
          <w:sz w:val="24"/>
          <w:szCs w:val="24"/>
        </w:rPr>
        <w:t xml:space="preserve">La prestación de todo servicio público tiene ciertos principios fundamentales: </w:t>
      </w:r>
      <w:r w:rsidR="00C56948">
        <w:rPr>
          <w:rFonts w:ascii="Bookman Old Style" w:hAnsi="Bookman Old Style"/>
          <w:sz w:val="24"/>
          <w:szCs w:val="24"/>
        </w:rPr>
        <w:t xml:space="preserve">la continuidad, pues esta contribuye a la puntualidad y regularidad; </w:t>
      </w:r>
      <w:r w:rsidR="005E5ADF">
        <w:rPr>
          <w:rFonts w:ascii="Bookman Old Style" w:hAnsi="Bookman Old Style"/>
          <w:sz w:val="24"/>
          <w:szCs w:val="24"/>
        </w:rPr>
        <w:t>la regularidad</w:t>
      </w:r>
      <w:r w:rsidR="00C56948">
        <w:rPr>
          <w:rFonts w:ascii="Bookman Old Style" w:hAnsi="Bookman Old Style"/>
          <w:sz w:val="24"/>
          <w:szCs w:val="24"/>
        </w:rPr>
        <w:t xml:space="preserve">, conforme a la normativa vigente; y la igualdad, que implica que todos los posibles usuarios tienen derecho a exigir y recibir las prestaciones que otorgue en igualdad de condiciones. </w:t>
      </w:r>
    </w:p>
    <w:p w14:paraId="10C9C168" w14:textId="5D50F954" w:rsidR="006E2536" w:rsidRDefault="006E2536" w:rsidP="00AA04E8">
      <w:pPr>
        <w:spacing w:line="360" w:lineRule="auto"/>
        <w:jc w:val="both"/>
        <w:rPr>
          <w:rFonts w:ascii="Bookman Old Style" w:hAnsi="Bookman Old Style"/>
          <w:sz w:val="24"/>
          <w:szCs w:val="24"/>
        </w:rPr>
      </w:pPr>
      <w:r>
        <w:rPr>
          <w:rFonts w:ascii="Bookman Old Style" w:hAnsi="Bookman Old Style"/>
          <w:sz w:val="24"/>
          <w:szCs w:val="24"/>
        </w:rPr>
        <w:t xml:space="preserve">Por otro lado, el suministro de electricidad es entendido como un servicio de utilidad pública esencial para la población y, por tanto, está legalmente sujeto a exigencias especiales para su prestación. Entre ellas, una de las principales </w:t>
      </w:r>
      <w:r w:rsidR="002B733B">
        <w:rPr>
          <w:rFonts w:ascii="Bookman Old Style" w:hAnsi="Bookman Old Style"/>
          <w:sz w:val="24"/>
          <w:szCs w:val="24"/>
        </w:rPr>
        <w:t xml:space="preserve">exigencias es la continuidad del servicio, y la ley impone a todos los concesionarios el deber de mantener las instalaciones en buen estado, y </w:t>
      </w:r>
      <w:r w:rsidR="002B733B">
        <w:rPr>
          <w:rFonts w:ascii="Bookman Old Style" w:hAnsi="Bookman Old Style"/>
          <w:sz w:val="24"/>
          <w:szCs w:val="24"/>
        </w:rPr>
        <w:lastRenderedPageBreak/>
        <w:t xml:space="preserve">de ajustar el servicio que proporcionan a los estándares de calidad correspondientes. </w:t>
      </w:r>
    </w:p>
    <w:p w14:paraId="69003382" w14:textId="0EF400C7" w:rsidR="005E5ADF" w:rsidRDefault="005E5ADF" w:rsidP="00AA04E8">
      <w:pPr>
        <w:spacing w:line="360" w:lineRule="auto"/>
        <w:jc w:val="both"/>
        <w:rPr>
          <w:rFonts w:ascii="Bookman Old Style" w:hAnsi="Bookman Old Style"/>
          <w:sz w:val="24"/>
          <w:szCs w:val="24"/>
        </w:rPr>
      </w:pPr>
      <w:r>
        <w:rPr>
          <w:rFonts w:ascii="Bookman Old Style" w:hAnsi="Bookman Old Style"/>
          <w:sz w:val="24"/>
          <w:szCs w:val="24"/>
        </w:rPr>
        <w:t>En ese sentido, el artículo 16 B de la Ley N° 18.410 señala que, sin perjuicio de las sanciones que correspondan, la interrupción de suspensión del suministro de energía eléctrica no autorizada dará lugar a una compensación a los usuarios sujetos a regulación de precios. Esta compensación se efectúa descontando las cantidades correspondientes en la próxima facturación.</w:t>
      </w:r>
    </w:p>
    <w:p w14:paraId="53B1EE09" w14:textId="41CE8279" w:rsidR="005E5ADF" w:rsidRDefault="002B733B" w:rsidP="00AA04E8">
      <w:pPr>
        <w:spacing w:line="360" w:lineRule="auto"/>
        <w:jc w:val="both"/>
        <w:rPr>
          <w:rFonts w:ascii="Bookman Old Style" w:hAnsi="Bookman Old Style"/>
          <w:sz w:val="24"/>
          <w:szCs w:val="24"/>
        </w:rPr>
      </w:pPr>
      <w:r>
        <w:rPr>
          <w:rFonts w:ascii="Bookman Old Style" w:hAnsi="Bookman Old Style"/>
          <w:sz w:val="24"/>
          <w:szCs w:val="24"/>
        </w:rPr>
        <w:t>Así, la obligación de los concesionarios de prestar el servicio en continuidad constituye el derecho básico de los usuarios de servicios eléctricos de exigibilidad y disponibilidad de un bien indispensable para la vida cotidiana de los ciudadanos.</w:t>
      </w:r>
    </w:p>
    <w:p w14:paraId="2C9ED25D" w14:textId="77777777" w:rsidR="005E5ADF" w:rsidRDefault="005E5ADF" w:rsidP="00AA04E8">
      <w:pPr>
        <w:spacing w:line="360" w:lineRule="auto"/>
        <w:jc w:val="both"/>
        <w:rPr>
          <w:rFonts w:ascii="Bookman Old Style" w:hAnsi="Bookman Old Style"/>
          <w:sz w:val="24"/>
          <w:szCs w:val="24"/>
        </w:rPr>
      </w:pPr>
    </w:p>
    <w:p w14:paraId="2835A11F" w14:textId="02ACF33E" w:rsidR="004D5492" w:rsidRDefault="004D5492" w:rsidP="00B9277B">
      <w:pPr>
        <w:pStyle w:val="Prrafodelista"/>
        <w:numPr>
          <w:ilvl w:val="0"/>
          <w:numId w:val="1"/>
        </w:numPr>
        <w:spacing w:line="360" w:lineRule="auto"/>
        <w:jc w:val="both"/>
        <w:rPr>
          <w:rFonts w:ascii="Bookman Old Style" w:hAnsi="Bookman Old Style"/>
          <w:sz w:val="24"/>
          <w:szCs w:val="24"/>
        </w:rPr>
      </w:pPr>
      <w:r>
        <w:rPr>
          <w:rFonts w:ascii="Bookman Old Style" w:hAnsi="Bookman Old Style"/>
          <w:sz w:val="24"/>
          <w:szCs w:val="24"/>
        </w:rPr>
        <w:t>Fundamentos</w:t>
      </w:r>
    </w:p>
    <w:p w14:paraId="2944C183" w14:textId="583A1027" w:rsidR="00755BC3" w:rsidRDefault="00755BC3" w:rsidP="00755BC3">
      <w:pPr>
        <w:spacing w:line="360" w:lineRule="auto"/>
        <w:jc w:val="both"/>
        <w:rPr>
          <w:rFonts w:ascii="Bookman Old Style" w:hAnsi="Bookman Old Style"/>
          <w:sz w:val="24"/>
          <w:szCs w:val="24"/>
        </w:rPr>
      </w:pPr>
      <w:r>
        <w:rPr>
          <w:rFonts w:ascii="Bookman Old Style" w:hAnsi="Bookman Old Style"/>
          <w:sz w:val="24"/>
          <w:szCs w:val="24"/>
        </w:rPr>
        <w:t>A raíz de un reportaje publicado por el medio de investigación periodística independiente CIPER</w:t>
      </w:r>
      <w:r w:rsidR="002F6392">
        <w:rPr>
          <w:rStyle w:val="Refdenotaalpie"/>
          <w:rFonts w:ascii="Bookman Old Style" w:hAnsi="Bookman Old Style"/>
          <w:sz w:val="24"/>
          <w:szCs w:val="24"/>
        </w:rPr>
        <w:footnoteReference w:id="1"/>
      </w:r>
      <w:r w:rsidR="002F6392">
        <w:rPr>
          <w:rFonts w:ascii="Bookman Old Style" w:hAnsi="Bookman Old Style"/>
          <w:sz w:val="24"/>
          <w:szCs w:val="24"/>
        </w:rPr>
        <w:t xml:space="preserve"> </w:t>
      </w:r>
      <w:r>
        <w:rPr>
          <w:rFonts w:ascii="Bookman Old Style" w:hAnsi="Bookman Old Style"/>
          <w:sz w:val="24"/>
          <w:szCs w:val="24"/>
        </w:rPr>
        <w:t xml:space="preserve">se dio a conocer </w:t>
      </w:r>
      <w:r w:rsidR="008B5D38">
        <w:rPr>
          <w:rFonts w:ascii="Bookman Old Style" w:hAnsi="Bookman Old Style"/>
          <w:sz w:val="24"/>
          <w:szCs w:val="24"/>
        </w:rPr>
        <w:t>que,</w:t>
      </w:r>
      <w:r>
        <w:rPr>
          <w:rFonts w:ascii="Bookman Old Style" w:hAnsi="Bookman Old Style"/>
          <w:sz w:val="24"/>
          <w:szCs w:val="24"/>
        </w:rPr>
        <w:t xml:space="preserve"> desde junio 2024, la gran mayoría de las empresas distribuidoras de energía eléctrica </w:t>
      </w:r>
      <w:r w:rsidR="002F6392">
        <w:rPr>
          <w:rFonts w:ascii="Bookman Old Style" w:hAnsi="Bookman Old Style"/>
          <w:sz w:val="24"/>
          <w:szCs w:val="24"/>
        </w:rPr>
        <w:t xml:space="preserve">habrían estado incluyendo en las cuentas mensuales de sus clientes dos cargos </w:t>
      </w:r>
      <w:r w:rsidR="00D713E9">
        <w:rPr>
          <w:rFonts w:ascii="Bookman Old Style" w:hAnsi="Bookman Old Style"/>
          <w:sz w:val="24"/>
          <w:szCs w:val="24"/>
        </w:rPr>
        <w:t xml:space="preserve">adicionales, </w:t>
      </w:r>
      <w:r w:rsidR="002F6392">
        <w:rPr>
          <w:rFonts w:ascii="Bookman Old Style" w:hAnsi="Bookman Old Style"/>
          <w:sz w:val="24"/>
          <w:szCs w:val="24"/>
        </w:rPr>
        <w:t xml:space="preserve">que suman el 0,52% del total </w:t>
      </w:r>
      <w:r w:rsidR="00D713E9">
        <w:rPr>
          <w:rFonts w:ascii="Bookman Old Style" w:hAnsi="Bookman Old Style"/>
          <w:sz w:val="24"/>
          <w:szCs w:val="24"/>
        </w:rPr>
        <w:t>de la cuenta mensual.</w:t>
      </w:r>
      <w:r w:rsidR="002F6392">
        <w:rPr>
          <w:rFonts w:ascii="Bookman Old Style" w:hAnsi="Bookman Old Style"/>
          <w:sz w:val="24"/>
          <w:szCs w:val="24"/>
        </w:rPr>
        <w:t xml:space="preserve"> </w:t>
      </w:r>
      <w:r w:rsidR="00D713E9">
        <w:rPr>
          <w:rFonts w:ascii="Bookman Old Style" w:hAnsi="Bookman Old Style"/>
          <w:sz w:val="24"/>
          <w:szCs w:val="24"/>
        </w:rPr>
        <w:t>Según informó la propia CNE, e</w:t>
      </w:r>
      <w:r w:rsidR="002F6392">
        <w:rPr>
          <w:rFonts w:ascii="Bookman Old Style" w:hAnsi="Bookman Old Style"/>
          <w:sz w:val="24"/>
          <w:szCs w:val="24"/>
        </w:rPr>
        <w:t xml:space="preserve">ste dinero estaría destinándose a las </w:t>
      </w:r>
      <w:r w:rsidR="00D713E9">
        <w:rPr>
          <w:rFonts w:ascii="Bookman Old Style" w:hAnsi="Bookman Old Style"/>
          <w:sz w:val="24"/>
          <w:szCs w:val="24"/>
        </w:rPr>
        <w:t>mismas</w:t>
      </w:r>
      <w:r w:rsidR="002F6392">
        <w:rPr>
          <w:rFonts w:ascii="Bookman Old Style" w:hAnsi="Bookman Old Style"/>
          <w:sz w:val="24"/>
          <w:szCs w:val="24"/>
        </w:rPr>
        <w:t xml:space="preserve"> indemnizaciones que las </w:t>
      </w:r>
      <w:r w:rsidR="00D713E9">
        <w:rPr>
          <w:rFonts w:ascii="Bookman Old Style" w:hAnsi="Bookman Old Style"/>
          <w:sz w:val="24"/>
          <w:szCs w:val="24"/>
        </w:rPr>
        <w:t>empresas</w:t>
      </w:r>
      <w:r w:rsidR="002F6392">
        <w:rPr>
          <w:rFonts w:ascii="Bookman Old Style" w:hAnsi="Bookman Old Style"/>
          <w:sz w:val="24"/>
          <w:szCs w:val="24"/>
        </w:rPr>
        <w:t xml:space="preserve"> deben entregar a los usuarios cuando han sufrido una interrupción del servicio, conforme lo establecido en el artículo 16 B de la Ley N° 18.410</w:t>
      </w:r>
      <w:r w:rsidR="00D713E9">
        <w:rPr>
          <w:rFonts w:ascii="Bookman Old Style" w:hAnsi="Bookman Old Style"/>
          <w:sz w:val="24"/>
          <w:szCs w:val="24"/>
        </w:rPr>
        <w:t>.</w:t>
      </w:r>
    </w:p>
    <w:p w14:paraId="54C851C7" w14:textId="0842F6A0" w:rsidR="002F6392" w:rsidRDefault="0086645B" w:rsidP="00755BC3">
      <w:pPr>
        <w:spacing w:line="360" w:lineRule="auto"/>
        <w:jc w:val="both"/>
        <w:rPr>
          <w:rFonts w:ascii="Bookman Old Style" w:hAnsi="Bookman Old Style"/>
          <w:sz w:val="24"/>
          <w:szCs w:val="24"/>
        </w:rPr>
      </w:pPr>
      <w:r>
        <w:rPr>
          <w:rFonts w:ascii="Bookman Old Style" w:hAnsi="Bookman Old Style"/>
          <w:sz w:val="24"/>
          <w:szCs w:val="24"/>
        </w:rPr>
        <w:lastRenderedPageBreak/>
        <w:t>Esta situación se da en el marco del reajuste del Valor Agregado de Distribución (VAD), costo que mensualmente deben pagar los clientes por el uso y mantención de las redes de distribución eléctrica. La Comisión Nacional de Energía confirmó que, desde marzo de 2025, la nueva tarifa por el servicio de distribución incluye el financiamiento de las futuras compensaciones, que correspondería</w:t>
      </w:r>
      <w:r w:rsidR="005E5ADF">
        <w:rPr>
          <w:rFonts w:ascii="Bookman Old Style" w:hAnsi="Bookman Old Style"/>
          <w:sz w:val="24"/>
          <w:szCs w:val="24"/>
        </w:rPr>
        <w:t>, en su totalidad, a un 0,51% de la cuenta tipo.</w:t>
      </w:r>
      <w:r>
        <w:rPr>
          <w:rFonts w:ascii="Bookman Old Style" w:hAnsi="Bookman Old Style"/>
          <w:sz w:val="24"/>
          <w:szCs w:val="24"/>
        </w:rPr>
        <w:t xml:space="preserve"> </w:t>
      </w:r>
      <w:r w:rsidR="00FB59BC">
        <w:rPr>
          <w:rFonts w:ascii="Bookman Old Style" w:hAnsi="Bookman Old Style"/>
          <w:sz w:val="24"/>
          <w:szCs w:val="24"/>
        </w:rPr>
        <w:t xml:space="preserve"> </w:t>
      </w:r>
    </w:p>
    <w:p w14:paraId="48F057F8" w14:textId="73508F25" w:rsidR="00922EA0" w:rsidRDefault="00FB59BC" w:rsidP="00755BC3">
      <w:pPr>
        <w:spacing w:line="360" w:lineRule="auto"/>
        <w:jc w:val="both"/>
        <w:rPr>
          <w:rFonts w:ascii="Bookman Old Style" w:hAnsi="Bookman Old Style"/>
          <w:sz w:val="24"/>
          <w:szCs w:val="24"/>
        </w:rPr>
      </w:pPr>
      <w:r>
        <w:rPr>
          <w:rFonts w:ascii="Bookman Old Style" w:hAnsi="Bookman Old Style"/>
          <w:sz w:val="24"/>
          <w:szCs w:val="24"/>
        </w:rPr>
        <w:t xml:space="preserve">Si bien este efecto es marginal en las cuentas de los clientes, resulta sumamente escandaloso </w:t>
      </w:r>
      <w:r w:rsidR="00D713E9">
        <w:rPr>
          <w:rFonts w:ascii="Bookman Old Style" w:hAnsi="Bookman Old Style"/>
          <w:sz w:val="24"/>
          <w:szCs w:val="24"/>
        </w:rPr>
        <w:t>que, mes a mes, sean los propios usuarios quienes han estado financiando una medida que se suponía debía servir como una compensación</w:t>
      </w:r>
      <w:r w:rsidR="00922EA0">
        <w:rPr>
          <w:rFonts w:ascii="Bookman Old Style" w:hAnsi="Bookman Old Style"/>
          <w:sz w:val="24"/>
          <w:szCs w:val="24"/>
        </w:rPr>
        <w:t>—mediante un descuento en la siguiente facturación—tras un corte de electricidad</w:t>
      </w:r>
      <w:r w:rsidR="005E5ADF">
        <w:rPr>
          <w:rFonts w:ascii="Bookman Old Style" w:hAnsi="Bookman Old Style"/>
          <w:sz w:val="24"/>
          <w:szCs w:val="24"/>
        </w:rPr>
        <w:t>.</w:t>
      </w:r>
    </w:p>
    <w:p w14:paraId="24DEDE33" w14:textId="70F46B7F" w:rsidR="00FB59BC" w:rsidRDefault="00FB59BC" w:rsidP="00755BC3">
      <w:pPr>
        <w:spacing w:line="360" w:lineRule="auto"/>
        <w:jc w:val="both"/>
        <w:rPr>
          <w:rFonts w:ascii="Bookman Old Style" w:hAnsi="Bookman Old Style"/>
          <w:sz w:val="24"/>
          <w:szCs w:val="24"/>
        </w:rPr>
      </w:pPr>
      <w:r>
        <w:rPr>
          <w:rFonts w:ascii="Bookman Old Style" w:hAnsi="Bookman Old Style"/>
          <w:sz w:val="24"/>
          <w:szCs w:val="24"/>
        </w:rPr>
        <w:t xml:space="preserve">Cabe destacar, además, que, al ser parte del cobro correspondiente al Valor Agregado de Distribución, este monto no se encuentra debidamente detallado en la facturación, lo que constituye una grave falta a la transparencia. </w:t>
      </w:r>
    </w:p>
    <w:p w14:paraId="3D0078F4" w14:textId="537B6522" w:rsidR="00FB59BC" w:rsidRDefault="00922EA0" w:rsidP="00755BC3">
      <w:pPr>
        <w:spacing w:line="360" w:lineRule="auto"/>
        <w:jc w:val="both"/>
        <w:rPr>
          <w:rFonts w:ascii="Bookman Old Style" w:hAnsi="Bookman Old Style"/>
          <w:sz w:val="24"/>
          <w:szCs w:val="24"/>
        </w:rPr>
      </w:pPr>
      <w:r>
        <w:rPr>
          <w:rFonts w:ascii="Bookman Old Style" w:hAnsi="Bookman Old Style"/>
          <w:sz w:val="24"/>
          <w:szCs w:val="24"/>
        </w:rPr>
        <w:t>Este</w:t>
      </w:r>
      <w:r w:rsidR="00D713E9">
        <w:rPr>
          <w:rFonts w:ascii="Bookman Old Style" w:hAnsi="Bookman Old Style"/>
          <w:sz w:val="24"/>
          <w:szCs w:val="24"/>
        </w:rPr>
        <w:t xml:space="preserve"> traspaso del costo desde las empresas a los usuarios ocurrió tras el prolongado retraso en la definición de la tarifa VAD para el periodo 2020-2024, provocado por numerosos desacuerdos entre la CNE y las compañías de electricidad respecto al monto de las tarifas y los criterios de inversión. </w:t>
      </w:r>
    </w:p>
    <w:p w14:paraId="1D82033F" w14:textId="7804C810" w:rsidR="00922EA0" w:rsidRDefault="00922EA0" w:rsidP="00755BC3">
      <w:pPr>
        <w:spacing w:line="360" w:lineRule="auto"/>
        <w:jc w:val="both"/>
        <w:rPr>
          <w:rFonts w:ascii="Bookman Old Style" w:hAnsi="Bookman Old Style"/>
          <w:sz w:val="24"/>
          <w:szCs w:val="24"/>
        </w:rPr>
      </w:pPr>
      <w:r>
        <w:rPr>
          <w:rFonts w:ascii="Bookman Old Style" w:hAnsi="Bookman Old Style"/>
          <w:sz w:val="24"/>
          <w:szCs w:val="24"/>
        </w:rPr>
        <w:t xml:space="preserve">Así, el mecanismo de compensación fue acordado en 2023 y </w:t>
      </w:r>
      <w:r w:rsidR="005E5ADF">
        <w:rPr>
          <w:rFonts w:ascii="Bookman Old Style" w:hAnsi="Bookman Old Style"/>
          <w:sz w:val="24"/>
          <w:szCs w:val="24"/>
        </w:rPr>
        <w:t xml:space="preserve">actualmente </w:t>
      </w:r>
      <w:r>
        <w:rPr>
          <w:rFonts w:ascii="Bookman Old Style" w:hAnsi="Bookman Old Style"/>
          <w:sz w:val="24"/>
          <w:szCs w:val="24"/>
        </w:rPr>
        <w:t>se ejecuta en 9 de las 12 Áreas Típicas de Distribución (ATD) a nivel nacional. Con ello, según datos de la CNE, casi siete millones de clientes residenciales pagan mes a mes la tarifa de distribución eléctrica.</w:t>
      </w:r>
    </w:p>
    <w:p w14:paraId="2CE55C99" w14:textId="5E753DEC" w:rsidR="00922EA0" w:rsidRDefault="005E5ADF" w:rsidP="00755BC3">
      <w:pPr>
        <w:spacing w:line="360" w:lineRule="auto"/>
        <w:jc w:val="both"/>
        <w:rPr>
          <w:rFonts w:ascii="Bookman Old Style" w:hAnsi="Bookman Old Style"/>
          <w:sz w:val="24"/>
          <w:szCs w:val="24"/>
        </w:rPr>
      </w:pPr>
      <w:r>
        <w:rPr>
          <w:rFonts w:ascii="Bookman Old Style" w:hAnsi="Bookman Old Style"/>
          <w:sz w:val="24"/>
          <w:szCs w:val="24"/>
        </w:rPr>
        <w:t>Debido a esto,</w:t>
      </w:r>
      <w:r w:rsidR="00922EA0">
        <w:rPr>
          <w:rFonts w:ascii="Bookman Old Style" w:hAnsi="Bookman Old Style"/>
          <w:sz w:val="24"/>
          <w:szCs w:val="24"/>
        </w:rPr>
        <w:t xml:space="preserve"> se vuelve fundamental establecer medidas que prohíban expresamente que este cobro se aplique a las cuentas de los clientes regulados, lo que en definitiva estaría yendo en contra del objeto de la ley.</w:t>
      </w:r>
    </w:p>
    <w:p w14:paraId="4D12C3EA" w14:textId="3A4A6255" w:rsidR="00922EA0" w:rsidRPr="00755BC3" w:rsidRDefault="00F77726" w:rsidP="00755BC3">
      <w:pPr>
        <w:spacing w:line="360" w:lineRule="auto"/>
        <w:jc w:val="both"/>
        <w:rPr>
          <w:rFonts w:ascii="Bookman Old Style" w:hAnsi="Bookman Old Style"/>
          <w:sz w:val="24"/>
          <w:szCs w:val="24"/>
        </w:rPr>
      </w:pPr>
      <w:r>
        <w:rPr>
          <w:rFonts w:ascii="Bookman Old Style" w:hAnsi="Bookman Old Style"/>
          <w:sz w:val="24"/>
          <w:szCs w:val="24"/>
        </w:rPr>
        <w:lastRenderedPageBreak/>
        <w:t>Por otra parte, el establecimiento de plazos claros para que el Panel de Expertos emita su dictamen en caso de discrepancias entre la CNE y las empresas distribuidoras contribuirá a evitar que estas últimas ejerzan presión para que se incorporen en el VAD cobros adicionales a los clientes destinados a financiar futuras indemnizaciones. Al fijar un límite para la resolución de controversias, se impide que la indefinición beneficie a las empresas en desmedro de los usuarios. Asimismo, resulta fundamental que la ley disponga expresamente que, en caso de no alcanzarse un acuerdo dentro del plazo establecido, se mantendrá vigente la tasa aplicada en el período anterior.</w:t>
      </w:r>
    </w:p>
    <w:p w14:paraId="4A99D210" w14:textId="4D455480" w:rsidR="004D5492" w:rsidRDefault="004D5492" w:rsidP="00B9277B">
      <w:pPr>
        <w:pStyle w:val="Prrafodelista"/>
        <w:numPr>
          <w:ilvl w:val="0"/>
          <w:numId w:val="1"/>
        </w:numPr>
        <w:spacing w:line="360" w:lineRule="auto"/>
        <w:jc w:val="both"/>
        <w:rPr>
          <w:rFonts w:ascii="Bookman Old Style" w:hAnsi="Bookman Old Style"/>
          <w:sz w:val="24"/>
          <w:szCs w:val="24"/>
        </w:rPr>
      </w:pPr>
      <w:r>
        <w:rPr>
          <w:rFonts w:ascii="Bookman Old Style" w:hAnsi="Bookman Old Style"/>
          <w:sz w:val="24"/>
          <w:szCs w:val="24"/>
        </w:rPr>
        <w:t>Idea matriz</w:t>
      </w:r>
    </w:p>
    <w:p w14:paraId="1C0B917A" w14:textId="63AA0244" w:rsidR="002A0144" w:rsidRDefault="00C571EB" w:rsidP="00B9277B">
      <w:pPr>
        <w:spacing w:line="360" w:lineRule="auto"/>
        <w:jc w:val="both"/>
        <w:rPr>
          <w:rFonts w:ascii="Bookman Old Style" w:hAnsi="Bookman Old Style"/>
          <w:sz w:val="24"/>
          <w:szCs w:val="24"/>
        </w:rPr>
      </w:pPr>
      <w:r>
        <w:rPr>
          <w:rFonts w:ascii="Bookman Old Style" w:hAnsi="Bookman Old Style"/>
          <w:sz w:val="24"/>
          <w:szCs w:val="24"/>
        </w:rPr>
        <w:t xml:space="preserve">El presente proyecto de ley tiene como objeto </w:t>
      </w:r>
      <w:r w:rsidR="002A0144">
        <w:rPr>
          <w:rFonts w:ascii="Bookman Old Style" w:hAnsi="Bookman Old Style"/>
          <w:sz w:val="24"/>
          <w:szCs w:val="24"/>
        </w:rPr>
        <w:t>establecer medidas que prohíban que el costo asociado a las compensaciones a los clientes, derivadas de interrupciones del suministro eléctrico, sea financiado total o parcialmente mediante cargos aplicados a los propios usuarios.</w:t>
      </w:r>
    </w:p>
    <w:p w14:paraId="3CB05F2B" w14:textId="22D11EA4" w:rsidR="004D5492" w:rsidRDefault="004D5492" w:rsidP="00B9277B">
      <w:pPr>
        <w:spacing w:line="360" w:lineRule="auto"/>
        <w:jc w:val="both"/>
        <w:rPr>
          <w:rFonts w:ascii="Bookman Old Style" w:hAnsi="Bookman Old Style"/>
          <w:sz w:val="24"/>
          <w:szCs w:val="24"/>
        </w:rPr>
      </w:pPr>
      <w:r>
        <w:rPr>
          <w:rFonts w:ascii="Bookman Old Style" w:hAnsi="Bookman Old Style"/>
          <w:sz w:val="24"/>
          <w:szCs w:val="24"/>
        </w:rPr>
        <w:t>En virtud de lo expuesto precedentemente, se pone a disposición el siguiente</w:t>
      </w:r>
    </w:p>
    <w:p w14:paraId="04259DAF" w14:textId="77777777" w:rsidR="005D4EBF" w:rsidRDefault="005D4EBF" w:rsidP="00B9277B">
      <w:pPr>
        <w:spacing w:line="360" w:lineRule="auto"/>
        <w:jc w:val="both"/>
        <w:rPr>
          <w:rFonts w:ascii="Bookman Old Style" w:hAnsi="Bookman Old Style"/>
          <w:sz w:val="24"/>
          <w:szCs w:val="24"/>
        </w:rPr>
      </w:pPr>
    </w:p>
    <w:p w14:paraId="15686295" w14:textId="303374D4" w:rsidR="004D5492" w:rsidRPr="00B9277B" w:rsidRDefault="004D5492" w:rsidP="00B9277B">
      <w:pPr>
        <w:spacing w:line="360" w:lineRule="auto"/>
        <w:jc w:val="center"/>
        <w:rPr>
          <w:rFonts w:ascii="Bookman Old Style" w:hAnsi="Bookman Old Style"/>
          <w:b/>
          <w:bCs/>
          <w:sz w:val="24"/>
          <w:szCs w:val="24"/>
        </w:rPr>
      </w:pPr>
      <w:r w:rsidRPr="00B9277B">
        <w:rPr>
          <w:rFonts w:ascii="Bookman Old Style" w:hAnsi="Bookman Old Style"/>
          <w:b/>
          <w:bCs/>
          <w:sz w:val="24"/>
          <w:szCs w:val="24"/>
        </w:rPr>
        <w:t>Proyecto de Ley</w:t>
      </w:r>
    </w:p>
    <w:p w14:paraId="0A0AB34D" w14:textId="59B60192" w:rsidR="008821DD" w:rsidRDefault="00B9277B" w:rsidP="00B9277B">
      <w:pPr>
        <w:spacing w:line="360" w:lineRule="auto"/>
        <w:jc w:val="both"/>
        <w:rPr>
          <w:rFonts w:ascii="Bookman Old Style" w:hAnsi="Bookman Old Style"/>
          <w:sz w:val="24"/>
          <w:szCs w:val="24"/>
        </w:rPr>
      </w:pPr>
      <w:r w:rsidRPr="00E01BD0">
        <w:rPr>
          <w:rFonts w:ascii="Bookman Old Style" w:hAnsi="Bookman Old Style"/>
          <w:b/>
          <w:bCs/>
          <w:sz w:val="24"/>
          <w:szCs w:val="24"/>
        </w:rPr>
        <w:t>Artículo primero .-</w:t>
      </w:r>
      <w:r>
        <w:rPr>
          <w:rFonts w:ascii="Bookman Old Style" w:hAnsi="Bookman Old Style"/>
          <w:sz w:val="24"/>
          <w:szCs w:val="24"/>
        </w:rPr>
        <w:t xml:space="preserve"> </w:t>
      </w:r>
      <w:r w:rsidR="008821DD">
        <w:rPr>
          <w:rFonts w:ascii="Bookman Old Style" w:hAnsi="Bookman Old Style"/>
          <w:sz w:val="24"/>
          <w:szCs w:val="24"/>
        </w:rPr>
        <w:t>Modifíquese la ley N°18.410, que Crea la Superintendencia de Electricidad y Combustibles, en el siguiente sentido</w:t>
      </w:r>
    </w:p>
    <w:p w14:paraId="2E9B46ED" w14:textId="6BE94A84" w:rsidR="008821DD" w:rsidRDefault="008821DD" w:rsidP="008821DD">
      <w:pPr>
        <w:pStyle w:val="Prrafodelista"/>
        <w:numPr>
          <w:ilvl w:val="0"/>
          <w:numId w:val="2"/>
        </w:numPr>
        <w:spacing w:line="360" w:lineRule="auto"/>
        <w:jc w:val="both"/>
        <w:rPr>
          <w:rFonts w:ascii="Bookman Old Style" w:hAnsi="Bookman Old Style"/>
          <w:sz w:val="24"/>
          <w:szCs w:val="24"/>
        </w:rPr>
      </w:pPr>
      <w:r>
        <w:rPr>
          <w:rFonts w:ascii="Bookman Old Style" w:hAnsi="Bookman Old Style"/>
          <w:sz w:val="24"/>
          <w:szCs w:val="24"/>
        </w:rPr>
        <w:t>Para agregar un nuevo inciso cuarto en el artículo 16 B del siguiente tenor:</w:t>
      </w:r>
    </w:p>
    <w:p w14:paraId="10783845" w14:textId="77777777" w:rsidR="00B9277B" w:rsidRDefault="00B9277B" w:rsidP="00B9277B">
      <w:pPr>
        <w:spacing w:line="360" w:lineRule="auto"/>
        <w:jc w:val="both"/>
        <w:rPr>
          <w:rFonts w:ascii="Bookman Old Style" w:hAnsi="Bookman Old Style"/>
          <w:sz w:val="24"/>
          <w:szCs w:val="24"/>
        </w:rPr>
      </w:pPr>
      <w:r w:rsidRPr="00B9277B">
        <w:rPr>
          <w:rFonts w:ascii="Bookman Old Style" w:hAnsi="Bookman Old Style"/>
          <w:sz w:val="24"/>
          <w:szCs w:val="24"/>
        </w:rPr>
        <w:t xml:space="preserve">“Con todo, el concesionario no podrá incluir, trasladar, repercutir o cobrar bajo cualquier denominación, directa o indirectamente, el monto de las compensaciones a las que se refiere este artículo en las boletas o facturas de los usuarios regulados. Cualquier cobro, recargo o ajuste que </w:t>
      </w:r>
      <w:r w:rsidRPr="00B9277B">
        <w:rPr>
          <w:rFonts w:ascii="Bookman Old Style" w:hAnsi="Bookman Old Style"/>
          <w:sz w:val="24"/>
          <w:szCs w:val="24"/>
        </w:rPr>
        <w:lastRenderedPageBreak/>
        <w:t xml:space="preserve">contravenga esta prohibición dará a lugar a las sanciones administrativas que correspondan, sin perjuicio de las acciones de devolución que tengan lugar". </w:t>
      </w:r>
    </w:p>
    <w:p w14:paraId="47E5B1CB" w14:textId="6BFB8132" w:rsidR="008821DD" w:rsidRDefault="00AA04E8" w:rsidP="006B1DCD">
      <w:pPr>
        <w:spacing w:line="360" w:lineRule="auto"/>
        <w:jc w:val="both"/>
        <w:rPr>
          <w:rFonts w:ascii="Bookman Old Style" w:hAnsi="Bookman Old Style"/>
          <w:sz w:val="24"/>
          <w:szCs w:val="24"/>
        </w:rPr>
      </w:pPr>
      <w:r w:rsidRPr="00E01BD0">
        <w:rPr>
          <w:rFonts w:ascii="Bookman Old Style" w:hAnsi="Bookman Old Style"/>
          <w:b/>
          <w:bCs/>
          <w:sz w:val="24"/>
          <w:szCs w:val="24"/>
        </w:rPr>
        <w:t>Artículo segundo .-</w:t>
      </w:r>
      <w:r w:rsidR="006B1DCD" w:rsidRPr="00E01BD0">
        <w:rPr>
          <w:rFonts w:ascii="Bookman Old Style" w:hAnsi="Bookman Old Style"/>
          <w:b/>
          <w:bCs/>
          <w:sz w:val="24"/>
          <w:szCs w:val="24"/>
        </w:rPr>
        <w:t xml:space="preserve"> </w:t>
      </w:r>
      <w:r w:rsidR="008821DD">
        <w:rPr>
          <w:rFonts w:ascii="Bookman Old Style" w:hAnsi="Bookman Old Style"/>
          <w:sz w:val="24"/>
          <w:szCs w:val="24"/>
        </w:rPr>
        <w:t xml:space="preserve">Modifíquese el </w:t>
      </w:r>
      <w:r w:rsidR="008821DD" w:rsidRPr="006B1DCD">
        <w:rPr>
          <w:rFonts w:ascii="Bookman Old Style" w:hAnsi="Bookman Old Style"/>
          <w:sz w:val="24"/>
          <w:szCs w:val="24"/>
        </w:rPr>
        <w:t>DFL 4/20018</w:t>
      </w:r>
      <w:r w:rsidR="008821DD">
        <w:rPr>
          <w:rFonts w:ascii="Bookman Old Style" w:hAnsi="Bookman Old Style"/>
          <w:sz w:val="24"/>
          <w:szCs w:val="24"/>
        </w:rPr>
        <w:t>, del Ministerio de Economía, Fomento y Reconstrucción, que fija el texto refundido, coordinado y sistematizado de la Ley General de Servicios Eléctricos, en el siguiente sentido:</w:t>
      </w:r>
    </w:p>
    <w:p w14:paraId="2CDA11AA" w14:textId="78F87D2D" w:rsidR="008821DD" w:rsidRPr="008821DD" w:rsidRDefault="008821DD" w:rsidP="008821DD">
      <w:pPr>
        <w:pStyle w:val="Prrafodelista"/>
        <w:numPr>
          <w:ilvl w:val="0"/>
          <w:numId w:val="3"/>
        </w:numPr>
        <w:spacing w:line="360" w:lineRule="auto"/>
        <w:jc w:val="both"/>
        <w:rPr>
          <w:rFonts w:ascii="Bookman Old Style" w:hAnsi="Bookman Old Style"/>
          <w:sz w:val="24"/>
          <w:szCs w:val="24"/>
        </w:rPr>
      </w:pPr>
      <w:r>
        <w:rPr>
          <w:rFonts w:ascii="Bookman Old Style" w:hAnsi="Bookman Old Style"/>
          <w:sz w:val="24"/>
          <w:szCs w:val="24"/>
        </w:rPr>
        <w:t>Para agregar un nuevo inciso noveno en el artículo 182 bis del siguiente tenor:</w:t>
      </w:r>
    </w:p>
    <w:p w14:paraId="5176699D" w14:textId="1F4AAE7B" w:rsidR="007329EA" w:rsidRPr="00B22F29" w:rsidRDefault="006B1DCD" w:rsidP="004D5492">
      <w:pPr>
        <w:spacing w:line="360" w:lineRule="auto"/>
        <w:jc w:val="both"/>
        <w:rPr>
          <w:rFonts w:ascii="Bookman Old Style" w:hAnsi="Bookman Old Style"/>
          <w:sz w:val="24"/>
          <w:szCs w:val="24"/>
        </w:rPr>
      </w:pPr>
      <w:r>
        <w:rPr>
          <w:rFonts w:ascii="Bookman Old Style" w:hAnsi="Bookman Old Style"/>
          <w:sz w:val="24"/>
          <w:szCs w:val="24"/>
        </w:rPr>
        <w:t xml:space="preserve">“Con todo, </w:t>
      </w:r>
      <w:r w:rsidR="00B22F29">
        <w:rPr>
          <w:rFonts w:ascii="Bookman Old Style" w:hAnsi="Bookman Old Style"/>
          <w:sz w:val="24"/>
          <w:szCs w:val="24"/>
        </w:rPr>
        <w:t xml:space="preserve">el dictamen del Panel deberá ser emitido </w:t>
      </w:r>
      <w:r w:rsidR="00854439">
        <w:rPr>
          <w:rFonts w:ascii="Bookman Old Style" w:hAnsi="Bookman Old Style"/>
          <w:sz w:val="24"/>
          <w:szCs w:val="24"/>
        </w:rPr>
        <w:t>en un plazo máximo de cinco meses, contados desde</w:t>
      </w:r>
      <w:r w:rsidR="00B22F29">
        <w:rPr>
          <w:rFonts w:ascii="Bookman Old Style" w:hAnsi="Bookman Old Style"/>
          <w:sz w:val="24"/>
          <w:szCs w:val="24"/>
        </w:rPr>
        <w:t xml:space="preserve"> la emisión del informe técnico. De no lograr solucionar las discrepancias dentro del plazo establecido, se entenderá como vigente el dictamen correspondiente al periodo anterior.”</w:t>
      </w:r>
    </w:p>
    <w:p w14:paraId="7B77D250" w14:textId="1E64D101" w:rsidR="00C571EB" w:rsidRDefault="00C571EB" w:rsidP="004D5492">
      <w:pPr>
        <w:spacing w:line="360" w:lineRule="auto"/>
        <w:jc w:val="both"/>
        <w:rPr>
          <w:rFonts w:ascii="Bookman Old Style" w:hAnsi="Bookman Old Style"/>
          <w:b/>
          <w:bCs/>
          <w:sz w:val="24"/>
          <w:szCs w:val="24"/>
        </w:rPr>
      </w:pPr>
    </w:p>
    <w:p w14:paraId="3B500AA0" w14:textId="1CB2DC0C" w:rsidR="00C571EB" w:rsidRDefault="005E5ADF" w:rsidP="004D5492">
      <w:pPr>
        <w:spacing w:line="360" w:lineRule="auto"/>
        <w:jc w:val="both"/>
        <w:rPr>
          <w:rFonts w:ascii="Bookman Old Style" w:hAnsi="Bookman Old Style"/>
          <w:b/>
          <w:bCs/>
          <w:sz w:val="24"/>
          <w:szCs w:val="24"/>
        </w:rPr>
      </w:pPr>
      <w:r>
        <w:rPr>
          <w:rFonts w:ascii="Bookman Old Style" w:hAnsi="Bookman Old Style"/>
          <w:b/>
          <w:bCs/>
          <w:noProof/>
          <w:sz w:val="24"/>
          <w:szCs w:val="24"/>
        </w:rPr>
        <w:drawing>
          <wp:anchor distT="0" distB="0" distL="114300" distR="114300" simplePos="0" relativeHeight="251658240" behindDoc="0" locked="0" layoutInCell="1" allowOverlap="1" wp14:anchorId="64284C59" wp14:editId="1D4756C4">
            <wp:simplePos x="0" y="0"/>
            <wp:positionH relativeFrom="column">
              <wp:posOffset>1423035</wp:posOffset>
            </wp:positionH>
            <wp:positionV relativeFrom="paragraph">
              <wp:posOffset>-458128</wp:posOffset>
            </wp:positionV>
            <wp:extent cx="3098929" cy="1804377"/>
            <wp:effectExtent l="0" t="0" r="0" b="0"/>
            <wp:wrapNone/>
            <wp:docPr id="330892485" name="Imagen 4"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92485" name="Imagen 4" descr="Imagen en blanco y negr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8929" cy="1804377"/>
                    </a:xfrm>
                    <a:prstGeom prst="rect">
                      <a:avLst/>
                    </a:prstGeom>
                  </pic:spPr>
                </pic:pic>
              </a:graphicData>
            </a:graphic>
            <wp14:sizeRelH relativeFrom="margin">
              <wp14:pctWidth>0</wp14:pctWidth>
            </wp14:sizeRelH>
            <wp14:sizeRelV relativeFrom="margin">
              <wp14:pctHeight>0</wp14:pctHeight>
            </wp14:sizeRelV>
          </wp:anchor>
        </w:drawing>
      </w:r>
    </w:p>
    <w:p w14:paraId="2D29259C" w14:textId="539B95EB" w:rsidR="00C571EB" w:rsidRDefault="00C571EB" w:rsidP="00C571EB">
      <w:pPr>
        <w:spacing w:after="0" w:line="240" w:lineRule="auto"/>
        <w:jc w:val="center"/>
        <w:rPr>
          <w:rFonts w:ascii="Bookman Old Style" w:hAnsi="Bookman Old Style"/>
          <w:b/>
          <w:bCs/>
          <w:sz w:val="24"/>
          <w:szCs w:val="24"/>
        </w:rPr>
      </w:pPr>
      <w:r>
        <w:rPr>
          <w:rFonts w:ascii="Bookman Old Style" w:hAnsi="Bookman Old Style"/>
          <w:b/>
          <w:bCs/>
          <w:sz w:val="24"/>
          <w:szCs w:val="24"/>
        </w:rPr>
        <w:t>RICARDO CIFUENTES L.</w:t>
      </w:r>
    </w:p>
    <w:p w14:paraId="4A261FB4" w14:textId="5CD9BE82" w:rsidR="00C571EB" w:rsidRPr="004D5492" w:rsidRDefault="00C571EB" w:rsidP="00C571EB">
      <w:pPr>
        <w:spacing w:after="0" w:line="240" w:lineRule="auto"/>
        <w:jc w:val="center"/>
        <w:rPr>
          <w:rFonts w:ascii="Bookman Old Style" w:hAnsi="Bookman Old Style"/>
          <w:b/>
          <w:bCs/>
          <w:sz w:val="24"/>
          <w:szCs w:val="24"/>
        </w:rPr>
      </w:pPr>
      <w:r>
        <w:rPr>
          <w:rFonts w:ascii="Bookman Old Style" w:hAnsi="Bookman Old Style"/>
          <w:b/>
          <w:bCs/>
          <w:sz w:val="24"/>
          <w:szCs w:val="24"/>
        </w:rPr>
        <w:t>DISTRITO 5</w:t>
      </w:r>
    </w:p>
    <w:sectPr w:rsidR="00C571EB" w:rsidRPr="004D549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B10D" w14:textId="77777777" w:rsidR="00644518" w:rsidRDefault="00644518" w:rsidP="007329EA">
      <w:pPr>
        <w:spacing w:after="0" w:line="240" w:lineRule="auto"/>
      </w:pPr>
      <w:r>
        <w:separator/>
      </w:r>
    </w:p>
  </w:endnote>
  <w:endnote w:type="continuationSeparator" w:id="0">
    <w:p w14:paraId="15C0B401" w14:textId="77777777" w:rsidR="00644518" w:rsidRDefault="00644518" w:rsidP="007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59A0" w14:textId="77777777" w:rsidR="00644518" w:rsidRDefault="00644518" w:rsidP="007329EA">
      <w:pPr>
        <w:spacing w:after="0" w:line="240" w:lineRule="auto"/>
      </w:pPr>
      <w:r>
        <w:separator/>
      </w:r>
    </w:p>
  </w:footnote>
  <w:footnote w:type="continuationSeparator" w:id="0">
    <w:p w14:paraId="5BC212CC" w14:textId="77777777" w:rsidR="00644518" w:rsidRDefault="00644518" w:rsidP="007329EA">
      <w:pPr>
        <w:spacing w:after="0" w:line="240" w:lineRule="auto"/>
      </w:pPr>
      <w:r>
        <w:continuationSeparator/>
      </w:r>
    </w:p>
  </w:footnote>
  <w:footnote w:id="1">
    <w:p w14:paraId="3899B301" w14:textId="3339FDF2" w:rsidR="002F6392" w:rsidRDefault="002F6392" w:rsidP="00313429">
      <w:pPr>
        <w:pStyle w:val="Textonotapie"/>
        <w:jc w:val="both"/>
      </w:pPr>
      <w:r>
        <w:rPr>
          <w:rStyle w:val="Refdenotaalpie"/>
        </w:rPr>
        <w:footnoteRef/>
      </w:r>
      <w:r w:rsidR="00313429">
        <w:t xml:space="preserve"> </w:t>
      </w:r>
      <w:r w:rsidR="00313429" w:rsidRPr="00313429">
        <w:rPr>
          <w:sz w:val="18"/>
          <w:szCs w:val="18"/>
        </w:rPr>
        <w:t>Daniel Meza y Francisco González (21 de julio 2025). Cortes de Luz: compensaciones para los clientes son financiadas por los mismos usuarios. CIPER. Recuperado de</w:t>
      </w:r>
      <w:r w:rsidRPr="00313429">
        <w:rPr>
          <w:sz w:val="18"/>
          <w:szCs w:val="18"/>
        </w:rPr>
        <w:t xml:space="preserve"> https://www.ciperchile.cl/2025/07/21/cortes-de-luz-compensaciones-para-los-clientes-son-financiadas-por-los-mismos-usuarios/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9C40" w14:textId="4B693CDC" w:rsidR="007329EA" w:rsidRDefault="007329EA" w:rsidP="007329EA">
    <w:pPr>
      <w:pStyle w:val="Encabezado"/>
      <w:jc w:val="center"/>
    </w:pPr>
    <w:r>
      <w:rPr>
        <w:noProof/>
      </w:rPr>
      <w:drawing>
        <wp:inline distT="0" distB="0" distL="0" distR="0" wp14:anchorId="1F50960C" wp14:editId="2969DFDC">
          <wp:extent cx="900332" cy="900332"/>
          <wp:effectExtent l="0" t="0" r="0" b="0"/>
          <wp:docPr id="146198783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87838"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07527" cy="907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25A"/>
    <w:multiLevelType w:val="hybridMultilevel"/>
    <w:tmpl w:val="7CECD34A"/>
    <w:lvl w:ilvl="0" w:tplc="8C58B23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C887367"/>
    <w:multiLevelType w:val="hybridMultilevel"/>
    <w:tmpl w:val="C56A0E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FFF6B61"/>
    <w:multiLevelType w:val="hybridMultilevel"/>
    <w:tmpl w:val="2ED893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74070391">
    <w:abstractNumId w:val="0"/>
  </w:num>
  <w:num w:numId="2" w16cid:durableId="1964774843">
    <w:abstractNumId w:val="1"/>
  </w:num>
  <w:num w:numId="3" w16cid:durableId="190378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EA"/>
    <w:rsid w:val="00097378"/>
    <w:rsid w:val="00111DF0"/>
    <w:rsid w:val="00156772"/>
    <w:rsid w:val="001777A8"/>
    <w:rsid w:val="002512B1"/>
    <w:rsid w:val="002901AC"/>
    <w:rsid w:val="002A0144"/>
    <w:rsid w:val="002B733B"/>
    <w:rsid w:val="002F6392"/>
    <w:rsid w:val="00300FD1"/>
    <w:rsid w:val="00313429"/>
    <w:rsid w:val="0038565B"/>
    <w:rsid w:val="003C0247"/>
    <w:rsid w:val="004D5492"/>
    <w:rsid w:val="00530564"/>
    <w:rsid w:val="005C2107"/>
    <w:rsid w:val="005D4EBF"/>
    <w:rsid w:val="005E087A"/>
    <w:rsid w:val="005E5ADF"/>
    <w:rsid w:val="006046BB"/>
    <w:rsid w:val="00614642"/>
    <w:rsid w:val="00644518"/>
    <w:rsid w:val="00667243"/>
    <w:rsid w:val="006A164C"/>
    <w:rsid w:val="006B1DCD"/>
    <w:rsid w:val="006E2536"/>
    <w:rsid w:val="007329EA"/>
    <w:rsid w:val="00755BC3"/>
    <w:rsid w:val="00854439"/>
    <w:rsid w:val="0086645B"/>
    <w:rsid w:val="008821DD"/>
    <w:rsid w:val="008B5D38"/>
    <w:rsid w:val="008E44D9"/>
    <w:rsid w:val="00922EA0"/>
    <w:rsid w:val="00A06231"/>
    <w:rsid w:val="00AA04E8"/>
    <w:rsid w:val="00AB7316"/>
    <w:rsid w:val="00B22F29"/>
    <w:rsid w:val="00B271F8"/>
    <w:rsid w:val="00B80B9C"/>
    <w:rsid w:val="00B9277B"/>
    <w:rsid w:val="00BB1B99"/>
    <w:rsid w:val="00C56948"/>
    <w:rsid w:val="00C571EB"/>
    <w:rsid w:val="00D713E9"/>
    <w:rsid w:val="00E01BD0"/>
    <w:rsid w:val="00F50AED"/>
    <w:rsid w:val="00F77726"/>
    <w:rsid w:val="00FB59BC"/>
    <w:rsid w:val="00FF3DE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390A"/>
  <w15:chartTrackingRefBased/>
  <w15:docId w15:val="{AD7C37B4-92C0-41F1-9F93-39F18AD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2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32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329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329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329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329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29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29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29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29E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329E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329E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329E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329E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329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29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29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29EA"/>
    <w:rPr>
      <w:rFonts w:eastAsiaTheme="majorEastAsia" w:cstheme="majorBidi"/>
      <w:color w:val="272727" w:themeColor="text1" w:themeTint="D8"/>
    </w:rPr>
  </w:style>
  <w:style w:type="paragraph" w:styleId="Ttulo">
    <w:name w:val="Title"/>
    <w:basedOn w:val="Normal"/>
    <w:next w:val="Normal"/>
    <w:link w:val="TtuloCar"/>
    <w:uiPriority w:val="10"/>
    <w:qFormat/>
    <w:rsid w:val="00732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29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29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29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29EA"/>
    <w:pPr>
      <w:spacing w:before="160"/>
      <w:jc w:val="center"/>
    </w:pPr>
    <w:rPr>
      <w:i/>
      <w:iCs/>
      <w:color w:val="404040" w:themeColor="text1" w:themeTint="BF"/>
    </w:rPr>
  </w:style>
  <w:style w:type="character" w:customStyle="1" w:styleId="CitaCar">
    <w:name w:val="Cita Car"/>
    <w:basedOn w:val="Fuentedeprrafopredeter"/>
    <w:link w:val="Cita"/>
    <w:uiPriority w:val="29"/>
    <w:rsid w:val="007329EA"/>
    <w:rPr>
      <w:i/>
      <w:iCs/>
      <w:color w:val="404040" w:themeColor="text1" w:themeTint="BF"/>
    </w:rPr>
  </w:style>
  <w:style w:type="paragraph" w:styleId="Prrafodelista">
    <w:name w:val="List Paragraph"/>
    <w:basedOn w:val="Normal"/>
    <w:uiPriority w:val="34"/>
    <w:qFormat/>
    <w:rsid w:val="007329EA"/>
    <w:pPr>
      <w:ind w:left="720"/>
      <w:contextualSpacing/>
    </w:pPr>
  </w:style>
  <w:style w:type="character" w:styleId="nfasisintenso">
    <w:name w:val="Intense Emphasis"/>
    <w:basedOn w:val="Fuentedeprrafopredeter"/>
    <w:uiPriority w:val="21"/>
    <w:qFormat/>
    <w:rsid w:val="007329EA"/>
    <w:rPr>
      <w:i/>
      <w:iCs/>
      <w:color w:val="2F5496" w:themeColor="accent1" w:themeShade="BF"/>
    </w:rPr>
  </w:style>
  <w:style w:type="paragraph" w:styleId="Citadestacada">
    <w:name w:val="Intense Quote"/>
    <w:basedOn w:val="Normal"/>
    <w:next w:val="Normal"/>
    <w:link w:val="CitadestacadaCar"/>
    <w:uiPriority w:val="30"/>
    <w:qFormat/>
    <w:rsid w:val="00732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329EA"/>
    <w:rPr>
      <w:i/>
      <w:iCs/>
      <w:color w:val="2F5496" w:themeColor="accent1" w:themeShade="BF"/>
    </w:rPr>
  </w:style>
  <w:style w:type="character" w:styleId="Referenciaintensa">
    <w:name w:val="Intense Reference"/>
    <w:basedOn w:val="Fuentedeprrafopredeter"/>
    <w:uiPriority w:val="32"/>
    <w:qFormat/>
    <w:rsid w:val="007329EA"/>
    <w:rPr>
      <w:b/>
      <w:bCs/>
      <w:smallCaps/>
      <w:color w:val="2F5496" w:themeColor="accent1" w:themeShade="BF"/>
      <w:spacing w:val="5"/>
    </w:rPr>
  </w:style>
  <w:style w:type="paragraph" w:styleId="Encabezado">
    <w:name w:val="header"/>
    <w:basedOn w:val="Normal"/>
    <w:link w:val="EncabezadoCar"/>
    <w:uiPriority w:val="99"/>
    <w:unhideWhenUsed/>
    <w:rsid w:val="007329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9EA"/>
  </w:style>
  <w:style w:type="paragraph" w:styleId="Piedepgina">
    <w:name w:val="footer"/>
    <w:basedOn w:val="Normal"/>
    <w:link w:val="PiedepginaCar"/>
    <w:uiPriority w:val="99"/>
    <w:unhideWhenUsed/>
    <w:rsid w:val="007329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9EA"/>
  </w:style>
  <w:style w:type="paragraph" w:styleId="NormalWeb">
    <w:name w:val="Normal (Web)"/>
    <w:basedOn w:val="Normal"/>
    <w:uiPriority w:val="99"/>
    <w:semiHidden/>
    <w:unhideWhenUsed/>
    <w:rsid w:val="00B9277B"/>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2F63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6392"/>
    <w:rPr>
      <w:sz w:val="20"/>
      <w:szCs w:val="20"/>
    </w:rPr>
  </w:style>
  <w:style w:type="character" w:styleId="Refdenotaalpie">
    <w:name w:val="footnote reference"/>
    <w:basedOn w:val="Fuentedeprrafopredeter"/>
    <w:uiPriority w:val="99"/>
    <w:semiHidden/>
    <w:unhideWhenUsed/>
    <w:rsid w:val="002F6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4531">
      <w:bodyDiv w:val="1"/>
      <w:marLeft w:val="0"/>
      <w:marRight w:val="0"/>
      <w:marTop w:val="0"/>
      <w:marBottom w:val="0"/>
      <w:divBdr>
        <w:top w:val="none" w:sz="0" w:space="0" w:color="auto"/>
        <w:left w:val="none" w:sz="0" w:space="0" w:color="auto"/>
        <w:bottom w:val="none" w:sz="0" w:space="0" w:color="auto"/>
        <w:right w:val="none" w:sz="0" w:space="0" w:color="auto"/>
      </w:divBdr>
    </w:div>
    <w:div w:id="301547293">
      <w:bodyDiv w:val="1"/>
      <w:marLeft w:val="0"/>
      <w:marRight w:val="0"/>
      <w:marTop w:val="0"/>
      <w:marBottom w:val="0"/>
      <w:divBdr>
        <w:top w:val="none" w:sz="0" w:space="0" w:color="auto"/>
        <w:left w:val="none" w:sz="0" w:space="0" w:color="auto"/>
        <w:bottom w:val="none" w:sz="0" w:space="0" w:color="auto"/>
        <w:right w:val="none" w:sz="0" w:space="0" w:color="auto"/>
      </w:divBdr>
    </w:div>
    <w:div w:id="512113529">
      <w:bodyDiv w:val="1"/>
      <w:marLeft w:val="0"/>
      <w:marRight w:val="0"/>
      <w:marTop w:val="0"/>
      <w:marBottom w:val="0"/>
      <w:divBdr>
        <w:top w:val="none" w:sz="0" w:space="0" w:color="auto"/>
        <w:left w:val="none" w:sz="0" w:space="0" w:color="auto"/>
        <w:bottom w:val="none" w:sz="0" w:space="0" w:color="auto"/>
        <w:right w:val="none" w:sz="0" w:space="0" w:color="auto"/>
      </w:divBdr>
    </w:div>
    <w:div w:id="550921827">
      <w:bodyDiv w:val="1"/>
      <w:marLeft w:val="0"/>
      <w:marRight w:val="0"/>
      <w:marTop w:val="0"/>
      <w:marBottom w:val="0"/>
      <w:divBdr>
        <w:top w:val="none" w:sz="0" w:space="0" w:color="auto"/>
        <w:left w:val="none" w:sz="0" w:space="0" w:color="auto"/>
        <w:bottom w:val="none" w:sz="0" w:space="0" w:color="auto"/>
        <w:right w:val="none" w:sz="0" w:space="0" w:color="auto"/>
      </w:divBdr>
    </w:div>
    <w:div w:id="603920985">
      <w:bodyDiv w:val="1"/>
      <w:marLeft w:val="0"/>
      <w:marRight w:val="0"/>
      <w:marTop w:val="0"/>
      <w:marBottom w:val="0"/>
      <w:divBdr>
        <w:top w:val="none" w:sz="0" w:space="0" w:color="auto"/>
        <w:left w:val="none" w:sz="0" w:space="0" w:color="auto"/>
        <w:bottom w:val="none" w:sz="0" w:space="0" w:color="auto"/>
        <w:right w:val="none" w:sz="0" w:space="0" w:color="auto"/>
      </w:divBdr>
    </w:div>
    <w:div w:id="860554455">
      <w:bodyDiv w:val="1"/>
      <w:marLeft w:val="0"/>
      <w:marRight w:val="0"/>
      <w:marTop w:val="0"/>
      <w:marBottom w:val="0"/>
      <w:divBdr>
        <w:top w:val="none" w:sz="0" w:space="0" w:color="auto"/>
        <w:left w:val="none" w:sz="0" w:space="0" w:color="auto"/>
        <w:bottom w:val="none" w:sz="0" w:space="0" w:color="auto"/>
        <w:right w:val="none" w:sz="0" w:space="0" w:color="auto"/>
      </w:divBdr>
    </w:div>
    <w:div w:id="1537423982">
      <w:bodyDiv w:val="1"/>
      <w:marLeft w:val="0"/>
      <w:marRight w:val="0"/>
      <w:marTop w:val="0"/>
      <w:marBottom w:val="0"/>
      <w:divBdr>
        <w:top w:val="none" w:sz="0" w:space="0" w:color="auto"/>
        <w:left w:val="none" w:sz="0" w:space="0" w:color="auto"/>
        <w:bottom w:val="none" w:sz="0" w:space="0" w:color="auto"/>
        <w:right w:val="none" w:sz="0" w:space="0" w:color="auto"/>
      </w:divBdr>
    </w:div>
    <w:div w:id="19326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92066-F26C-45F1-B769-4437E8B0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6</Pages>
  <Words>1354</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Farías</dc:creator>
  <cp:keywords/>
  <dc:description/>
  <cp:lastModifiedBy>Guillermo Diaz Vallejos</cp:lastModifiedBy>
  <cp:revision>1</cp:revision>
  <dcterms:created xsi:type="dcterms:W3CDTF">2025-07-22T15:29:00Z</dcterms:created>
  <dcterms:modified xsi:type="dcterms:W3CDTF">2025-08-13T16:54:00Z</dcterms:modified>
</cp:coreProperties>
</file>