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45D6" w14:textId="70D3589C" w:rsidR="0047010F" w:rsidRDefault="0047010F" w:rsidP="00A17E64">
      <w:pPr>
        <w:spacing w:line="360" w:lineRule="auto"/>
        <w:jc w:val="center"/>
        <w:rPr>
          <w:rFonts w:ascii="Candara" w:hAnsi="Candara" w:cs="Calibri"/>
          <w:b/>
          <w:bCs/>
          <w:lang w:val="es-MX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74C6C70" wp14:editId="12F57E08">
            <wp:simplePos x="0" y="0"/>
            <wp:positionH relativeFrom="margin">
              <wp:posOffset>2043485</wp:posOffset>
            </wp:positionH>
            <wp:positionV relativeFrom="paragraph">
              <wp:posOffset>276</wp:posOffset>
            </wp:positionV>
            <wp:extent cx="1157288" cy="1065114"/>
            <wp:effectExtent l="0" t="0" r="5080" b="1905"/>
            <wp:wrapSquare wrapText="bothSides" distT="114300" distB="114300" distL="114300" distR="114300"/>
            <wp:docPr id="1" name="image1.png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&#10;&#10;El contenido generado por IA puede ser incorrec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065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B2F609" w14:textId="77777777" w:rsidR="0047010F" w:rsidRDefault="0047010F" w:rsidP="00A17E64">
      <w:pPr>
        <w:spacing w:line="360" w:lineRule="auto"/>
        <w:jc w:val="center"/>
        <w:rPr>
          <w:rFonts w:ascii="Candara" w:hAnsi="Candara" w:cs="Calibri"/>
          <w:b/>
          <w:bCs/>
          <w:lang w:val="es-MX"/>
        </w:rPr>
      </w:pPr>
    </w:p>
    <w:p w14:paraId="6D0A749C" w14:textId="77777777" w:rsidR="0047010F" w:rsidRDefault="0047010F" w:rsidP="00A17E64">
      <w:pPr>
        <w:spacing w:line="360" w:lineRule="auto"/>
        <w:jc w:val="center"/>
        <w:rPr>
          <w:rFonts w:ascii="Candara" w:hAnsi="Candara" w:cs="Calibri"/>
          <w:b/>
          <w:bCs/>
          <w:lang w:val="es-MX"/>
        </w:rPr>
      </w:pPr>
    </w:p>
    <w:p w14:paraId="3A56C6F9" w14:textId="77777777" w:rsidR="0047010F" w:rsidRDefault="0047010F" w:rsidP="00A17E64">
      <w:pPr>
        <w:spacing w:line="360" w:lineRule="auto"/>
        <w:jc w:val="center"/>
        <w:rPr>
          <w:rFonts w:ascii="Candara" w:hAnsi="Candara" w:cs="Calibri"/>
          <w:b/>
          <w:bCs/>
          <w:lang w:val="es-MX"/>
        </w:rPr>
      </w:pPr>
    </w:p>
    <w:p w14:paraId="5483D2F9" w14:textId="45286927" w:rsidR="00210168" w:rsidRPr="00A17E64" w:rsidRDefault="00210168" w:rsidP="00A17E64">
      <w:pPr>
        <w:spacing w:line="360" w:lineRule="auto"/>
        <w:jc w:val="center"/>
        <w:rPr>
          <w:rFonts w:ascii="Candara" w:hAnsi="Candara" w:cs="Calibri"/>
          <w:b/>
          <w:bCs/>
          <w:lang w:val="es-MX"/>
        </w:rPr>
      </w:pPr>
      <w:r w:rsidRPr="00A17E64">
        <w:rPr>
          <w:rFonts w:ascii="Candara" w:hAnsi="Candara" w:cs="Calibri"/>
          <w:b/>
          <w:bCs/>
          <w:lang w:val="es-MX"/>
        </w:rPr>
        <w:t xml:space="preserve">REFORMA CONSTITUCIONAL PARA RECONOCER EL DERECHO FUNDAMENTAL A LA VIVIENDA DIGNA Y EL DERECHO </w:t>
      </w:r>
      <w:r w:rsidR="005B17E3" w:rsidRPr="00A17E64">
        <w:rPr>
          <w:rFonts w:ascii="Candara" w:hAnsi="Candara" w:cs="Calibri"/>
          <w:b/>
          <w:bCs/>
          <w:lang w:val="es-MX"/>
        </w:rPr>
        <w:t>A LA CIUDAD</w:t>
      </w:r>
      <w:r w:rsidRPr="00A17E64">
        <w:rPr>
          <w:rFonts w:ascii="Candara" w:hAnsi="Candara" w:cs="Calibri"/>
          <w:b/>
          <w:bCs/>
          <w:lang w:val="es-MX"/>
        </w:rPr>
        <w:t>.</w:t>
      </w:r>
    </w:p>
    <w:p w14:paraId="4E250A98" w14:textId="77777777" w:rsidR="00210168" w:rsidRPr="00A17E64" w:rsidRDefault="00210168" w:rsidP="00A17E64">
      <w:pPr>
        <w:spacing w:line="360" w:lineRule="auto"/>
        <w:jc w:val="both"/>
        <w:rPr>
          <w:rFonts w:ascii="Candara" w:hAnsi="Candara" w:cs="Calibri"/>
          <w:lang w:val="es-MX"/>
        </w:rPr>
      </w:pPr>
    </w:p>
    <w:p w14:paraId="3140C2AA" w14:textId="7BD0235A" w:rsidR="00210168" w:rsidRPr="00A17E64" w:rsidRDefault="00210168" w:rsidP="00A17E6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lang w:val="es-MX"/>
        </w:rPr>
      </w:pPr>
      <w:r w:rsidRPr="00A17E64">
        <w:rPr>
          <w:rFonts w:ascii="Candara" w:hAnsi="Candara" w:cs="Calibri"/>
          <w:lang w:val="es-MX"/>
        </w:rPr>
        <w:t>Antecedentes</w:t>
      </w:r>
    </w:p>
    <w:p w14:paraId="5E0E9FBF" w14:textId="02DFBBF7" w:rsidR="000E55B3" w:rsidRPr="00A17E64" w:rsidRDefault="000C221B" w:rsidP="00A17E64">
      <w:pPr>
        <w:spacing w:line="360" w:lineRule="auto"/>
        <w:jc w:val="both"/>
        <w:rPr>
          <w:rFonts w:ascii="Candara" w:eastAsia="Google Sans Text" w:hAnsi="Candara" w:cs="Calibri"/>
          <w:color w:val="1B1C1D"/>
        </w:rPr>
      </w:pPr>
      <w:r w:rsidRPr="00A17E64">
        <w:rPr>
          <w:rFonts w:ascii="Candara" w:hAnsi="Candara" w:cs="Calibri"/>
          <w:lang w:val="es-MX"/>
        </w:rPr>
        <w:t xml:space="preserve">Nuestra Constitución Política del año 1980 no consagra ni reconoce el derecho fundamental a una vivienda digna o adecuada. Si bien nuestro artículo 5, inciso segundo, </w:t>
      </w:r>
      <w:r w:rsidRPr="00A17E64">
        <w:rPr>
          <w:rFonts w:ascii="Candara" w:eastAsia="Google Sans Text" w:hAnsi="Candara" w:cs="Calibri"/>
          <w:color w:val="1B1C1D"/>
        </w:rPr>
        <w:t>establece que el ejercicio de la soberanía reconoce como limitación el respeto a los derechos esenciales que emanan de la naturaleza humana, garantizados por la Constitución y los tratados internacionales ratificados por Chile, esta formulación ha resultado en una protección indirecta e insuficiente del derecho a la vivienda y al territorio, en contraste con los derechos explícitamente reconocidos por el legislador constitucional en el artículo 19 de nuestra carta magna.</w:t>
      </w:r>
    </w:p>
    <w:p w14:paraId="699508BD" w14:textId="77E62403" w:rsidR="000C221B" w:rsidRPr="00A17E64" w:rsidRDefault="00A46103" w:rsidP="00A17E64">
      <w:pPr>
        <w:spacing w:line="360" w:lineRule="auto"/>
        <w:jc w:val="both"/>
        <w:rPr>
          <w:rFonts w:ascii="Candara" w:eastAsia="Google Sans Text" w:hAnsi="Candara" w:cs="Calibri"/>
          <w:color w:val="1B1C1D"/>
        </w:rPr>
      </w:pPr>
      <w:r w:rsidRPr="00A17E64">
        <w:rPr>
          <w:rFonts w:ascii="Candara" w:hAnsi="Candara" w:cs="Calibri"/>
          <w:lang w:val="es-MX"/>
        </w:rPr>
        <w:t xml:space="preserve">Esta ausencia de reconocimiento explícito ha permitido la construcción de una percepción predominante sobre la vivienda como un bien de consumo más que un derecho humano fundamental, sumado a la implementación de políticas habitacionales </w:t>
      </w:r>
      <w:r w:rsidRPr="00A17E64">
        <w:rPr>
          <w:rFonts w:ascii="Candara" w:eastAsia="Google Sans Text" w:hAnsi="Candara" w:cs="Calibri"/>
          <w:color w:val="1B1C1D"/>
        </w:rPr>
        <w:t xml:space="preserve">centradas en la adquisición de propiedad individual a través de subsidios, ha exacerbado el déficit habitacional en Chile y ha generado condiciones de precariedad para un número considerable de familias vulnerables. </w:t>
      </w:r>
    </w:p>
    <w:p w14:paraId="2FEBC037" w14:textId="1B06DC06" w:rsidR="004150A0" w:rsidRPr="00A17E64" w:rsidRDefault="004150A0" w:rsidP="00A17E64">
      <w:pPr>
        <w:spacing w:line="360" w:lineRule="auto"/>
        <w:jc w:val="both"/>
        <w:rPr>
          <w:rFonts w:ascii="Candara" w:eastAsia="Google Sans Text" w:hAnsi="Candara" w:cs="Calibri"/>
          <w:color w:val="1B1C1D"/>
        </w:rPr>
      </w:pPr>
      <w:r w:rsidRPr="00A17E64">
        <w:rPr>
          <w:rFonts w:ascii="Candara" w:eastAsia="Google Sans Text" w:hAnsi="Candara" w:cs="Calibri"/>
          <w:color w:val="1B1C1D"/>
        </w:rPr>
        <w:t xml:space="preserve">En el panorama internacional, el derecho a una vivienda digna y adecuada es universalmente reconocido, remontando su origen a la Declaración Universal de los Derechos Humanos de 1948, específicamente en su artículo 25, párrafo 1, señalando que “Toda persona tiene derecho a un nivel de vida adecuado que le asegure, así como a su familia, la salud y el bienestar, y en especial la alimentación, el vestido, </w:t>
      </w:r>
      <w:r w:rsidRPr="00A17E64">
        <w:rPr>
          <w:rFonts w:ascii="Candara" w:eastAsia="Google Sans Text" w:hAnsi="Candara" w:cs="Calibri"/>
          <w:b/>
          <w:bCs/>
          <w:color w:val="1B1C1D"/>
          <w:u w:val="single"/>
        </w:rPr>
        <w:t>la vivienda</w:t>
      </w:r>
      <w:r w:rsidRPr="00A17E64">
        <w:rPr>
          <w:rFonts w:ascii="Candara" w:eastAsia="Google Sans Text" w:hAnsi="Candara" w:cs="Calibri"/>
          <w:color w:val="1B1C1D"/>
        </w:rPr>
        <w:t xml:space="preserve">, la asistencia médica y los servicios sociales necesarios; tiene asimismo derecho a los seguros en caso de desempleo, enfermedad, invalidez, viudez, vejez u otros casos de pérdida de sus medios de subsistencia por circunstancias independientes </w:t>
      </w:r>
      <w:r w:rsidRPr="00A17E64">
        <w:rPr>
          <w:rFonts w:ascii="Candara" w:eastAsia="Google Sans Text" w:hAnsi="Candara" w:cs="Calibri"/>
          <w:color w:val="1B1C1D"/>
        </w:rPr>
        <w:lastRenderedPageBreak/>
        <w:t>de su voluntad.”</w:t>
      </w:r>
      <w:r w:rsidRPr="00A17E64">
        <w:rPr>
          <w:rStyle w:val="Refdenotaalpie"/>
          <w:rFonts w:ascii="Candara" w:eastAsia="Google Sans Text" w:hAnsi="Candara" w:cs="Calibri"/>
          <w:color w:val="1B1C1D"/>
        </w:rPr>
        <w:footnoteReference w:id="1"/>
      </w:r>
      <w:r w:rsidRPr="00A17E64">
        <w:rPr>
          <w:rFonts w:ascii="Candara" w:eastAsia="Google Sans Text" w:hAnsi="Candara" w:cs="Calibri"/>
          <w:color w:val="1B1C1D"/>
        </w:rPr>
        <w:t xml:space="preserve"> (el resaltado es propio). Este reconocimiento fue nuevamente ratificado, e incluso ampliado, en el artículo 11, párrafo 1, del Pacto Internacional de Derechos Económicos, Sociales y Culturales de 1966, que reconoce explícitamente "(…) el derecho de toda persona a un nivel de vida adecuado para sí y su familia, incluso alimentación, vestido y </w:t>
      </w:r>
      <w:r w:rsidRPr="00A17E64">
        <w:rPr>
          <w:rFonts w:ascii="Candara" w:eastAsia="Google Sans Text" w:hAnsi="Candara" w:cs="Calibri"/>
          <w:b/>
          <w:bCs/>
          <w:color w:val="1B1C1D"/>
          <w:u w:val="single"/>
        </w:rPr>
        <w:t>vivienda adecuados</w:t>
      </w:r>
      <w:r w:rsidRPr="00A17E64">
        <w:rPr>
          <w:rFonts w:ascii="Candara" w:eastAsia="Google Sans Text" w:hAnsi="Candara" w:cs="Calibri"/>
          <w:color w:val="1B1C1D"/>
        </w:rPr>
        <w:t>, y a una mejora continua de las condiciones de existencia"</w:t>
      </w:r>
      <w:r w:rsidRPr="00A17E64">
        <w:rPr>
          <w:rStyle w:val="Refdenotaalpie"/>
          <w:rFonts w:ascii="Candara" w:eastAsia="Google Sans Text" w:hAnsi="Candara" w:cs="Calibri"/>
          <w:color w:val="1B1C1D"/>
        </w:rPr>
        <w:footnoteReference w:id="2"/>
      </w:r>
      <w:r w:rsidRPr="00A17E64">
        <w:rPr>
          <w:rFonts w:ascii="Candara" w:eastAsia="Google Sans Text" w:hAnsi="Candara" w:cs="Calibri"/>
          <w:color w:val="1B1C1D"/>
        </w:rPr>
        <w:t xml:space="preserve"> (el resaltado es propio). </w:t>
      </w:r>
    </w:p>
    <w:p w14:paraId="09F57BB4" w14:textId="281F1D34" w:rsidR="004150A0" w:rsidRPr="00A17E64" w:rsidRDefault="00DE0BAD" w:rsidP="00A17E64">
      <w:pPr>
        <w:spacing w:line="360" w:lineRule="auto"/>
        <w:jc w:val="both"/>
        <w:rPr>
          <w:rFonts w:ascii="Candara" w:eastAsia="Google Sans Text" w:hAnsi="Candara" w:cs="Calibri"/>
          <w:color w:val="1B1C1D"/>
        </w:rPr>
      </w:pPr>
      <w:r w:rsidRPr="00A17E64">
        <w:rPr>
          <w:rFonts w:ascii="Candara" w:hAnsi="Candara" w:cs="Calibri"/>
          <w:lang w:val="es-MX"/>
        </w:rPr>
        <w:t xml:space="preserve">En este sentido, es importante precisar que la conceptualización de la vivienda como derecho fundamental ha tornado en una </w:t>
      </w:r>
      <w:r w:rsidR="008F6377" w:rsidRPr="00A17E64">
        <w:rPr>
          <w:rFonts w:ascii="Candara" w:hAnsi="Candara" w:cs="Calibri"/>
          <w:lang w:val="es-MX"/>
        </w:rPr>
        <w:t xml:space="preserve">comprensión amplia de la vivienda y no es una reduccionista o minimalista como un simple “techo” bajo el cual estar. De hecho, </w:t>
      </w:r>
      <w:r w:rsidR="008F6377" w:rsidRPr="00A17E64">
        <w:rPr>
          <w:rFonts w:ascii="Candara" w:eastAsia="Google Sans Text" w:hAnsi="Candara" w:cs="Calibri"/>
          <w:color w:val="1B1C1D"/>
        </w:rPr>
        <w:t>no se trata de un derecho único y fácilmente cuantificable, sino de un conjunto de condiciones interrelacionadas, siendo este enfatizado por las Naciones Unidas en su Observación General N° 4 de 1991. Este cambio cualitativo significa que el derecho a la vivienda está intrínsecamente ligado a la dignidad humana y abarca un conjunto más amplio de condiciones necesarias para una vida plena, yendo más allá de una medida puramente cuantitativa de unidades habitacionales.</w:t>
      </w:r>
    </w:p>
    <w:p w14:paraId="559E08F2" w14:textId="72A469F2" w:rsidR="008F6377" w:rsidRPr="00A17E64" w:rsidRDefault="00667C63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hAnsi="Candara" w:cs="Calibri"/>
          <w:lang w:val="es-MX"/>
        </w:rPr>
        <w:t xml:space="preserve">Todo lo anterior dista de la realidad que vivimos en Chile, siendo la vivienda tratada solamente como un negocio y lejos de ser un derecho fundamental como pasa en otras partes del mundo. Aunque cada vez, en casi todos los países del mundo, se consolida más </w:t>
      </w:r>
      <w:r w:rsidR="00A010F9" w:rsidRPr="00A17E64">
        <w:rPr>
          <w:rFonts w:ascii="Candara" w:hAnsi="Candara" w:cs="Calibri"/>
          <w:lang w:val="es-MX"/>
        </w:rPr>
        <w:t xml:space="preserve">la tendencia de la vivienda como un activo financiero o de inversión en lugar de un bien social, </w:t>
      </w:r>
      <w:r w:rsidR="00A010F9" w:rsidRPr="00A17E64">
        <w:rPr>
          <w:rFonts w:ascii="Candara" w:eastAsia="Google Sans Text" w:hAnsi="Candara" w:cs="Google Sans Text"/>
          <w:color w:val="1B1C1D"/>
        </w:rPr>
        <w:t xml:space="preserve">provocado un aumento de los costos de la vivienda, una reducción de la asequibilidad y un incremento significativo del número de personas sin hogar. </w:t>
      </w:r>
    </w:p>
    <w:p w14:paraId="413D39DA" w14:textId="4F4DC47B" w:rsidR="001E0193" w:rsidRPr="00A17E64" w:rsidRDefault="00A010F9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 xml:space="preserve">En el contexto chileno la visión de la vivienda como negocio ha moldeado las políticas públicas de todos los gobiernos, centrando el acceso a través de subsidios, lo que no ha logrado satisfacer la alta demanda de viviendas en los sectores medios y bajos, teniendo actualmente un déficit cercano a las 600 mil viviendas en los estudios más conservadores, sin tomar en cuenta las viviendas estatales que se han deteriorado con los años y que no obtienen respuestas de parte del Estado. </w:t>
      </w:r>
      <w:r w:rsidR="001E0193" w:rsidRPr="00A17E64">
        <w:rPr>
          <w:rFonts w:ascii="Candara" w:eastAsia="Google Sans Text" w:hAnsi="Candara" w:cs="Google Sans Text"/>
          <w:color w:val="1B1C1D"/>
        </w:rPr>
        <w:t xml:space="preserve">Este contexto tampoco ha permitido el desarrollo del derecho fundamental a la ciudad, entendiendo esta como el derecho de todos los habitantes, presentes y futuros, permanentes y temporales, a habitar, utilizar, ocupar, producir, transformar, gobernar y disfrutar ciudades, pueblos y asentamientos urbanos justos, inclusivos, seguros, sostenibles y </w:t>
      </w:r>
      <w:r w:rsidR="001E0193" w:rsidRPr="00A17E64">
        <w:rPr>
          <w:rFonts w:ascii="Candara" w:eastAsia="Google Sans Text" w:hAnsi="Candara" w:cs="Google Sans Text"/>
          <w:color w:val="1B1C1D"/>
        </w:rPr>
        <w:lastRenderedPageBreak/>
        <w:t>democráticos, definidos como bienes comunes para una vida digna, que debe compartirse y pertenecer a todos los miembros de la comunidad.</w:t>
      </w:r>
    </w:p>
    <w:p w14:paraId="3A7FF839" w14:textId="77777777" w:rsidR="003F6BC8" w:rsidRPr="003F6BC8" w:rsidRDefault="003F6BC8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3F6BC8">
        <w:rPr>
          <w:rFonts w:ascii="Candara" w:eastAsia="Google Sans Text" w:hAnsi="Candara" w:cs="Google Sans Text"/>
          <w:color w:val="1B1C1D"/>
        </w:rPr>
        <w:t xml:space="preserve">El término “ciudad” debe ser comprendido en un sentido amplio. Significa toda metrópoli, ciudad, población, pueblo o asentamientos urbanos que constituyen una comunidad polí tica, y en general (aunque no necesariamente) es organizada institucionalmente como una unidad gubernamental local con características municipales o metropolitanas. </w:t>
      </w:r>
    </w:p>
    <w:p w14:paraId="052D2421" w14:textId="5A627FC4" w:rsidR="001E0193" w:rsidRPr="00A17E64" w:rsidRDefault="003F6BC8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El derecho a la ciudad significa garantizar ciudades y asentamientos humanos (i) libres de discriminación; (ii) con igualdad de género; (iii) que integren las minorías y la diversidad racial, sexual y cultural; (iv) con ciudadanía inclusiva; (v) con una mayor participación política; (vi) que cumplan sus funciones sociales, incluso reconociendo y apoyando los procesos de producción social y la reconstrucción del hábitat; (vii) con economías diversas 4 e inclusivas; e, (viii) con vínculos urbano-rurales inclusivos.</w:t>
      </w:r>
    </w:p>
    <w:p w14:paraId="1065CFF0" w14:textId="5004C5D7" w:rsidR="004625FF" w:rsidRDefault="004625FF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Así las cosas, es importante observar el panorama en otros países, siendo muy diversos los sistemas jurídicos que ya reconocen tanto el derecho a la vivienda digna y adecuada y el derecho a la ciudad. Para ello, pasamos a exponer a través de un cuadro comparativo algunos de los países</w:t>
      </w:r>
      <w:r w:rsidR="00476B20" w:rsidRPr="00A17E64">
        <w:rPr>
          <w:rFonts w:ascii="Candara" w:eastAsia="Google Sans Text" w:hAnsi="Candara" w:cs="Google Sans Text"/>
          <w:color w:val="1B1C1D"/>
        </w:rPr>
        <w:t xml:space="preserve"> que reconocen en sus cartas fundamentales estos derechos:</w:t>
      </w:r>
    </w:p>
    <w:p w14:paraId="6226B3F4" w14:textId="77777777" w:rsidR="009E0FE6" w:rsidRPr="00A17E64" w:rsidRDefault="009E0FE6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</w:p>
    <w:p w14:paraId="6EBC3528" w14:textId="25AE5DC2" w:rsidR="00476B20" w:rsidRPr="00A17E64" w:rsidRDefault="00476B20" w:rsidP="00A17E6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b/>
          <w:color w:val="1B1C1D"/>
        </w:rPr>
        <w:t>Consagración del Derecho a la Vivienda en Constituciones Seleccionadas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76B20" w:rsidRPr="00A17E64" w14:paraId="484DBF05" w14:textId="77777777" w:rsidTr="009904D8">
        <w:trPr>
          <w:trHeight w:val="1219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AD46254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País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0CD1479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Artículo(s) / Disposición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6972545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Formulación del Derecho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F7DB48F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Naturaleza de la Obligación Estatal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484DE38" w14:textId="0C2A89D5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Mecanismos</w:t>
            </w:r>
          </w:p>
        </w:tc>
      </w:tr>
      <w:tr w:rsidR="00476B20" w:rsidRPr="00A17E64" w14:paraId="0D0E1419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9A5F0E4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Uruguay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E173F02" w14:textId="48867605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45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CD903F1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Derecho a gozar de vivienda decorosa.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C793B0C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Promocional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1DB16FF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Ley propende a vivienda higiénica y económica, facilita adquisición, </w:t>
            </w: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estimula inversión privada.</w:t>
            </w:r>
          </w:p>
        </w:tc>
      </w:tr>
      <w:tr w:rsidR="00476B20" w:rsidRPr="00A17E64" w14:paraId="18B247A3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025C64A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lastRenderedPageBreak/>
              <w:t>México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4350276" w14:textId="696A7435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4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0AC5331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Toda familia tiene derecho a disfrutar de vivienda digna y decorosa.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E004F0C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Mandato Legislativo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CE56DCE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La Ley establecerá instrumentos y apoyos necesarios.</w:t>
            </w:r>
          </w:p>
        </w:tc>
      </w:tr>
      <w:tr w:rsidR="00476B20" w:rsidRPr="00A17E64" w14:paraId="322AD13A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A72FCDA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Portugal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85AF95B" w14:textId="33F8FFA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65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51D00CF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Derecho a una vivienda de dimensiones adecuadas, que responde a normas de higiene y confort y que preserve la intimidad.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4B4DCA4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Garante con Planificación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981587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Incumbe al Estado planificar y ejecutar política de vivienda integrada en planes de desarrollo territorial.</w:t>
            </w:r>
          </w:p>
        </w:tc>
      </w:tr>
      <w:tr w:rsidR="00476B20" w:rsidRPr="00A17E64" w14:paraId="04D8C030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FA9604F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Federación Rusa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FE0800F" w14:textId="727480CF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40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29D6C4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Toda persona tiene derecho a un hogar. Nadie puede ser privado arbitrariamente de un hogar.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C4EEB47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Garante con Provisión Directa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AA4F1AF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Promueve construcción, crea condiciones, provee vivienda gratuita/asequible a bajos ingresos.</w:t>
            </w:r>
          </w:p>
        </w:tc>
      </w:tr>
      <w:tr w:rsidR="00476B20" w:rsidRPr="00A17E64" w14:paraId="50C11416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A519D59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lastRenderedPageBreak/>
              <w:t>Sudáfrica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80E23BD" w14:textId="7A7E688D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26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17E03A5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Derecho a tener acceso a una vivienda adecuada.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A5E9FB0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Progresiva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B211F78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Estado formulará políticas y adoptará medidas legislativas razonables dentro de límites de recursos para realización progresiva. Protección contra desahucios arbitrarios.</w:t>
            </w:r>
          </w:p>
        </w:tc>
      </w:tr>
      <w:tr w:rsidR="00476B20" w:rsidRPr="00A17E64" w14:paraId="35801221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A2C7380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Ecuador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657B15E" w14:textId="1EA1D5A9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Arts. 30, 59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D3C420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Derecho a un hábitat seguro y saludable, y a una vivienda adecuada y digna.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BBD1EEA" w14:textId="0EA6CE06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Garante Activo e Integral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157EF31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Genera información, catastro, políticas, mejora vivienda precaria, promueve financiamiento social, garantiza servicios básicos.</w:t>
            </w:r>
          </w:p>
        </w:tc>
      </w:tr>
      <w:tr w:rsidR="00476B20" w:rsidRPr="00A17E64" w14:paraId="0CE3D811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D4441FA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lastRenderedPageBreak/>
              <w:t>Bolivia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EA3B9F6" w14:textId="7F791409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30 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A21D74D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Toda persona tiene derecho a un hábitat y una vivienda adecuados y dignos.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F4D830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Garante con Promoción Social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BA7BBFF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Promueve desarrollo de vivienda de beneficio social, preferentemente para familias.</w:t>
            </w:r>
          </w:p>
        </w:tc>
      </w:tr>
    </w:tbl>
    <w:p w14:paraId="640BABB1" w14:textId="01D2723C" w:rsidR="00476B20" w:rsidRDefault="00476B20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</w:p>
    <w:p w14:paraId="01750C11" w14:textId="77777777" w:rsidR="009E0FE6" w:rsidRPr="00A17E64" w:rsidRDefault="009E0FE6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</w:p>
    <w:p w14:paraId="163CC218" w14:textId="3FF3BD50" w:rsidR="00476B20" w:rsidRPr="00A17E64" w:rsidRDefault="00476B20" w:rsidP="00A17E6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b/>
          <w:color w:val="1B1C1D"/>
        </w:rPr>
        <w:t>Consagración del Derecho al Territorio en Constituciones Seleccionadas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76B20" w:rsidRPr="00A17E64" w14:paraId="7C6E69BD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C46BAC8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País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07856F0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Artículo(s) / Disposición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3ABE538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Formulación del Derecho / Referencia al Territorio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485596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Enfoque Principal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AC2C0E1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Mecanismos/Disposiciones Clave</w:t>
            </w:r>
          </w:p>
        </w:tc>
      </w:tr>
      <w:tr w:rsidR="00476B20" w:rsidRPr="00A17E64" w14:paraId="3D77DECC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2DB72B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Costa Rica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7CBD408" w14:textId="78D566C1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Arts. 5, 6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19207AE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Delimitación del territorio nacional y ejercicio de soberanía completa y exclusiva.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A3D70B4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Soberanía Estatal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219A911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Límites geográficos, espacio aéreo, aguas territoriales, plataforma continental, jurisdicción especial.</w:t>
            </w:r>
          </w:p>
        </w:tc>
      </w:tr>
      <w:tr w:rsidR="00476B20" w:rsidRPr="00A17E64" w14:paraId="17F3446A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AAB07FC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México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E5E1A26" w14:textId="3795CE6A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Arts. 27, 42, 48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B1E0836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Propiedad de tierras y aguas dentro del territorio </w:t>
            </w: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nacional a la nación; comprende partes integrantes de federación, islas, plataforma continental, aguas territoriales y espacio aéreo.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A2DC26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Soberanía Estatal / Organización Administrativa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886D70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Delimitación geográfica, distribución de competencias </w:t>
            </w: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entre federación y estados.</w:t>
            </w:r>
          </w:p>
        </w:tc>
      </w:tr>
      <w:tr w:rsidR="00476B20" w:rsidRPr="00A17E64" w14:paraId="0943C547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A94646E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lastRenderedPageBreak/>
              <w:t>España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9DDCC91" w14:textId="293845B8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Arts. 19, 137, 138.1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CFDB324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Referencias a "territorio nacional" en relación con libertad de circulación y residencia; organización territorial en municipios, provincias, CCAA.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BCE251A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Libertad de Movimiento / Organización Administrativa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E7212B0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Ámbito de ejercicio de derechos, justicia distributiva, solidaridad territorial.</w:t>
            </w:r>
          </w:p>
        </w:tc>
      </w:tr>
      <w:tr w:rsidR="00476B20" w:rsidRPr="00A17E64" w14:paraId="0A84D9EC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7F3F862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Bolivia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58C74EF" w14:textId="5ABE629A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Arts. 30, 403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86ECA8A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Reconoce el "territorio indígena originario campesino", </w:t>
            </w: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incluyendo derechos a la tierra, agua y aprovechamiento exclusivo de recursos renovables.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D5D088A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Derechos Colectivos Indígenas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51D925C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Reconocimiento de territorialidad indígena como </w:t>
            </w: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derecho colectivo.</w:t>
            </w:r>
          </w:p>
        </w:tc>
      </w:tr>
      <w:tr w:rsidR="00476B20" w:rsidRPr="00A17E64" w14:paraId="3C1302C1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5A8E803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lastRenderedPageBreak/>
              <w:t>Ciudad de México (Subnacional)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BD9742F" w14:textId="37BC8162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12 (CPCDMX)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04B18A6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Derecho de todos los habitantes a utilizar, ocupar, producir, gobernar y disfrutar de ciudades, pueblos y asentamientos humanos justos, inclusivos, seguros y sostenibles.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BFD6F86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Derecho a la Ciudad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4AC2BA3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Función social de la propiedad, justicia territorial, participación ciudadana, sostenibilidad.</w:t>
            </w:r>
          </w:p>
        </w:tc>
      </w:tr>
      <w:tr w:rsidR="00476B20" w:rsidRPr="00A17E64" w14:paraId="35EE1A83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05D673A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Argentina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A4DEFFD" w14:textId="360F219B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13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AFCA788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Admisión de nuevas provincias, sin que una provincia se erija en territorio de </w:t>
            </w: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otra sin consentimiento.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9B3F874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lastRenderedPageBreak/>
              <w:t>Organización Administrativa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84F5149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Regulación de la creación y límites de entidades federativas.</w:t>
            </w:r>
          </w:p>
        </w:tc>
      </w:tr>
      <w:tr w:rsidR="00476B20" w:rsidRPr="00A17E64" w14:paraId="75ADF481" w14:textId="77777777" w:rsidTr="006306B0"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A7BE7E3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b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b/>
                <w:color w:val="1B1C1D"/>
              </w:rPr>
              <w:t>Canadá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E7BB034" w14:textId="0C80C635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ndara" w:eastAsia="Google Sans Text" w:hAnsi="Candara" w:cs="Google Sans Text"/>
                <w:color w:val="575B5F"/>
                <w:vertAlign w:val="superscript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 xml:space="preserve">Art. 146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A239254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Poder para admitir nuevas colonias o provincias en la Unión.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1B19FBE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Organización Administrativa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64A2658" w14:textId="77777777" w:rsidR="00476B20" w:rsidRPr="00A17E64" w:rsidRDefault="00476B20" w:rsidP="00A1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Candara" w:eastAsia="Google Sans Text" w:hAnsi="Candara" w:cs="Google Sans Text"/>
                <w:color w:val="1B1C1D"/>
              </w:rPr>
            </w:pPr>
            <w:r w:rsidRPr="00A17E64">
              <w:rPr>
                <w:rFonts w:ascii="Candara" w:eastAsia="Google Sans Text" w:hAnsi="Candara" w:cs="Google Sans Text"/>
                <w:color w:val="1B1C1D"/>
              </w:rPr>
              <w:t>Mecanismos para la incorporación de territorios.</w:t>
            </w:r>
          </w:p>
        </w:tc>
      </w:tr>
    </w:tbl>
    <w:p w14:paraId="45A80648" w14:textId="77777777" w:rsidR="00476B20" w:rsidRPr="00A17E64" w:rsidRDefault="00476B20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</w:p>
    <w:p w14:paraId="2CB01E9D" w14:textId="14AA4239" w:rsidR="003666D3" w:rsidRPr="00A17E64" w:rsidRDefault="003666D3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Chile, y nuestra sociedad en su conjunto, ya pudo discutir y sociabilizar estos conceptos que, como se mencionó, han sido latamente desarrollados en el derecho internacional y en otras cartas constitucionales en diversos países y sistemas jurídicos. Tanto es así, que en l</w:t>
      </w:r>
      <w:r w:rsidR="00B40BCC" w:rsidRPr="00A17E64">
        <w:rPr>
          <w:rFonts w:ascii="Candara" w:eastAsia="Google Sans Text" w:hAnsi="Candara" w:cs="Google Sans Text"/>
          <w:color w:val="1B1C1D"/>
        </w:rPr>
        <w:t xml:space="preserve">a Convención Constitucional del año 2022, las dos propuestas de norma, tanto la del derecho a la vivienda digna y adecuada y la norma del derecho a la ciudad y el territorio, fueron deliberadas y votadas por el pleno, alcanzando una aprobación casi unánime, a pesar del clima de polarización que se vivía en ese entonces en el organismo que propondría una nueva carta magna. </w:t>
      </w:r>
    </w:p>
    <w:p w14:paraId="45839C6F" w14:textId="47F8F15F" w:rsidR="00B40BCC" w:rsidRPr="00A17E64" w:rsidRDefault="00D36329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Respecto al Derecho a la Vivienda y a la Ciudad, la organización Arquitectas y Arquitectos por un Chile Digno, con el apoyo de unos veinte convencionales, convocó a tres plebiscitos de manera telemática, a las cuales concurrieron unos 350 representantes de agrupaciones de pobladores de todo el país, hasta convenir la norma que fue presentada a la Convención Constitucional, siendo respaldada a través del sistema de participación ciudadana por más de 22.000 personas.</w:t>
      </w:r>
    </w:p>
    <w:p w14:paraId="66BB7CA8" w14:textId="2E61CA9D" w:rsidR="009536AD" w:rsidRPr="00A17E64" w:rsidRDefault="009536AD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A mayor abundamiento, la propuesta del derecho a la vivienda digna y adecuada, que estaba contenida en el artículo 51 de aquella propuesta constitucional, fue aprobada de la siguiente forma:</w:t>
      </w:r>
    </w:p>
    <w:p w14:paraId="5990DDE4" w14:textId="77777777" w:rsidR="009536AD" w:rsidRPr="009536AD" w:rsidRDefault="009536AD" w:rsidP="00A17E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9536AD">
        <w:rPr>
          <w:rFonts w:ascii="Candara" w:eastAsia="Google Sans Text" w:hAnsi="Candara" w:cs="Google Sans Text"/>
          <w:color w:val="1B1C1D"/>
        </w:rPr>
        <w:t xml:space="preserve">Respecto del inciso primero del artículo 51: de un total de 150 convencionales, votaron por el Sí 133 y votaron por el No 11. Hubo 6 abstenciones; </w:t>
      </w:r>
    </w:p>
    <w:p w14:paraId="259D4A13" w14:textId="424C1D92" w:rsidR="009536AD" w:rsidRPr="009536AD" w:rsidRDefault="009536AD" w:rsidP="00A17E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9536AD">
        <w:rPr>
          <w:rFonts w:ascii="Candara" w:eastAsia="Google Sans Text" w:hAnsi="Candara" w:cs="Google Sans Text"/>
          <w:color w:val="1B1C1D"/>
        </w:rPr>
        <w:t xml:space="preserve">Respecto del inciso segundo del artículo 51: de un total de 152 convencionales, votaron por el Sí 121 y votaron por el No 18. Hubo 13 abstenciones; </w:t>
      </w:r>
    </w:p>
    <w:p w14:paraId="1E2F7101" w14:textId="7FAB0AE2" w:rsidR="009536AD" w:rsidRPr="009536AD" w:rsidRDefault="009536AD" w:rsidP="00A17E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9536AD">
        <w:rPr>
          <w:rFonts w:ascii="Candara" w:eastAsia="Google Sans Text" w:hAnsi="Candara" w:cs="Google Sans Text"/>
          <w:color w:val="1B1C1D"/>
        </w:rPr>
        <w:lastRenderedPageBreak/>
        <w:t xml:space="preserve">Respecto del inciso tercero del artículo 51: de un total de 151 convencionales, votaron por el Sí 104 y votaron por el No 17. Hubo 30 abstenciones; </w:t>
      </w:r>
    </w:p>
    <w:p w14:paraId="1D0EEC63" w14:textId="67F9D684" w:rsidR="009536AD" w:rsidRPr="009536AD" w:rsidRDefault="009536AD" w:rsidP="00A17E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9536AD">
        <w:rPr>
          <w:rFonts w:ascii="Candara" w:eastAsia="Google Sans Text" w:hAnsi="Candara" w:cs="Google Sans Text"/>
          <w:color w:val="1B1C1D"/>
        </w:rPr>
        <w:t xml:space="preserve">Respecto del inciso cuarto del artículo 51: de un total de 151 convencionales, votaron por el Sí 122 y votaron por el No 8. Hubo 21 abstenciones; y, </w:t>
      </w:r>
    </w:p>
    <w:p w14:paraId="3146D4C5" w14:textId="0EE496FB" w:rsidR="009536AD" w:rsidRPr="00A17E64" w:rsidRDefault="009536AD" w:rsidP="00A17E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Respecto del inciso quinto del artículo 51: de un total de 152 convencionales, votaron por el Sí 108 y votaron por el No 31. Hubo 13 abstenciones.</w:t>
      </w:r>
    </w:p>
    <w:p w14:paraId="3872AAB4" w14:textId="3049DF2E" w:rsidR="009536AD" w:rsidRPr="00A17E64" w:rsidRDefault="009536AD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En cuanto al derecho a la ciudad y el territorio, que estaba contenido en el artículo 52 de la propuesta constitucional, la votación fue igualmente mayoritaria, quedando de la siguiente manera:</w:t>
      </w:r>
    </w:p>
    <w:p w14:paraId="096273FB" w14:textId="77777777" w:rsidR="009536AD" w:rsidRPr="009536AD" w:rsidRDefault="009536AD" w:rsidP="00A17E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9536AD">
        <w:rPr>
          <w:rFonts w:ascii="Candara" w:eastAsia="Google Sans Text" w:hAnsi="Candara" w:cs="Google Sans Text"/>
          <w:color w:val="1B1C1D"/>
        </w:rPr>
        <w:t xml:space="preserve">Respecto del inciso primero del artículo 52: de un total de 149 convencionales, votaron por el Sí 111 y votaron por el No 27. Hubo 11 abstenciones; </w:t>
      </w:r>
    </w:p>
    <w:p w14:paraId="21082693" w14:textId="18DA0CD1" w:rsidR="009536AD" w:rsidRPr="009536AD" w:rsidRDefault="009536AD" w:rsidP="00A17E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9536AD">
        <w:rPr>
          <w:rFonts w:ascii="Candara" w:eastAsia="Google Sans Text" w:hAnsi="Candara" w:cs="Google Sans Text"/>
          <w:color w:val="1B1C1D"/>
        </w:rPr>
        <w:t xml:space="preserve">Respecto del inciso segundo del artículo 52: de un total de 148 convencionales, votaron por el Sí 117 y votaron por el No 14. Hubo 17 abstenciones; </w:t>
      </w:r>
    </w:p>
    <w:p w14:paraId="6B7A35CE" w14:textId="77E87793" w:rsidR="009536AD" w:rsidRPr="009536AD" w:rsidRDefault="009536AD" w:rsidP="00A17E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9536AD">
        <w:rPr>
          <w:rFonts w:ascii="Candara" w:eastAsia="Google Sans Text" w:hAnsi="Candara" w:cs="Google Sans Text"/>
          <w:color w:val="1B1C1D"/>
        </w:rPr>
        <w:t xml:space="preserve">Respecto del inciso cuarto del artículo 52: de un total de 150 convencionales, vota ron por el Sí 112 y votaron por el No 22. Hubo 16 abstenciones; y, </w:t>
      </w:r>
    </w:p>
    <w:p w14:paraId="3036FD29" w14:textId="39283BF8" w:rsidR="009536AD" w:rsidRPr="00A17E64" w:rsidRDefault="009536AD" w:rsidP="00A17E6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Respecto del inciso quinto del artículo 52: de un total de 151 convencionales, vota ron por el Sí 124 y votaron por el No 1. Hubo 26 abstenciones.</w:t>
      </w:r>
    </w:p>
    <w:p w14:paraId="5946606A" w14:textId="77777777" w:rsidR="00FE2EA2" w:rsidRPr="00A17E64" w:rsidRDefault="00FE2EA2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</w:p>
    <w:p w14:paraId="69E0C278" w14:textId="7DDB337D" w:rsidR="00FE2EA2" w:rsidRPr="00A17E64" w:rsidRDefault="00FE2EA2" w:rsidP="00A17E6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Idea Matriz</w:t>
      </w:r>
    </w:p>
    <w:p w14:paraId="1A246DB9" w14:textId="38A5C897" w:rsidR="009E0FE6" w:rsidRDefault="00D968A9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El presente proyecto de reforma constitucional tiene por idea matriz el reconocer el derecho a la vivienda digna y adecuada y el derecho a la ciudad y el territorio.</w:t>
      </w:r>
    </w:p>
    <w:p w14:paraId="4B0D15A9" w14:textId="77777777" w:rsidR="009E0FE6" w:rsidRPr="00A17E64" w:rsidRDefault="009E0FE6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</w:p>
    <w:p w14:paraId="0A71990D" w14:textId="3EC3844C" w:rsidR="00D968A9" w:rsidRPr="00A17E64" w:rsidRDefault="00D968A9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Por tanto, los diputados abajo firmantes, venimos en presentar la siguiente:</w:t>
      </w:r>
    </w:p>
    <w:p w14:paraId="7FC889BF" w14:textId="77777777" w:rsidR="009E0FE6" w:rsidRDefault="009E0FE6" w:rsidP="00A17E64">
      <w:pPr>
        <w:spacing w:line="360" w:lineRule="auto"/>
        <w:jc w:val="center"/>
        <w:rPr>
          <w:rFonts w:ascii="Candara" w:eastAsia="Google Sans Text" w:hAnsi="Candara" w:cs="Google Sans Text"/>
          <w:color w:val="1B1C1D"/>
        </w:rPr>
      </w:pPr>
    </w:p>
    <w:p w14:paraId="29FC02EA" w14:textId="111C251D" w:rsidR="00D968A9" w:rsidRPr="003871E7" w:rsidRDefault="00D968A9" w:rsidP="00A17E64">
      <w:pPr>
        <w:spacing w:line="360" w:lineRule="auto"/>
        <w:jc w:val="center"/>
        <w:rPr>
          <w:rFonts w:ascii="Candara" w:eastAsia="Google Sans Text" w:hAnsi="Candara" w:cs="Google Sans Text"/>
          <w:b/>
          <w:bCs/>
          <w:color w:val="1B1C1D"/>
        </w:rPr>
      </w:pPr>
      <w:r w:rsidRPr="003871E7">
        <w:rPr>
          <w:rFonts w:ascii="Candara" w:eastAsia="Google Sans Text" w:hAnsi="Candara" w:cs="Google Sans Text"/>
          <w:b/>
          <w:bCs/>
          <w:color w:val="1B1C1D"/>
        </w:rPr>
        <w:t>REFORMA CONSTITUCIONAL</w:t>
      </w:r>
    </w:p>
    <w:p w14:paraId="5C664745" w14:textId="1183202F" w:rsidR="00FE2EA2" w:rsidRPr="003871E7" w:rsidRDefault="00117704" w:rsidP="00A17E64">
      <w:pPr>
        <w:spacing w:line="360" w:lineRule="auto"/>
        <w:jc w:val="both"/>
        <w:rPr>
          <w:rFonts w:ascii="Candara" w:eastAsia="Google Sans Text" w:hAnsi="Candara" w:cs="Google Sans Text"/>
          <w:b/>
          <w:bCs/>
          <w:color w:val="1B1C1D"/>
        </w:rPr>
      </w:pPr>
      <w:r w:rsidRPr="003871E7">
        <w:rPr>
          <w:rFonts w:ascii="Candara" w:eastAsia="Google Sans Text" w:hAnsi="Candara" w:cs="Google Sans Text"/>
          <w:b/>
          <w:bCs/>
          <w:color w:val="1B1C1D"/>
        </w:rPr>
        <w:t>Artículo único.-</w:t>
      </w:r>
    </w:p>
    <w:p w14:paraId="4FE4E413" w14:textId="2E4E2CDF" w:rsidR="00117704" w:rsidRPr="00A17E64" w:rsidRDefault="00117704" w:rsidP="00A17E64">
      <w:p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 xml:space="preserve">Modifíquese </w:t>
      </w:r>
      <w:r w:rsidR="003871E7">
        <w:rPr>
          <w:rFonts w:ascii="Candara" w:eastAsia="Google Sans Text" w:hAnsi="Candara" w:cs="Google Sans Text"/>
          <w:color w:val="1B1C1D"/>
        </w:rPr>
        <w:t xml:space="preserve">el Decreto N° 100 de 2005, que Fija el Texto Refundido, Coordinado y Sistematizado de la </w:t>
      </w:r>
      <w:r w:rsidRPr="00A17E64">
        <w:rPr>
          <w:rFonts w:ascii="Candara" w:eastAsia="Google Sans Text" w:hAnsi="Candara" w:cs="Google Sans Text"/>
          <w:color w:val="1B1C1D"/>
        </w:rPr>
        <w:t>Constitución Política de la República de Chile, de la siguiente manera:</w:t>
      </w:r>
    </w:p>
    <w:p w14:paraId="40C5CF2B" w14:textId="4B5957C7" w:rsidR="00117704" w:rsidRPr="00A17E64" w:rsidRDefault="00AC311C" w:rsidP="00A17E6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lastRenderedPageBreak/>
        <w:t>Agréguese un nuevo numeral 9° bis</w:t>
      </w:r>
      <w:r w:rsidR="009E0FE6">
        <w:rPr>
          <w:rFonts w:ascii="Candara" w:eastAsia="Google Sans Text" w:hAnsi="Candara" w:cs="Google Sans Text"/>
          <w:color w:val="1B1C1D"/>
        </w:rPr>
        <w:t xml:space="preserve"> </w:t>
      </w:r>
      <w:r w:rsidRPr="00A17E64">
        <w:rPr>
          <w:rFonts w:ascii="Candara" w:eastAsia="Google Sans Text" w:hAnsi="Candara" w:cs="Google Sans Text"/>
          <w:color w:val="1B1C1D"/>
        </w:rPr>
        <w:t>en el artículo 19 de la Constitución Política de la República, del siguiente tenor:</w:t>
      </w:r>
    </w:p>
    <w:p w14:paraId="7FF20E44" w14:textId="5C78DB41" w:rsidR="00AC311C" w:rsidRPr="00A17E64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“9° bis. El derecho a una vivienda digna y adecuada.</w:t>
      </w:r>
    </w:p>
    <w:p w14:paraId="1F928C02" w14:textId="77777777" w:rsidR="00AC311C" w:rsidRPr="00AC311C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C311C">
        <w:rPr>
          <w:rFonts w:ascii="Candara" w:eastAsia="Google Sans Text" w:hAnsi="Candara" w:cs="Google Sans Text"/>
          <w:color w:val="1B1C1D"/>
        </w:rPr>
        <w:t xml:space="preserve">Toda persona tiene el derecho a una vivienda digna y adecuada, que permita el libre desarrollo de una vida personal, familiar y comunitaria. </w:t>
      </w:r>
    </w:p>
    <w:p w14:paraId="5411F334" w14:textId="508B9713" w:rsidR="00AC311C" w:rsidRPr="00AC311C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C311C">
        <w:rPr>
          <w:rFonts w:ascii="Candara" w:eastAsia="Google Sans Text" w:hAnsi="Candara" w:cs="Google Sans Text"/>
          <w:color w:val="1B1C1D"/>
        </w:rPr>
        <w:t xml:space="preserve">El Estado tomará las medidas necesarias para asegurar su goce universal y oportuno, contemplando, a lo menos, la habitabilidad, el espacio y equipamiento suficientes, doméstico y comunitario, para la producción y reproducción de la vida, la disponibilidad de servicios, la asequibilidad, la accesibilidad, la ubicación apropiada, la seguridad de la tenencia y la pertinencia cultural de las viviendas, conforme a la ley. </w:t>
      </w:r>
    </w:p>
    <w:p w14:paraId="4FAC00DC" w14:textId="126070D0" w:rsidR="00AC311C" w:rsidRPr="00AC311C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C311C">
        <w:rPr>
          <w:rFonts w:ascii="Candara" w:eastAsia="Google Sans Text" w:hAnsi="Candara" w:cs="Google Sans Text"/>
          <w:color w:val="1B1C1D"/>
        </w:rPr>
        <w:t xml:space="preserve">El Estado podrá participar en el diseño, la construcción, la rehabilitación, la conservación y la innovación de la vivienda. Considerará particularmente en el diseño de las políticas de vivienda a personas con bajos ingresos económicos o pertenecientes a grupos de especial protección. </w:t>
      </w:r>
    </w:p>
    <w:p w14:paraId="14A9D223" w14:textId="155AFB6D" w:rsidR="00AC311C" w:rsidRPr="00AC311C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C311C">
        <w:rPr>
          <w:rFonts w:ascii="Candara" w:eastAsia="Google Sans Text" w:hAnsi="Candara" w:cs="Google Sans Text"/>
          <w:color w:val="1B1C1D"/>
        </w:rPr>
        <w:t xml:space="preserve">El Estado garantiza la creación de viviendas de acogida en casos de violencia de género y otras formas de vulneración de derechos, según determine la ley. </w:t>
      </w:r>
    </w:p>
    <w:p w14:paraId="098BDC92" w14:textId="033FFB21" w:rsidR="00AC311C" w:rsidRPr="00A17E64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El Estado garantiza la disponibilidad del suelo necesario para la provisión de vivienda digna y adecuada. Administra un Sistema Integrado de Suelos Públicos con facultades de priorización de uso, de gestión y disposición de terrenos fiscales para fines de interés social, y de adquisición de terrenos privados, conforme a la ley. Asimismo, establecerá mecanismos para impedir la especulación en materia de suelo y vivienda que vaya en desmedro del interés público, de conformidad con la ley.”</w:t>
      </w:r>
    </w:p>
    <w:p w14:paraId="1BAAE0C3" w14:textId="16B57D9B" w:rsidR="00AC311C" w:rsidRPr="00A17E64" w:rsidRDefault="00AC311C" w:rsidP="00A17E6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Agréguese un nuevo numeral 9° ter en el artículo 19 de la Constitución Política de la República, del siguiente tenor:</w:t>
      </w:r>
    </w:p>
    <w:p w14:paraId="60061C03" w14:textId="682BBA82" w:rsidR="00AC311C" w:rsidRPr="00A17E64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“9° ter. El derecho a la ciudad y al territorio.</w:t>
      </w:r>
    </w:p>
    <w:p w14:paraId="00F07C0D" w14:textId="77777777" w:rsidR="00AC311C" w:rsidRPr="00AC311C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C311C">
        <w:rPr>
          <w:rFonts w:ascii="Candara" w:eastAsia="Google Sans Text" w:hAnsi="Candara" w:cs="Google Sans Text"/>
          <w:color w:val="1B1C1D"/>
        </w:rPr>
        <w:t xml:space="preserve">El derecho a la ciudad y al territorio es un derecho colectivo orientado al bien común y se basa en el ejercicio pleno de los derechos humanos en el territorio, en su gestión democrática y en la función social y ecológica de la propiedad. </w:t>
      </w:r>
    </w:p>
    <w:p w14:paraId="24D3ABE8" w14:textId="7B9DDD0A" w:rsidR="00AC311C" w:rsidRPr="00AC311C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C311C">
        <w:rPr>
          <w:rFonts w:ascii="Candara" w:eastAsia="Google Sans Text" w:hAnsi="Candara" w:cs="Google Sans Text"/>
          <w:color w:val="1B1C1D"/>
        </w:rPr>
        <w:t xml:space="preserve">En virtud de ello, toda persona tiene derecho a habitar, producir, gozar y participar en ciudades y asentamientos humanos libres de violencia y en condiciones apropiadas para una vida digna. </w:t>
      </w:r>
    </w:p>
    <w:p w14:paraId="6776AB10" w14:textId="6CD7884C" w:rsidR="00AC311C" w:rsidRPr="00AC311C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C311C">
        <w:rPr>
          <w:rFonts w:ascii="Candara" w:eastAsia="Google Sans Text" w:hAnsi="Candara" w:cs="Google Sans Text"/>
          <w:color w:val="1B1C1D"/>
        </w:rPr>
        <w:lastRenderedPageBreak/>
        <w:t xml:space="preserve">Es deber del Estado ordenar, planificar y gestionar los territorios, las ciudades y los asentamientos humanos; así como establecer reglas de uso y transformación del suelo, de acuerdo con el interés general, la equidad territorial, sostenibilidad y accesibilidad universal. </w:t>
      </w:r>
    </w:p>
    <w:p w14:paraId="4E8D6A9A" w14:textId="6FC93952" w:rsidR="00AC311C" w:rsidRPr="00AC311C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C311C">
        <w:rPr>
          <w:rFonts w:ascii="Candara" w:eastAsia="Google Sans Text" w:hAnsi="Candara" w:cs="Google Sans Text"/>
          <w:color w:val="1B1C1D"/>
        </w:rPr>
        <w:t xml:space="preserve">El Estado garantiza la protección y el acceso equitativo a servicios básicos, bienes y espacios públicos; la movilidad segura y sustentable; la conectividad y seguridad vial. Asimismo, promueve la integración socio espacial y participa en la plusvalía que genere su acción urbanística o regulatoria. </w:t>
      </w:r>
    </w:p>
    <w:p w14:paraId="2006EFD1" w14:textId="7FFD631E" w:rsidR="00AC311C" w:rsidRPr="00A17E64" w:rsidRDefault="00AC311C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  <w:r w:rsidRPr="00A17E64">
        <w:rPr>
          <w:rFonts w:ascii="Candara" w:eastAsia="Google Sans Text" w:hAnsi="Candara" w:cs="Google Sans Text"/>
          <w:color w:val="1B1C1D"/>
        </w:rPr>
        <w:t>El Estado garantiza la participación de la comunidad en los procesos de planificación territorial y políticas habitacionales. Asimismo, promueve y apoya la gestión comunitaria del hábitat</w:t>
      </w:r>
      <w:r w:rsidR="00A17E64" w:rsidRPr="00A17E64">
        <w:rPr>
          <w:rFonts w:ascii="Candara" w:eastAsia="Google Sans Text" w:hAnsi="Candara" w:cs="Google Sans Text"/>
          <w:color w:val="1B1C1D"/>
        </w:rPr>
        <w:t>.”</w:t>
      </w:r>
    </w:p>
    <w:p w14:paraId="70587C1E" w14:textId="77777777" w:rsidR="00A17E64" w:rsidRPr="00A17E64" w:rsidRDefault="00A17E64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</w:p>
    <w:p w14:paraId="13A4D4B7" w14:textId="77777777" w:rsidR="00A17E64" w:rsidRPr="00A17E64" w:rsidRDefault="00A17E64" w:rsidP="00A17E64">
      <w:pPr>
        <w:pStyle w:val="Prrafodelista"/>
        <w:spacing w:line="360" w:lineRule="auto"/>
        <w:jc w:val="both"/>
        <w:rPr>
          <w:rFonts w:ascii="Candara" w:eastAsia="Google Sans Text" w:hAnsi="Candara" w:cs="Google Sans Text"/>
          <w:color w:val="1B1C1D"/>
        </w:rPr>
      </w:pPr>
    </w:p>
    <w:p w14:paraId="394CBD25" w14:textId="77777777" w:rsidR="00A17E64" w:rsidRPr="00A17E64" w:rsidRDefault="00A17E64" w:rsidP="00A17E64">
      <w:pPr>
        <w:pStyle w:val="Prrafodelista"/>
        <w:spacing w:line="360" w:lineRule="auto"/>
        <w:jc w:val="center"/>
        <w:rPr>
          <w:rFonts w:ascii="Candara" w:eastAsia="Google Sans Text" w:hAnsi="Candara" w:cs="Google Sans Text"/>
          <w:color w:val="1B1C1D"/>
        </w:rPr>
      </w:pPr>
    </w:p>
    <w:p w14:paraId="5550FD86" w14:textId="77777777" w:rsidR="00A17E64" w:rsidRPr="00A17E64" w:rsidRDefault="00A17E64" w:rsidP="00A17E64">
      <w:pPr>
        <w:pStyle w:val="Prrafodelista"/>
        <w:spacing w:line="360" w:lineRule="auto"/>
        <w:jc w:val="center"/>
        <w:rPr>
          <w:rFonts w:ascii="Candara" w:eastAsia="Google Sans Text" w:hAnsi="Candara" w:cs="Google Sans Text"/>
          <w:color w:val="1B1C1D"/>
        </w:rPr>
      </w:pPr>
    </w:p>
    <w:p w14:paraId="647FF2D7" w14:textId="3BCBE5B6" w:rsidR="00A17E64" w:rsidRPr="00A17E64" w:rsidRDefault="00A17E64" w:rsidP="00A17E64">
      <w:pPr>
        <w:pStyle w:val="Prrafodelista"/>
        <w:spacing w:line="360" w:lineRule="auto"/>
        <w:jc w:val="center"/>
        <w:rPr>
          <w:rFonts w:ascii="Candara" w:eastAsia="Google Sans Text" w:hAnsi="Candara" w:cs="Google Sans Text"/>
          <w:b/>
          <w:bCs/>
          <w:color w:val="1B1C1D"/>
        </w:rPr>
      </w:pPr>
      <w:r w:rsidRPr="00A17E64">
        <w:rPr>
          <w:rFonts w:ascii="Candara" w:eastAsia="Google Sans Text" w:hAnsi="Candara" w:cs="Google Sans Text"/>
          <w:b/>
          <w:bCs/>
          <w:color w:val="1B1C1D"/>
        </w:rPr>
        <w:t>TOMÁS HIRSCH GOLDSCHMIDT</w:t>
      </w:r>
    </w:p>
    <w:p w14:paraId="44F0C861" w14:textId="00960BA2" w:rsidR="00A17E64" w:rsidRPr="00A17E64" w:rsidRDefault="00A17E64" w:rsidP="00A17E64">
      <w:pPr>
        <w:pStyle w:val="Prrafodelista"/>
        <w:spacing w:line="360" w:lineRule="auto"/>
        <w:jc w:val="center"/>
        <w:rPr>
          <w:rFonts w:ascii="Candara" w:eastAsia="Google Sans Text" w:hAnsi="Candara" w:cs="Google Sans Text"/>
          <w:b/>
          <w:bCs/>
          <w:color w:val="1B1C1D"/>
        </w:rPr>
      </w:pPr>
      <w:r w:rsidRPr="00A17E64">
        <w:rPr>
          <w:rFonts w:ascii="Candara" w:eastAsia="Google Sans Text" w:hAnsi="Candara" w:cs="Google Sans Text"/>
          <w:b/>
          <w:bCs/>
          <w:color w:val="1B1C1D"/>
        </w:rPr>
        <w:t>DIPUTADO DE LA REPÚBLICA</w:t>
      </w:r>
    </w:p>
    <w:p w14:paraId="67CDE373" w14:textId="2FDDBCEB" w:rsidR="00A17E64" w:rsidRPr="00A17E64" w:rsidRDefault="00A17E64" w:rsidP="00A17E64">
      <w:pPr>
        <w:pStyle w:val="Prrafodelista"/>
        <w:spacing w:line="360" w:lineRule="auto"/>
        <w:jc w:val="center"/>
        <w:rPr>
          <w:rFonts w:ascii="Candara" w:eastAsia="Google Sans Text" w:hAnsi="Candara" w:cs="Google Sans Text"/>
          <w:b/>
          <w:bCs/>
          <w:color w:val="1B1C1D"/>
        </w:rPr>
      </w:pPr>
      <w:r w:rsidRPr="00A17E64">
        <w:rPr>
          <w:rFonts w:ascii="Candara" w:eastAsia="Google Sans Text" w:hAnsi="Candara" w:cs="Google Sans Text"/>
          <w:b/>
          <w:bCs/>
          <w:color w:val="1B1C1D"/>
        </w:rPr>
        <w:t>DISTRITO 11</w:t>
      </w:r>
    </w:p>
    <w:sectPr w:rsidR="00A17E64" w:rsidRPr="00A17E64" w:rsidSect="003D3604">
      <w:pgSz w:w="12240" w:h="15840" w:code="1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CE72" w14:textId="77777777" w:rsidR="00D70404" w:rsidRDefault="00D70404" w:rsidP="004150A0">
      <w:pPr>
        <w:spacing w:after="0" w:line="240" w:lineRule="auto"/>
      </w:pPr>
      <w:r>
        <w:separator/>
      </w:r>
    </w:p>
  </w:endnote>
  <w:endnote w:type="continuationSeparator" w:id="0">
    <w:p w14:paraId="5AB14CD4" w14:textId="77777777" w:rsidR="00D70404" w:rsidRDefault="00D70404" w:rsidP="0041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 Sans Tex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D32BE" w14:textId="77777777" w:rsidR="00D70404" w:rsidRDefault="00D70404" w:rsidP="004150A0">
      <w:pPr>
        <w:spacing w:after="0" w:line="240" w:lineRule="auto"/>
      </w:pPr>
      <w:r>
        <w:separator/>
      </w:r>
    </w:p>
  </w:footnote>
  <w:footnote w:type="continuationSeparator" w:id="0">
    <w:p w14:paraId="6B0BC0ED" w14:textId="77777777" w:rsidR="00D70404" w:rsidRDefault="00D70404" w:rsidP="004150A0">
      <w:pPr>
        <w:spacing w:after="0" w:line="240" w:lineRule="auto"/>
      </w:pPr>
      <w:r>
        <w:continuationSeparator/>
      </w:r>
    </w:p>
  </w:footnote>
  <w:footnote w:id="1">
    <w:p w14:paraId="6D406CD1" w14:textId="49206DC5" w:rsidR="004150A0" w:rsidRPr="004150A0" w:rsidRDefault="004150A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150A0">
        <w:t>https://www.un.org/es/about-us/universal-declaration-of-human-rights</w:t>
      </w:r>
    </w:p>
  </w:footnote>
  <w:footnote w:id="2">
    <w:p w14:paraId="03273543" w14:textId="40F02E89" w:rsidR="004150A0" w:rsidRPr="004150A0" w:rsidRDefault="004150A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150A0">
        <w:t>https://www.ohchr.org/sites/default/files/cescr_SP.pdf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5CC"/>
    <w:multiLevelType w:val="hybridMultilevel"/>
    <w:tmpl w:val="6DD646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DF4"/>
    <w:multiLevelType w:val="hybridMultilevel"/>
    <w:tmpl w:val="CB2AAF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5C3E"/>
    <w:multiLevelType w:val="hybridMultilevel"/>
    <w:tmpl w:val="89504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D0A2E"/>
    <w:multiLevelType w:val="hybridMultilevel"/>
    <w:tmpl w:val="A63029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44183"/>
    <w:multiLevelType w:val="hybridMultilevel"/>
    <w:tmpl w:val="07602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7615">
    <w:abstractNumId w:val="3"/>
  </w:num>
  <w:num w:numId="2" w16cid:durableId="503784981">
    <w:abstractNumId w:val="1"/>
  </w:num>
  <w:num w:numId="3" w16cid:durableId="156504982">
    <w:abstractNumId w:val="2"/>
  </w:num>
  <w:num w:numId="4" w16cid:durableId="1044019806">
    <w:abstractNumId w:val="4"/>
  </w:num>
  <w:num w:numId="5" w16cid:durableId="103114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68"/>
    <w:rsid w:val="000767AD"/>
    <w:rsid w:val="0008575C"/>
    <w:rsid w:val="000C221B"/>
    <w:rsid w:val="000E55B3"/>
    <w:rsid w:val="00114FAC"/>
    <w:rsid w:val="00117704"/>
    <w:rsid w:val="001E0193"/>
    <w:rsid w:val="00210168"/>
    <w:rsid w:val="002C1B65"/>
    <w:rsid w:val="003666D3"/>
    <w:rsid w:val="003871E7"/>
    <w:rsid w:val="003A6A2F"/>
    <w:rsid w:val="003D3604"/>
    <w:rsid w:val="003F6BC8"/>
    <w:rsid w:val="00406BBF"/>
    <w:rsid w:val="004150A0"/>
    <w:rsid w:val="004625FF"/>
    <w:rsid w:val="0047010F"/>
    <w:rsid w:val="00476B20"/>
    <w:rsid w:val="005B17E3"/>
    <w:rsid w:val="005B3CA7"/>
    <w:rsid w:val="005C79F7"/>
    <w:rsid w:val="005F697C"/>
    <w:rsid w:val="00667C63"/>
    <w:rsid w:val="00754682"/>
    <w:rsid w:val="008F6377"/>
    <w:rsid w:val="009536AD"/>
    <w:rsid w:val="009904D8"/>
    <w:rsid w:val="009D575A"/>
    <w:rsid w:val="009E0FE6"/>
    <w:rsid w:val="00A010F9"/>
    <w:rsid w:val="00A17E64"/>
    <w:rsid w:val="00A46103"/>
    <w:rsid w:val="00AA5C0B"/>
    <w:rsid w:val="00AC311C"/>
    <w:rsid w:val="00B40BCC"/>
    <w:rsid w:val="00B60376"/>
    <w:rsid w:val="00B966EB"/>
    <w:rsid w:val="00D36329"/>
    <w:rsid w:val="00D66ED9"/>
    <w:rsid w:val="00D70404"/>
    <w:rsid w:val="00D968A9"/>
    <w:rsid w:val="00DE0BAD"/>
    <w:rsid w:val="00E0731A"/>
    <w:rsid w:val="00F13467"/>
    <w:rsid w:val="00F20E2E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D700"/>
  <w15:chartTrackingRefBased/>
  <w15:docId w15:val="{9EE67BC1-01E6-4011-9B14-F95E06A1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0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0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0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0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0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1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1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01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01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01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01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0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0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01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01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01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01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0168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50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50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50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FB23-3662-4210-B227-2A17AF34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2455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Javier Méndez Mujica</dc:creator>
  <cp:keywords/>
  <dc:description/>
  <cp:lastModifiedBy>Guillermo Diaz Vallejos</cp:lastModifiedBy>
  <cp:revision>1</cp:revision>
  <dcterms:created xsi:type="dcterms:W3CDTF">2025-07-21T01:49:00Z</dcterms:created>
  <dcterms:modified xsi:type="dcterms:W3CDTF">2025-08-11T23:46:00Z</dcterms:modified>
</cp:coreProperties>
</file>