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8FD" w:rsidRDefault="00000000">
      <w:pPr>
        <w:spacing w:before="115" w:line="278" w:lineRule="auto"/>
        <w:ind w:left="23" w:right="38"/>
        <w:jc w:val="both"/>
        <w:rPr>
          <w:b/>
          <w:sz w:val="24"/>
        </w:rPr>
      </w:pPr>
      <w:bookmarkStart w:id="0" w:name="PROYECTO_DE_LEY_QUE_FORTALECE_LAS_FACULT"/>
      <w:bookmarkEnd w:id="0"/>
      <w:r>
        <w:rPr>
          <w:b/>
          <w:sz w:val="24"/>
        </w:rPr>
        <w:t>PROYECTO DE LEY QUE FORTALECE LAS FACULTADES FISCALIZADORAS Y DISCIPLINARIAS DE LA CONTRALORÍA GENERAL DE LA REPÚBLICA, PARA GARANTIZAR LA EFECTIVA OBSERVANCIA DE LOS PRINCIPIOS DE RESPONSABILIDAD, EFICIENCIA, PROBIDAD Y TRANSPARENCIA EN LA ADMINISTRACIÓN DEL ESTADO.</w:t>
      </w:r>
    </w:p>
    <w:p w:rsidR="003A48FD" w:rsidRDefault="003A48FD">
      <w:pPr>
        <w:pStyle w:val="Textoindependiente"/>
        <w:spacing w:before="89"/>
        <w:rPr>
          <w:b/>
        </w:rPr>
      </w:pPr>
    </w:p>
    <w:p w:rsidR="003A48FD" w:rsidRDefault="00000000">
      <w:pPr>
        <w:pStyle w:val="Prrafodelista"/>
        <w:numPr>
          <w:ilvl w:val="0"/>
          <w:numId w:val="1"/>
        </w:numPr>
        <w:tabs>
          <w:tab w:val="left" w:pos="742"/>
        </w:tabs>
        <w:spacing w:before="1"/>
        <w:ind w:left="742" w:hanging="506"/>
        <w:jc w:val="left"/>
        <w:rPr>
          <w:b/>
          <w:sz w:val="24"/>
        </w:rPr>
      </w:pPr>
      <w:bookmarkStart w:id="1" w:name="I.​ANTECEDENTES._"/>
      <w:bookmarkEnd w:id="1"/>
      <w:r>
        <w:rPr>
          <w:b/>
          <w:spacing w:val="-2"/>
          <w:sz w:val="24"/>
        </w:rPr>
        <w:t>ANTECEDENTES.</w:t>
      </w:r>
    </w:p>
    <w:p w:rsidR="003A48FD" w:rsidRDefault="003A48FD">
      <w:pPr>
        <w:pStyle w:val="Textoindependiente"/>
        <w:spacing w:before="169"/>
        <w:rPr>
          <w:b/>
        </w:rPr>
      </w:pPr>
    </w:p>
    <w:p w:rsidR="003A48FD" w:rsidRDefault="00000000">
      <w:pPr>
        <w:pStyle w:val="Textoindependiente"/>
        <w:spacing w:line="417" w:lineRule="auto"/>
        <w:ind w:left="23" w:right="38" w:firstLine="720"/>
        <w:jc w:val="both"/>
      </w:pPr>
      <w:r>
        <w:t>Durante</w:t>
      </w:r>
      <w:r>
        <w:rPr>
          <w:spacing w:val="-1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especial,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administración,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revelado</w:t>
      </w:r>
      <w:r>
        <w:rPr>
          <w:spacing w:val="-15"/>
        </w:rPr>
        <w:t xml:space="preserve"> </w:t>
      </w:r>
      <w:r>
        <w:t>graves deficiencias que afectan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pública.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falencias,</w:t>
      </w:r>
      <w:r>
        <w:rPr>
          <w:spacing w:val="-7"/>
        </w:rPr>
        <w:t xml:space="preserve"> </w:t>
      </w:r>
      <w:r>
        <w:t xml:space="preserve">derivadas </w:t>
      </w:r>
      <w:r>
        <w:rPr>
          <w:spacing w:val="-2"/>
        </w:rPr>
        <w:t>de acciones u omisiones inaceptables de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autoridades</w:t>
      </w:r>
      <w:r>
        <w:rPr>
          <w:spacing w:val="-12"/>
        </w:rPr>
        <w:t xml:space="preserve"> </w:t>
      </w:r>
      <w:r>
        <w:rPr>
          <w:spacing w:val="-2"/>
        </w:rPr>
        <w:t>políticas,</w:t>
      </w:r>
      <w:r>
        <w:rPr>
          <w:spacing w:val="-12"/>
        </w:rPr>
        <w:t xml:space="preserve"> </w:t>
      </w:r>
      <w:r>
        <w:rPr>
          <w:spacing w:val="-2"/>
        </w:rPr>
        <w:t>administrativas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 xml:space="preserve">servidores </w:t>
      </w:r>
      <w:r>
        <w:t>públicos en general, han sido detectadas, principalmente, a través de auditorías realizadas por la Contraloría General de la República (CGR).</w:t>
      </w:r>
    </w:p>
    <w:p w:rsidR="003A48FD" w:rsidRDefault="00000000">
      <w:pPr>
        <w:pStyle w:val="Textoindependiente"/>
        <w:spacing w:before="240"/>
        <w:ind w:left="743"/>
        <w:jc w:val="both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modo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ejemplo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sin</w:t>
      </w:r>
      <w:r>
        <w:rPr>
          <w:spacing w:val="-12"/>
        </w:rPr>
        <w:t xml:space="preserve"> </w:t>
      </w:r>
      <w:r>
        <w:rPr>
          <w:spacing w:val="-2"/>
        </w:rPr>
        <w:t>perjuicio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otros</w:t>
      </w:r>
      <w:r>
        <w:rPr>
          <w:spacing w:val="-11"/>
        </w:rPr>
        <w:t xml:space="preserve"> </w:t>
      </w:r>
      <w:r>
        <w:rPr>
          <w:spacing w:val="-2"/>
        </w:rPr>
        <w:t>casos,</w:t>
      </w:r>
      <w:r>
        <w:rPr>
          <w:spacing w:val="-12"/>
        </w:rPr>
        <w:t xml:space="preserve"> </w:t>
      </w:r>
      <w:r>
        <w:rPr>
          <w:spacing w:val="-2"/>
        </w:rPr>
        <w:t>figuran:</w:t>
      </w:r>
    </w:p>
    <w:p w:rsidR="003A48FD" w:rsidRDefault="003A48FD">
      <w:pPr>
        <w:pStyle w:val="Textoindependiente"/>
        <w:spacing w:before="170"/>
      </w:pPr>
    </w:p>
    <w:p w:rsidR="003A48FD" w:rsidRDefault="00000000">
      <w:pPr>
        <w:pStyle w:val="Prrafodelista"/>
        <w:numPr>
          <w:ilvl w:val="1"/>
          <w:numId w:val="1"/>
        </w:numPr>
        <w:tabs>
          <w:tab w:val="left" w:pos="743"/>
        </w:tabs>
        <w:spacing w:line="417" w:lineRule="auto"/>
        <w:ind w:right="43"/>
        <w:jc w:val="both"/>
        <w:rPr>
          <w:sz w:val="24"/>
        </w:rPr>
      </w:pPr>
      <w:r>
        <w:rPr>
          <w:b/>
          <w:sz w:val="24"/>
        </w:rPr>
        <w:t>El denominado “Caso Convenios”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República</w:t>
      </w:r>
      <w:r>
        <w:rPr>
          <w:spacing w:val="-8"/>
          <w:sz w:val="24"/>
        </w:rPr>
        <w:t xml:space="preserve"> </w:t>
      </w:r>
      <w:r>
        <w:rPr>
          <w:sz w:val="24"/>
        </w:rPr>
        <w:t>detectó</w:t>
      </w:r>
      <w:r>
        <w:rPr>
          <w:spacing w:val="-8"/>
          <w:sz w:val="24"/>
        </w:rPr>
        <w:t xml:space="preserve"> </w:t>
      </w:r>
      <w:r>
        <w:rPr>
          <w:sz w:val="24"/>
        </w:rPr>
        <w:t>una serie de traspasos irregulares de recursos tanto del Ministerio de Vivienda y Urbanismo como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Gobiernos</w:t>
      </w:r>
      <w:r>
        <w:rPr>
          <w:spacing w:val="-1"/>
          <w:sz w:val="24"/>
        </w:rPr>
        <w:t xml:space="preserve"> </w:t>
      </w:r>
      <w:r>
        <w:rPr>
          <w:sz w:val="24"/>
        </w:rPr>
        <w:t>Regionales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privadas.</w:t>
      </w:r>
      <w:r>
        <w:rPr>
          <w:sz w:val="24"/>
          <w:vertAlign w:val="superscript"/>
        </w:rPr>
        <w:t>1</w:t>
      </w:r>
    </w:p>
    <w:p w:rsidR="003A48FD" w:rsidRDefault="00000000">
      <w:pPr>
        <w:pStyle w:val="Textoindependiente"/>
        <w:spacing w:before="240" w:line="417" w:lineRule="auto"/>
        <w:ind w:left="743" w:right="47"/>
        <w:jc w:val="both"/>
      </w:pPr>
      <w:r>
        <w:t>En junio de 2024, la Fiscalía informó que el monto investigado en el “Caso</w:t>
      </w:r>
      <w:r>
        <w:rPr>
          <w:spacing w:val="-4"/>
        </w:rPr>
        <w:t xml:space="preserve"> </w:t>
      </w:r>
      <w:r>
        <w:t>Convenios” ascendía a $89.961 millones, defraudados mediante contratos con fundaciones por parte del Ministerio de Vivienda y Urbanismo y de los Gobiernos Regionales.</w:t>
      </w:r>
      <w:r>
        <w:rPr>
          <w:vertAlign w:val="superscript"/>
        </w:rPr>
        <w:t>2</w:t>
      </w:r>
    </w:p>
    <w:p w:rsidR="003A48FD" w:rsidRDefault="00000000">
      <w:pPr>
        <w:pStyle w:val="Prrafodelista"/>
        <w:numPr>
          <w:ilvl w:val="1"/>
          <w:numId w:val="1"/>
        </w:numPr>
        <w:tabs>
          <w:tab w:val="left" w:pos="743"/>
        </w:tabs>
        <w:spacing w:before="240" w:line="417" w:lineRule="auto"/>
        <w:ind w:right="36"/>
        <w:jc w:val="both"/>
        <w:rPr>
          <w:sz w:val="24"/>
        </w:rPr>
      </w:pPr>
      <w:r>
        <w:rPr>
          <w:b/>
          <w:spacing w:val="-4"/>
          <w:sz w:val="24"/>
        </w:rPr>
        <w:t>El caso del otorgamiento de pensiones de gracia</w:t>
      </w:r>
      <w:r>
        <w:rPr>
          <w:spacing w:val="-4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Consejo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Transparencia </w:t>
      </w:r>
      <w:r>
        <w:rPr>
          <w:sz w:val="24"/>
        </w:rPr>
        <w:t>(CPLT) se comprobó que en un 44% de los expedientes analizados no se detallan los criterios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asignación.</w:t>
      </w:r>
      <w:r>
        <w:rPr>
          <w:sz w:val="24"/>
          <w:vertAlign w:val="superscript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CGR</w:t>
      </w:r>
      <w:r>
        <w:rPr>
          <w:spacing w:val="-3"/>
          <w:sz w:val="24"/>
        </w:rPr>
        <w:t xml:space="preserve"> </w:t>
      </w:r>
      <w:r>
        <w:rPr>
          <w:sz w:val="24"/>
        </w:rPr>
        <w:t>también</w:t>
      </w:r>
      <w:r>
        <w:rPr>
          <w:spacing w:val="-3"/>
          <w:sz w:val="24"/>
        </w:rPr>
        <w:t xml:space="preserve"> </w:t>
      </w:r>
      <w:r>
        <w:rPr>
          <w:sz w:val="24"/>
        </w:rPr>
        <w:t>detectó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58,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419</w:t>
      </w:r>
      <w:r>
        <w:rPr>
          <w:spacing w:val="-15"/>
          <w:sz w:val="24"/>
        </w:rPr>
        <w:t xml:space="preserve"> </w:t>
      </w:r>
      <w:r>
        <w:rPr>
          <w:sz w:val="24"/>
        </w:rPr>
        <w:t>personas beneficiadas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pensión,</w:t>
      </w:r>
      <w:r>
        <w:rPr>
          <w:spacing w:val="-9"/>
          <w:sz w:val="24"/>
        </w:rPr>
        <w:t xml:space="preserve"> </w:t>
      </w:r>
      <w:r>
        <w:rPr>
          <w:sz w:val="24"/>
        </w:rPr>
        <w:t>tienen</w:t>
      </w:r>
      <w:r>
        <w:rPr>
          <w:spacing w:val="-9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9"/>
          <w:sz w:val="24"/>
        </w:rPr>
        <w:t xml:space="preserve"> </w:t>
      </w:r>
      <w:r>
        <w:rPr>
          <w:sz w:val="24"/>
        </w:rPr>
        <w:t>penales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condenas,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resultado</w:t>
      </w:r>
      <w:r>
        <w:rPr>
          <w:spacing w:val="-15"/>
          <w:sz w:val="24"/>
        </w:rPr>
        <w:t xml:space="preserve"> </w:t>
      </w:r>
      <w:r>
        <w:rPr>
          <w:sz w:val="24"/>
        </w:rPr>
        <w:t>de multa, prisión y reclusión o presidio, incluidos delitos violentos.</w:t>
      </w:r>
      <w:r>
        <w:rPr>
          <w:sz w:val="24"/>
          <w:vertAlign w:val="superscript"/>
        </w:rPr>
        <w:t>4</w:t>
      </w:r>
    </w:p>
    <w:p w:rsidR="003A48FD" w:rsidRDefault="00000000">
      <w:pPr>
        <w:pStyle w:val="Textoindependiente"/>
        <w:spacing w:before="6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48069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8EBC" id="Graphic 1" o:spid="_x0000_s1026" style="position:absolute;margin-left:1in;margin-top:3.8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A48FD" w:rsidRDefault="00000000">
      <w:pPr>
        <w:spacing w:before="130"/>
        <w:ind w:left="23"/>
        <w:rPr>
          <w:sz w:val="16"/>
        </w:rPr>
      </w:pPr>
      <w:r>
        <w:rPr>
          <w:spacing w:val="-4"/>
          <w:sz w:val="16"/>
          <w:vertAlign w:val="superscript"/>
        </w:rPr>
        <w:t>1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Fuente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disponible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en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:</w:t>
      </w:r>
      <w:r>
        <w:rPr>
          <w:spacing w:val="8"/>
          <w:sz w:val="16"/>
        </w:rPr>
        <w:t xml:space="preserve"> </w:t>
      </w:r>
      <w:hyperlink r:id="rId5">
        <w:r>
          <w:rPr>
            <w:spacing w:val="-4"/>
            <w:sz w:val="16"/>
          </w:rPr>
          <w:t>https://www.contraloria.cl/web/cgr/auditorias-a-las-transferencias-relacionadas-con-fundaciones</w:t>
        </w:r>
      </w:hyperlink>
    </w:p>
    <w:p w:rsidR="003A48FD" w:rsidRDefault="00000000">
      <w:pPr>
        <w:spacing w:before="29"/>
        <w:ind w:left="23"/>
        <w:rPr>
          <w:sz w:val="16"/>
        </w:rPr>
      </w:pPr>
      <w:r>
        <w:rPr>
          <w:spacing w:val="-2"/>
          <w:sz w:val="16"/>
          <w:vertAlign w:val="superscript"/>
        </w:rPr>
        <w:t>2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Fuente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disponible</w:t>
      </w:r>
      <w:r>
        <w:rPr>
          <w:spacing w:val="-7"/>
          <w:sz w:val="16"/>
        </w:rPr>
        <w:t xml:space="preserve"> en</w:t>
      </w:r>
    </w:p>
    <w:p w:rsidR="003A48FD" w:rsidRDefault="00000000">
      <w:pPr>
        <w:spacing w:before="29" w:line="278" w:lineRule="auto"/>
        <w:ind w:left="23" w:right="44"/>
        <w:rPr>
          <w:sz w:val="16"/>
        </w:rPr>
      </w:pPr>
      <w:r>
        <w:rPr>
          <w:spacing w:val="-4"/>
          <w:sz w:val="16"/>
        </w:rPr>
        <w:t>:</w:t>
      </w:r>
      <w:hyperlink r:id="rId6">
        <w:r>
          <w:rPr>
            <w:spacing w:val="-4"/>
            <w:sz w:val="16"/>
          </w:rPr>
          <w:t>https://www.biobiochile.cl/especial/bbcl-investiga/noticias/articulos/2024/06/15/a-un-ano-del-escandalo-fiscalia-investiga-90-mil-millones-en-conv</w:t>
        </w:r>
      </w:hyperlink>
      <w:r>
        <w:rPr>
          <w:spacing w:val="40"/>
          <w:sz w:val="16"/>
        </w:rPr>
        <w:t xml:space="preserve"> </w:t>
      </w:r>
      <w:hyperlink r:id="rId7">
        <w:r>
          <w:rPr>
            <w:spacing w:val="-2"/>
            <w:sz w:val="16"/>
          </w:rPr>
          <w:t>enios-con-fundaciones-en-todo-chile.shtml</w:t>
        </w:r>
      </w:hyperlink>
    </w:p>
    <w:p w:rsidR="003A48FD" w:rsidRDefault="00000000">
      <w:pPr>
        <w:spacing w:line="180" w:lineRule="exact"/>
        <w:ind w:left="23"/>
        <w:rPr>
          <w:sz w:val="16"/>
        </w:rPr>
      </w:pPr>
      <w:r>
        <w:rPr>
          <w:rFonts w:ascii="Arial"/>
          <w:position w:val="6"/>
          <w:sz w:val="9"/>
        </w:rPr>
        <w:t>3</w:t>
      </w:r>
      <w:r>
        <w:rPr>
          <w:rFonts w:ascii="Arial"/>
          <w:spacing w:val="29"/>
          <w:position w:val="6"/>
          <w:sz w:val="9"/>
        </w:rPr>
        <w:t xml:space="preserve"> </w:t>
      </w:r>
      <w:r>
        <w:rPr>
          <w:sz w:val="16"/>
        </w:rPr>
        <w:t>Fuente</w:t>
      </w:r>
      <w:r>
        <w:rPr>
          <w:spacing w:val="-10"/>
          <w:sz w:val="16"/>
        </w:rPr>
        <w:t xml:space="preserve"> </w:t>
      </w:r>
      <w:r>
        <w:rPr>
          <w:sz w:val="16"/>
        </w:rPr>
        <w:t>disponible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en</w:t>
      </w:r>
    </w:p>
    <w:p w:rsidR="003A48FD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</w:rPr>
        <w:t>:</w:t>
      </w:r>
      <w:hyperlink r:id="rId8">
        <w:r>
          <w:rPr>
            <w:spacing w:val="-4"/>
            <w:sz w:val="16"/>
          </w:rPr>
          <w:t>https://www.consejotransparencia.cl/incumplimiento-en-la-entrega-de-informacion-publica-fiscalizacion-del-cplt-sobre-pensiones-de-gracia-detecta</w:t>
        </w:r>
      </w:hyperlink>
    </w:p>
    <w:p w:rsidR="003A48FD" w:rsidRDefault="00000000">
      <w:pPr>
        <w:spacing w:before="29"/>
        <w:ind w:left="23"/>
        <w:rPr>
          <w:sz w:val="16"/>
        </w:rPr>
      </w:pPr>
      <w:hyperlink r:id="rId9">
        <w:r>
          <w:rPr>
            <w:spacing w:val="-4"/>
            <w:sz w:val="16"/>
          </w:rPr>
          <w:t>-que-en-un-44-de-los-casos-de-la-muestra-analizada-no-se-detallan-los-criterios-de-asignaci/</w:t>
        </w:r>
      </w:hyperlink>
    </w:p>
    <w:p w:rsidR="003A48FD" w:rsidRDefault="00000000">
      <w:pPr>
        <w:spacing w:before="22"/>
        <w:ind w:left="23"/>
        <w:rPr>
          <w:sz w:val="16"/>
        </w:rPr>
      </w:pPr>
      <w:r>
        <w:rPr>
          <w:rFonts w:ascii="Arial"/>
          <w:spacing w:val="-4"/>
          <w:position w:val="6"/>
          <w:sz w:val="9"/>
        </w:rPr>
        <w:t>4</w:t>
      </w:r>
      <w:r>
        <w:rPr>
          <w:rFonts w:ascii="Arial"/>
          <w:spacing w:val="34"/>
          <w:position w:val="6"/>
          <w:sz w:val="9"/>
        </w:rPr>
        <w:t xml:space="preserve">  </w:t>
      </w:r>
      <w:r>
        <w:rPr>
          <w:spacing w:val="-4"/>
          <w:sz w:val="16"/>
        </w:rPr>
        <w:t>Fuente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disponible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en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:https://</w:t>
      </w:r>
      <w:hyperlink r:id="rId10">
        <w:r>
          <w:rPr>
            <w:spacing w:val="-4"/>
            <w:sz w:val="16"/>
          </w:rPr>
          <w:t>www.emol.com/noticias/Nacional/2024/01/25/1119680/pensiones-contraloria-antecedentes-penales.html</w:t>
        </w:r>
      </w:hyperlink>
    </w:p>
    <w:p w:rsidR="003A48FD" w:rsidRDefault="003A48FD">
      <w:pPr>
        <w:rPr>
          <w:sz w:val="16"/>
        </w:rPr>
        <w:sectPr w:rsidR="003A48FD">
          <w:type w:val="continuous"/>
          <w:pgSz w:w="11920" w:h="16840"/>
          <w:pgMar w:top="1840" w:right="1417" w:bottom="280" w:left="1417" w:header="720" w:footer="720" w:gutter="0"/>
          <w:cols w:space="720"/>
        </w:sectPr>
      </w:pPr>
    </w:p>
    <w:p w:rsidR="003A48FD" w:rsidRDefault="00000000">
      <w:pPr>
        <w:pStyle w:val="Prrafodelista"/>
        <w:numPr>
          <w:ilvl w:val="1"/>
          <w:numId w:val="1"/>
        </w:numPr>
        <w:tabs>
          <w:tab w:val="left" w:pos="743"/>
        </w:tabs>
        <w:spacing w:before="115" w:line="417" w:lineRule="auto"/>
        <w:ind w:right="37"/>
        <w:jc w:val="both"/>
        <w:rPr>
          <w:sz w:val="24"/>
        </w:rPr>
      </w:pPr>
      <w:r>
        <w:rPr>
          <w:b/>
          <w:spacing w:val="-2"/>
          <w:sz w:val="24"/>
        </w:rPr>
        <w:lastRenderedPageBreak/>
        <w:t>Las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falencias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detectadas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fallido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Programa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“Gas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Precio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Justo”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piloto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fue </w:t>
      </w:r>
      <w:r>
        <w:rPr>
          <w:sz w:val="24"/>
        </w:rPr>
        <w:t xml:space="preserve">objeto de severas críticas, especialmente después de que en 2023 se revelara que </w:t>
      </w:r>
      <w:hyperlink r:id="rId11">
        <w:r>
          <w:rPr>
            <w:sz w:val="24"/>
          </w:rPr>
          <w:t>cada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cilindro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tuvo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un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costo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$117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mil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para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Estado,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lo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que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sumó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un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total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de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$517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millones</w:t>
        </w:r>
      </w:hyperlink>
      <w:r>
        <w:rPr>
          <w:sz w:val="24"/>
          <w:vertAlign w:val="superscript"/>
        </w:rPr>
        <w:t>5</w:t>
      </w:r>
      <w:r>
        <w:rPr>
          <w:sz w:val="24"/>
        </w:rPr>
        <w:t xml:space="preserve">, generando con ello un perjuicio patrimonial, que de acuerdo a lo informado por la CGR </w:t>
      </w:r>
      <w:r>
        <w:rPr>
          <w:spacing w:val="-2"/>
          <w:sz w:val="24"/>
        </w:rPr>
        <w:t>todavía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habría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recuperado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Empresa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Nacional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Petróleo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(ENAP).</w:t>
      </w:r>
      <w:r>
        <w:rPr>
          <w:spacing w:val="-2"/>
          <w:sz w:val="24"/>
          <w:vertAlign w:val="superscript"/>
        </w:rPr>
        <w:t>6</w:t>
      </w:r>
    </w:p>
    <w:p w:rsidR="003A48FD" w:rsidRDefault="003A48FD">
      <w:pPr>
        <w:pStyle w:val="Textoindependiente"/>
        <w:spacing w:before="199"/>
      </w:pPr>
    </w:p>
    <w:p w:rsidR="003A48FD" w:rsidRDefault="00000000">
      <w:pPr>
        <w:pStyle w:val="Prrafodelista"/>
        <w:numPr>
          <w:ilvl w:val="1"/>
          <w:numId w:val="1"/>
        </w:numPr>
        <w:tabs>
          <w:tab w:val="left" w:pos="743"/>
        </w:tabs>
        <w:spacing w:line="417" w:lineRule="auto"/>
        <w:ind w:right="35"/>
        <w:jc w:val="both"/>
        <w:rPr>
          <w:sz w:val="24"/>
        </w:rPr>
      </w:pPr>
      <w:r>
        <w:rPr>
          <w:b/>
          <w:sz w:val="24"/>
        </w:rPr>
        <w:t xml:space="preserve">Los retrasos injustificados en la entrega de útiles escolares por parte de la Junta Nacional de Auxilio Escolar y Becas (JUNAEB): </w:t>
      </w:r>
      <w:r>
        <w:rPr>
          <w:sz w:val="24"/>
        </w:rPr>
        <w:t>la CGR verificó cinco meses de retraso,</w:t>
      </w:r>
      <w:r>
        <w:rPr>
          <w:spacing w:val="-1"/>
          <w:sz w:val="24"/>
        </w:rPr>
        <w:t xml:space="preserve"> </w:t>
      </w:r>
      <w:r>
        <w:rPr>
          <w:sz w:val="24"/>
        </w:rPr>
        <w:t>sólo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septiembre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faltante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1.425.852 </w:t>
      </w:r>
      <w:r>
        <w:rPr>
          <w:spacing w:val="-2"/>
          <w:sz w:val="24"/>
        </w:rPr>
        <w:t>kits.</w:t>
      </w:r>
      <w:r>
        <w:rPr>
          <w:spacing w:val="-2"/>
          <w:sz w:val="24"/>
          <w:vertAlign w:val="superscript"/>
        </w:rPr>
        <w:t>7</w:t>
      </w:r>
    </w:p>
    <w:p w:rsidR="003A48FD" w:rsidRDefault="003A48FD">
      <w:pPr>
        <w:pStyle w:val="Textoindependiente"/>
        <w:spacing w:before="200"/>
      </w:pPr>
    </w:p>
    <w:p w:rsidR="003A48FD" w:rsidRDefault="00000000">
      <w:pPr>
        <w:pStyle w:val="Prrafodelista"/>
        <w:numPr>
          <w:ilvl w:val="1"/>
          <w:numId w:val="1"/>
        </w:numPr>
        <w:tabs>
          <w:tab w:val="left" w:pos="743"/>
        </w:tabs>
        <w:spacing w:line="417" w:lineRule="auto"/>
        <w:ind w:right="36"/>
        <w:jc w:val="both"/>
        <w:rPr>
          <w:sz w:val="24"/>
        </w:rPr>
      </w:pPr>
      <w:r>
        <w:rPr>
          <w:b/>
          <w:sz w:val="24"/>
        </w:rPr>
        <w:t>Los viajes al extranjero de servidores públicos con licencias médicas vigentes</w:t>
      </w:r>
      <w:r>
        <w:rPr>
          <w:sz w:val="24"/>
        </w:rPr>
        <w:t>: la CGR constató que más de 25.000 funcionarios realizaron 59.575 desplazamientos internacionales</w:t>
      </w:r>
      <w:r>
        <w:rPr>
          <w:spacing w:val="-15"/>
          <w:sz w:val="24"/>
        </w:rPr>
        <w:t xml:space="preserve"> </w:t>
      </w:r>
      <w:r>
        <w:rPr>
          <w:sz w:val="24"/>
        </w:rPr>
        <w:t>durante</w:t>
      </w:r>
      <w:r>
        <w:rPr>
          <w:spacing w:val="-15"/>
          <w:sz w:val="24"/>
        </w:rPr>
        <w:t xml:space="preserve"> </w:t>
      </w:r>
      <w:r>
        <w:rPr>
          <w:sz w:val="24"/>
        </w:rPr>
        <w:t>licencias</w:t>
      </w:r>
      <w:r>
        <w:rPr>
          <w:spacing w:val="-15"/>
          <w:sz w:val="24"/>
        </w:rPr>
        <w:t xml:space="preserve"> </w:t>
      </w:r>
      <w:r>
        <w:rPr>
          <w:sz w:val="24"/>
        </w:rPr>
        <w:t>médicas</w:t>
      </w:r>
      <w:r>
        <w:rPr>
          <w:spacing w:val="-15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2023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2024,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motivó</w:t>
      </w:r>
      <w:r>
        <w:rPr>
          <w:spacing w:val="25"/>
          <w:sz w:val="24"/>
        </w:rPr>
        <w:t xml:space="preserve"> </w:t>
      </w:r>
      <w:r>
        <w:rPr>
          <w:sz w:val="24"/>
        </w:rPr>
        <w:t>hasta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fecha</w:t>
      </w:r>
      <w:r>
        <w:rPr>
          <w:spacing w:val="-15"/>
          <w:sz w:val="24"/>
        </w:rPr>
        <w:t xml:space="preserve"> </w:t>
      </w:r>
      <w:r>
        <w:rPr>
          <w:sz w:val="24"/>
        </w:rPr>
        <w:t>el inicio de 6.600 sumarios administrativos.</w:t>
      </w:r>
      <w:r>
        <w:rPr>
          <w:sz w:val="24"/>
          <w:vertAlign w:val="superscript"/>
        </w:rPr>
        <w:t>8</w:t>
      </w:r>
    </w:p>
    <w:p w:rsidR="003A48FD" w:rsidRDefault="00000000">
      <w:pPr>
        <w:pStyle w:val="Textoindependiente"/>
        <w:spacing w:before="240" w:line="417" w:lineRule="auto"/>
        <w:ind w:left="23" w:right="38" w:firstLine="720"/>
        <w:jc w:val="both"/>
      </w:pPr>
      <w:r>
        <w:t>Los ejemplos anteriores constituyen una muestra de la grave crisis que atraviesa la administración pública en Chile debido a la falta de observancia de los principios de legalidad, responsabilidad,</w:t>
      </w:r>
      <w:r>
        <w:rPr>
          <w:spacing w:val="-15"/>
        </w:rPr>
        <w:t xml:space="preserve"> </w:t>
      </w:r>
      <w:r>
        <w:t>eficiencia,</w:t>
      </w:r>
      <w:r>
        <w:rPr>
          <w:spacing w:val="-3"/>
        </w:rPr>
        <w:t xml:space="preserve"> </w:t>
      </w:r>
      <w:r>
        <w:t>probidad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transparencia,</w:t>
      </w:r>
      <w:r>
        <w:rPr>
          <w:spacing w:val="-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principios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rigen la administración del Estado.</w:t>
      </w:r>
    </w:p>
    <w:p w:rsidR="003A48FD" w:rsidRDefault="00000000">
      <w:pPr>
        <w:spacing w:before="240" w:line="417" w:lineRule="auto"/>
        <w:ind w:left="23" w:right="36" w:firstLine="720"/>
        <w:jc w:val="both"/>
        <w:rPr>
          <w:i/>
          <w:sz w:val="24"/>
        </w:rPr>
      </w:pPr>
      <w:r>
        <w:rPr>
          <w:sz w:val="24"/>
        </w:rPr>
        <w:t>A mayor abundamiento, el 19 de junio del presente</w:t>
      </w:r>
      <w:r>
        <w:rPr>
          <w:spacing w:val="-13"/>
          <w:sz w:val="24"/>
        </w:rPr>
        <w:t xml:space="preserve"> </w:t>
      </w:r>
      <w:r>
        <w:rPr>
          <w:sz w:val="24"/>
        </w:rPr>
        <w:t>año,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CGR</w:t>
      </w:r>
      <w:r>
        <w:rPr>
          <w:spacing w:val="35"/>
          <w:sz w:val="24"/>
        </w:rPr>
        <w:t xml:space="preserve"> </w:t>
      </w:r>
      <w:r>
        <w:rPr>
          <w:sz w:val="24"/>
        </w:rPr>
        <w:t>hizo</w:t>
      </w:r>
      <w:r>
        <w:rPr>
          <w:spacing w:val="-13"/>
          <w:sz w:val="24"/>
        </w:rPr>
        <w:t xml:space="preserve"> </w:t>
      </w:r>
      <w:r>
        <w:rPr>
          <w:sz w:val="24"/>
        </w:rPr>
        <w:t>entrega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Cámara de Diputadas y Diputados del reporte “Principales resultados de fiscalización”.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documento </w:t>
      </w:r>
      <w:r>
        <w:rPr>
          <w:i/>
          <w:w w:val="105"/>
          <w:sz w:val="24"/>
        </w:rPr>
        <w:t>“contiene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observaciones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mayor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relevancia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detectadas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tras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auditorías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e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investigaciones especiales</w:t>
      </w:r>
      <w:r>
        <w:rPr>
          <w:i/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ejecutadas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entre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el</w:t>
      </w:r>
      <w:r>
        <w:rPr>
          <w:i/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1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abril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2024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el</w:t>
      </w:r>
      <w:r>
        <w:rPr>
          <w:i/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31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marzo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2025.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En</w:t>
      </w:r>
      <w:r>
        <w:rPr>
          <w:i/>
          <w:spacing w:val="58"/>
          <w:w w:val="105"/>
          <w:sz w:val="24"/>
        </w:rPr>
        <w:t xml:space="preserve"> </w:t>
      </w:r>
      <w:r>
        <w:rPr>
          <w:i/>
          <w:w w:val="105"/>
          <w:sz w:val="24"/>
        </w:rPr>
        <w:t>el</w:t>
      </w:r>
      <w:r>
        <w:rPr>
          <w:i/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documento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se</w:t>
      </w:r>
    </w:p>
    <w:p w:rsidR="003A48FD" w:rsidRDefault="003A48FD">
      <w:pPr>
        <w:pStyle w:val="Textoindependiente"/>
        <w:rPr>
          <w:i/>
          <w:sz w:val="20"/>
        </w:rPr>
      </w:pPr>
    </w:p>
    <w:p w:rsidR="003A48FD" w:rsidRDefault="00000000">
      <w:pPr>
        <w:pStyle w:val="Textoindependiente"/>
        <w:spacing w:before="168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265239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CC99" id="Graphic 2" o:spid="_x0000_s1026" style="position:absolute;margin-left:1in;margin-top:20.9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A48FD" w:rsidRDefault="00000000">
      <w:pPr>
        <w:spacing w:before="125"/>
        <w:ind w:left="23"/>
        <w:rPr>
          <w:sz w:val="16"/>
        </w:rPr>
      </w:pPr>
      <w:r>
        <w:rPr>
          <w:rFonts w:ascii="Arial"/>
          <w:position w:val="6"/>
          <w:sz w:val="9"/>
        </w:rPr>
        <w:t>5</w:t>
      </w:r>
      <w:r>
        <w:rPr>
          <w:rFonts w:ascii="Arial"/>
          <w:spacing w:val="29"/>
          <w:position w:val="6"/>
          <w:sz w:val="9"/>
        </w:rPr>
        <w:t xml:space="preserve"> </w:t>
      </w:r>
      <w:r>
        <w:rPr>
          <w:sz w:val="16"/>
        </w:rPr>
        <w:t>Fuente</w:t>
      </w:r>
      <w:r>
        <w:rPr>
          <w:spacing w:val="-10"/>
          <w:sz w:val="16"/>
        </w:rPr>
        <w:t xml:space="preserve"> </w:t>
      </w:r>
      <w:r>
        <w:rPr>
          <w:sz w:val="16"/>
        </w:rPr>
        <w:t>disponible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en</w:t>
      </w:r>
    </w:p>
    <w:p w:rsidR="003A48FD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</w:rPr>
        <w:t>:</w:t>
      </w:r>
      <w:hyperlink r:id="rId13">
        <w:r>
          <w:rPr>
            <w:spacing w:val="-4"/>
            <w:sz w:val="16"/>
          </w:rPr>
          <w:t>https://www.t13.cl/noticia/nacional/enap-habia-advertido-al-gobierno-plan-piloto-gas-precio-justo-generaria-danos-p-5-3-2025</w:t>
        </w:r>
      </w:hyperlink>
    </w:p>
    <w:p w:rsidR="003A48FD" w:rsidRDefault="00000000">
      <w:pPr>
        <w:spacing w:before="22"/>
        <w:ind w:left="23"/>
        <w:rPr>
          <w:sz w:val="16"/>
        </w:rPr>
      </w:pPr>
      <w:r>
        <w:rPr>
          <w:rFonts w:ascii="Arial"/>
          <w:position w:val="6"/>
          <w:sz w:val="9"/>
        </w:rPr>
        <w:t>6</w:t>
      </w:r>
      <w:r>
        <w:rPr>
          <w:rFonts w:ascii="Arial"/>
          <w:spacing w:val="29"/>
          <w:position w:val="6"/>
          <w:sz w:val="9"/>
        </w:rPr>
        <w:t xml:space="preserve"> </w:t>
      </w:r>
      <w:r>
        <w:rPr>
          <w:sz w:val="16"/>
        </w:rPr>
        <w:t>Fuente</w:t>
      </w:r>
      <w:r>
        <w:rPr>
          <w:spacing w:val="-10"/>
          <w:sz w:val="16"/>
        </w:rPr>
        <w:t xml:space="preserve"> </w:t>
      </w:r>
      <w:r>
        <w:rPr>
          <w:sz w:val="16"/>
        </w:rPr>
        <w:t>disponible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en</w:t>
      </w:r>
    </w:p>
    <w:p w:rsidR="003A48FD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</w:rPr>
        <w:t>:</w:t>
      </w:r>
      <w:hyperlink r:id="rId14">
        <w:r>
          <w:rPr>
            <w:spacing w:val="-4"/>
            <w:sz w:val="16"/>
          </w:rPr>
          <w:t>https://www.elmostrador.cl/noticias/pais/2025/01/24/gas-a-precio-justo-contraloria-acusa-a-gobierno-de-no-reembolsar-a-enap-gastos-de-iniciativa</w:t>
        </w:r>
      </w:hyperlink>
    </w:p>
    <w:p w:rsidR="003A48FD" w:rsidRDefault="00000000">
      <w:pPr>
        <w:spacing w:before="29"/>
        <w:ind w:left="23"/>
        <w:rPr>
          <w:sz w:val="16"/>
        </w:rPr>
      </w:pPr>
      <w:hyperlink r:id="rId15">
        <w:r>
          <w:rPr>
            <w:spacing w:val="-10"/>
            <w:w w:val="90"/>
            <w:sz w:val="16"/>
          </w:rPr>
          <w:t>/</w:t>
        </w:r>
      </w:hyperlink>
    </w:p>
    <w:p w:rsidR="003A48FD" w:rsidRDefault="00000000">
      <w:pPr>
        <w:spacing w:before="28"/>
        <w:ind w:left="23"/>
        <w:rPr>
          <w:sz w:val="16"/>
        </w:rPr>
      </w:pPr>
      <w:r>
        <w:rPr>
          <w:spacing w:val="-4"/>
          <w:sz w:val="16"/>
          <w:vertAlign w:val="superscript"/>
        </w:rPr>
        <w:t>7</w:t>
      </w:r>
      <w:r>
        <w:rPr>
          <w:spacing w:val="-4"/>
          <w:sz w:val="16"/>
        </w:rPr>
        <w:t xml:space="preserve"> Fuente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disponible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:</w:t>
      </w:r>
      <w:r>
        <w:rPr>
          <w:spacing w:val="12"/>
          <w:sz w:val="16"/>
        </w:rPr>
        <w:t xml:space="preserve"> </w:t>
      </w:r>
      <w:r>
        <w:rPr>
          <w:spacing w:val="-4"/>
          <w:sz w:val="16"/>
        </w:rPr>
        <w:t>https://</w:t>
      </w:r>
      <w:hyperlink r:id="rId16">
        <w:r>
          <w:rPr>
            <w:spacing w:val="-4"/>
            <w:sz w:val="16"/>
          </w:rPr>
          <w:t>www.contraloria.cl/portalweb/web/cgr/-/programa-utiles-escolares</w:t>
        </w:r>
      </w:hyperlink>
    </w:p>
    <w:p w:rsidR="003A48FD" w:rsidRDefault="00000000">
      <w:pPr>
        <w:spacing w:before="23"/>
        <w:ind w:left="23"/>
        <w:rPr>
          <w:sz w:val="16"/>
        </w:rPr>
      </w:pPr>
      <w:r>
        <w:rPr>
          <w:rFonts w:ascii="Arial"/>
          <w:position w:val="6"/>
          <w:sz w:val="9"/>
        </w:rPr>
        <w:t>8</w:t>
      </w:r>
      <w:r>
        <w:rPr>
          <w:rFonts w:ascii="Arial"/>
          <w:spacing w:val="29"/>
          <w:position w:val="6"/>
          <w:sz w:val="9"/>
        </w:rPr>
        <w:t xml:space="preserve"> </w:t>
      </w:r>
      <w:r>
        <w:rPr>
          <w:sz w:val="16"/>
        </w:rPr>
        <w:t>Fuente</w:t>
      </w:r>
      <w:r>
        <w:rPr>
          <w:spacing w:val="-10"/>
          <w:sz w:val="16"/>
        </w:rPr>
        <w:t xml:space="preserve"> </w:t>
      </w:r>
      <w:r>
        <w:rPr>
          <w:sz w:val="16"/>
        </w:rPr>
        <w:t>disponible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en</w:t>
      </w:r>
    </w:p>
    <w:p w:rsidR="003A48FD" w:rsidRDefault="00000000">
      <w:pPr>
        <w:spacing w:before="29" w:line="278" w:lineRule="auto"/>
        <w:ind w:left="23"/>
        <w:rPr>
          <w:sz w:val="16"/>
        </w:rPr>
      </w:pPr>
      <w:r>
        <w:rPr>
          <w:spacing w:val="-4"/>
          <w:sz w:val="16"/>
        </w:rPr>
        <w:t>:</w:t>
      </w:r>
      <w:hyperlink r:id="rId17">
        <w:r>
          <w:rPr>
            <w:spacing w:val="-4"/>
            <w:sz w:val="16"/>
          </w:rPr>
          <w:t>https://cooperativa.cl/noticias/pais/salud/licencias-medicas/licencias-medicas-ya-hay-6-600-sumarios-en-curso-en-el-gobierno-central/2025-05-27/1</w:t>
        </w:r>
      </w:hyperlink>
      <w:r>
        <w:rPr>
          <w:spacing w:val="40"/>
          <w:sz w:val="16"/>
        </w:rPr>
        <w:t xml:space="preserve"> </w:t>
      </w:r>
      <w:hyperlink r:id="rId18">
        <w:r>
          <w:rPr>
            <w:spacing w:val="-2"/>
            <w:sz w:val="16"/>
          </w:rPr>
          <w:t>44316.html</w:t>
        </w:r>
      </w:hyperlink>
    </w:p>
    <w:p w:rsidR="003A48FD" w:rsidRDefault="003A48FD">
      <w:pPr>
        <w:spacing w:line="278" w:lineRule="auto"/>
        <w:rPr>
          <w:sz w:val="16"/>
        </w:rPr>
        <w:sectPr w:rsidR="003A48FD">
          <w:pgSz w:w="11920" w:h="16840"/>
          <w:pgMar w:top="1360" w:right="1417" w:bottom="280" w:left="1417" w:header="720" w:footer="720" w:gutter="0"/>
          <w:cols w:space="720"/>
        </w:sectPr>
      </w:pPr>
    </w:p>
    <w:p w:rsidR="003A48FD" w:rsidRDefault="00000000">
      <w:pPr>
        <w:spacing w:before="115" w:line="417" w:lineRule="auto"/>
        <w:ind w:left="23"/>
        <w:rPr>
          <w:sz w:val="24"/>
        </w:rPr>
      </w:pPr>
      <w:r>
        <w:rPr>
          <w:i/>
          <w:w w:val="110"/>
          <w:sz w:val="24"/>
        </w:rPr>
        <w:lastRenderedPageBreak/>
        <w:t>consideraron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792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auditorías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efectuadas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por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la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CGR</w:t>
      </w:r>
      <w:r>
        <w:rPr>
          <w:i/>
          <w:spacing w:val="40"/>
          <w:w w:val="110"/>
          <w:sz w:val="24"/>
        </w:rPr>
        <w:t xml:space="preserve">  </w:t>
      </w:r>
      <w:r>
        <w:rPr>
          <w:i/>
          <w:w w:val="110"/>
          <w:sz w:val="24"/>
        </w:rPr>
        <w:t>durante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el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período.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Así,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se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destaca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que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las observaciones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encontradas alcanzaron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un total de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1,5 billones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de pesos, es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decir, </w:t>
      </w:r>
      <w:r>
        <w:rPr>
          <w:i/>
          <w:spacing w:val="-2"/>
          <w:sz w:val="24"/>
        </w:rPr>
        <w:t>$1.505.707.732.640”.</w:t>
      </w:r>
      <w:r>
        <w:rPr>
          <w:spacing w:val="-2"/>
          <w:sz w:val="24"/>
          <w:vertAlign w:val="superscript"/>
        </w:rPr>
        <w:t>9</w:t>
      </w:r>
    </w:p>
    <w:p w:rsidR="003A48FD" w:rsidRDefault="00000000">
      <w:pPr>
        <w:pStyle w:val="Textoindependiente"/>
        <w:spacing w:before="240" w:line="417" w:lineRule="auto"/>
        <w:ind w:left="23" w:right="37" w:firstLine="720"/>
        <w:jc w:val="both"/>
      </w:pPr>
      <w:r>
        <w:t>Con todo, y sin perjuicio de reconocer la importancia de la Contraloría General de la República en la fiscalización y control de las actuaciones de los órganos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Estado,</w:t>
      </w:r>
      <w:r>
        <w:rPr>
          <w:spacing w:val="-7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posible</w:t>
      </w:r>
      <w:r>
        <w:rPr>
          <w:spacing w:val="-7"/>
        </w:rPr>
        <w:t xml:space="preserve"> </w:t>
      </w:r>
      <w:r>
        <w:rPr>
          <w:spacing w:val="-2"/>
        </w:rPr>
        <w:t>evidenciar</w:t>
      </w:r>
      <w:r>
        <w:rPr>
          <w:spacing w:val="-7"/>
        </w:rPr>
        <w:t xml:space="preserve"> </w:t>
      </w:r>
      <w:r>
        <w:rPr>
          <w:spacing w:val="-2"/>
        </w:rPr>
        <w:t>que,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materia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determinación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responsabilidad</w:t>
      </w:r>
      <w:r>
        <w:rPr>
          <w:spacing w:val="-7"/>
        </w:rPr>
        <w:t xml:space="preserve"> </w:t>
      </w:r>
      <w:r>
        <w:rPr>
          <w:spacing w:val="-2"/>
        </w:rPr>
        <w:t xml:space="preserve">administrativa, </w:t>
      </w:r>
      <w:r>
        <w:t>esta institución solo tiene la facultad de “proponer” las sanciones aplicables a los servidores públicos,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N.º</w:t>
      </w:r>
      <w:r>
        <w:rPr>
          <w:spacing w:val="-15"/>
        </w:rPr>
        <w:t xml:space="preserve"> </w:t>
      </w:r>
      <w:r>
        <w:t>2.421,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fija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texto refundido de la Ley de Organización y Atribuciones de la Contraloría General de la República, el cual</w:t>
      </w:r>
      <w:r>
        <w:rPr>
          <w:spacing w:val="-5"/>
        </w:rPr>
        <w:t xml:space="preserve"> </w:t>
      </w:r>
      <w:r>
        <w:t>establece:</w:t>
      </w:r>
    </w:p>
    <w:p w:rsidR="003A48FD" w:rsidRDefault="00000000">
      <w:pPr>
        <w:spacing w:before="240" w:line="405" w:lineRule="auto"/>
        <w:ind w:left="23" w:right="37" w:firstLine="720"/>
        <w:jc w:val="both"/>
        <w:rPr>
          <w:sz w:val="24"/>
        </w:rPr>
      </w:pPr>
      <w:r>
        <w:rPr>
          <w:i/>
          <w:w w:val="115"/>
          <w:sz w:val="24"/>
        </w:rPr>
        <w:t>“Artículo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133º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bis.-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En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estos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sumarios,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cuando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se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realicen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en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municipalidades,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corresponderá al</w:t>
      </w:r>
      <w:r>
        <w:rPr>
          <w:i/>
          <w:spacing w:val="-10"/>
          <w:w w:val="115"/>
          <w:sz w:val="24"/>
        </w:rPr>
        <w:t xml:space="preserve"> </w:t>
      </w:r>
      <w:r>
        <w:rPr>
          <w:i/>
          <w:w w:val="115"/>
          <w:sz w:val="24"/>
        </w:rPr>
        <w:t>Contralor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General</w:t>
      </w:r>
      <w:r>
        <w:rPr>
          <w:i/>
          <w:spacing w:val="-4"/>
          <w:w w:val="115"/>
          <w:sz w:val="24"/>
        </w:rPr>
        <w:t xml:space="preserve"> </w:t>
      </w:r>
      <w:r>
        <w:rPr>
          <w:rFonts w:ascii="Calibri" w:hAnsi="Calibri"/>
          <w:b/>
          <w:i/>
          <w:w w:val="115"/>
          <w:sz w:val="24"/>
        </w:rPr>
        <w:t xml:space="preserve">proponer </w:t>
      </w:r>
      <w:r>
        <w:rPr>
          <w:i/>
          <w:w w:val="115"/>
          <w:sz w:val="24"/>
        </w:rPr>
        <w:t>a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la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autoridad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administrativa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correspondiente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que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haga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efectiva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la responsabilidad administrativa de los funcionarios involucrados, quien aplicará directamente las </w:t>
      </w:r>
      <w:r>
        <w:rPr>
          <w:i/>
          <w:w w:val="110"/>
          <w:sz w:val="24"/>
        </w:rPr>
        <w:t>sanciones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que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procedan.</w:t>
      </w:r>
      <w:r>
        <w:rPr>
          <w:i/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Énfasis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añadido)</w:t>
      </w:r>
    </w:p>
    <w:p w:rsidR="003A48FD" w:rsidRDefault="00000000">
      <w:pPr>
        <w:spacing w:before="255" w:line="417" w:lineRule="auto"/>
        <w:ind w:left="23" w:right="42" w:firstLine="720"/>
        <w:jc w:val="both"/>
        <w:rPr>
          <w:i/>
          <w:sz w:val="24"/>
        </w:rPr>
      </w:pPr>
      <w:r>
        <w:rPr>
          <w:i/>
          <w:w w:val="120"/>
          <w:sz w:val="24"/>
        </w:rPr>
        <w:t>En el caso de que esta autoridad administrativa imponga una sanción distinta, deberá hacerlo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mediante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resolución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fundada,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sujeta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al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trámite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de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toma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de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razón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por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la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Contraloría.”</w:t>
      </w:r>
    </w:p>
    <w:p w:rsidR="003A48FD" w:rsidRDefault="00000000">
      <w:pPr>
        <w:pStyle w:val="Textoindependiente"/>
        <w:spacing w:before="240" w:line="417" w:lineRule="auto"/>
        <w:ind w:left="23" w:right="37" w:firstLine="720"/>
        <w:jc w:val="both"/>
      </w:pPr>
      <w:r>
        <w:rPr>
          <w:spacing w:val="-2"/>
        </w:rPr>
        <w:t>Esta realidad normativa impide sancionar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manera</w:t>
      </w:r>
      <w:r>
        <w:rPr>
          <w:spacing w:val="-12"/>
        </w:rPr>
        <w:t xml:space="preserve"> </w:t>
      </w:r>
      <w:r>
        <w:rPr>
          <w:spacing w:val="-2"/>
        </w:rPr>
        <w:t>efectiva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servidores</w:t>
      </w:r>
      <w:r>
        <w:rPr>
          <w:spacing w:val="-12"/>
        </w:rPr>
        <w:t xml:space="preserve"> </w:t>
      </w:r>
      <w:r>
        <w:rPr>
          <w:spacing w:val="-2"/>
        </w:rPr>
        <w:t>públicos,</w:t>
      </w:r>
      <w:r>
        <w:rPr>
          <w:spacing w:val="-12"/>
        </w:rPr>
        <w:t xml:space="preserve"> </w:t>
      </w:r>
      <w:r>
        <w:rPr>
          <w:spacing w:val="-2"/>
        </w:rPr>
        <w:t xml:space="preserve">pues </w:t>
      </w:r>
      <w:r>
        <w:t xml:space="preserve">al dejar la aplicación de sanciones a la discreción de las autoridades administrativas, las medidas disciplinarias que propone la Contraloría solo se “tienen presente”, pero no revisten carácter </w:t>
      </w:r>
      <w:r>
        <w:rPr>
          <w:spacing w:val="-2"/>
        </w:rPr>
        <w:t>vinculante.</w:t>
      </w:r>
    </w:p>
    <w:p w:rsidR="003A48FD" w:rsidRDefault="003A48FD">
      <w:pPr>
        <w:pStyle w:val="Textoindependiente"/>
        <w:spacing w:before="90"/>
      </w:pPr>
    </w:p>
    <w:p w:rsidR="003A48FD" w:rsidRDefault="00000000">
      <w:pPr>
        <w:pStyle w:val="Prrafodelista"/>
        <w:numPr>
          <w:ilvl w:val="0"/>
          <w:numId w:val="1"/>
        </w:numPr>
        <w:tabs>
          <w:tab w:val="left" w:pos="313"/>
        </w:tabs>
        <w:ind w:left="313" w:hanging="290"/>
        <w:jc w:val="left"/>
        <w:rPr>
          <w:b/>
          <w:sz w:val="24"/>
        </w:rPr>
      </w:pPr>
      <w:bookmarkStart w:id="2" w:name="II._IDEA_MATRIZ._"/>
      <w:bookmarkEnd w:id="2"/>
      <w:r>
        <w:rPr>
          <w:b/>
          <w:spacing w:val="-8"/>
          <w:sz w:val="24"/>
        </w:rPr>
        <w:t>IDEA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MATRIZ.</w:t>
      </w:r>
    </w:p>
    <w:p w:rsidR="003A48FD" w:rsidRDefault="003A48FD">
      <w:pPr>
        <w:pStyle w:val="Textoindependiente"/>
        <w:spacing w:before="169"/>
        <w:rPr>
          <w:b/>
        </w:rPr>
      </w:pPr>
    </w:p>
    <w:p w:rsidR="003A48FD" w:rsidRDefault="00000000">
      <w:pPr>
        <w:pStyle w:val="Textoindependiente"/>
        <w:spacing w:before="1" w:line="417" w:lineRule="auto"/>
        <w:ind w:left="23" w:right="39" w:firstLine="720"/>
        <w:jc w:val="both"/>
      </w:pPr>
      <w:r>
        <w:t>Ampliar y fortalecer las facultades fiscalizadoras y</w:t>
      </w:r>
      <w:r>
        <w:rPr>
          <w:spacing w:val="-7"/>
        </w:rPr>
        <w:t xml:space="preserve"> </w:t>
      </w:r>
      <w:r>
        <w:t>disciplinarias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Contraloría</w:t>
      </w:r>
      <w:r>
        <w:rPr>
          <w:spacing w:val="-7"/>
        </w:rPr>
        <w:t xml:space="preserve"> </w:t>
      </w:r>
      <w:r>
        <w:t>General de la República para garantizar la efectiva observancia de los principios de responsabilidad, eficiencia, probidad y transparencia y, en general, de todos los principios que rigen la administración del Estado.</w:t>
      </w:r>
    </w:p>
    <w:p w:rsidR="003A48FD" w:rsidRDefault="003A48FD">
      <w:pPr>
        <w:pStyle w:val="Textoindependiente"/>
        <w:rPr>
          <w:sz w:val="20"/>
        </w:rPr>
      </w:pPr>
    </w:p>
    <w:p w:rsidR="003A48FD" w:rsidRDefault="003A48FD">
      <w:pPr>
        <w:pStyle w:val="Textoindependiente"/>
        <w:rPr>
          <w:sz w:val="20"/>
        </w:rPr>
      </w:pPr>
    </w:p>
    <w:p w:rsidR="003A48FD" w:rsidRDefault="00000000">
      <w:pPr>
        <w:pStyle w:val="Textoindependiente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204649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AFF50" id="Graphic 3" o:spid="_x0000_s1026" style="position:absolute;margin-left:1in;margin-top:16.1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3A48FD" w:rsidRDefault="00000000">
      <w:pPr>
        <w:spacing w:before="122"/>
        <w:ind w:left="23"/>
        <w:rPr>
          <w:sz w:val="16"/>
        </w:rPr>
      </w:pPr>
      <w:r>
        <w:rPr>
          <w:spacing w:val="-4"/>
          <w:sz w:val="16"/>
          <w:vertAlign w:val="superscript"/>
        </w:rPr>
        <w:t>9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Fuente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disponible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:</w:t>
      </w:r>
      <w:r>
        <w:rPr>
          <w:spacing w:val="-2"/>
          <w:sz w:val="16"/>
        </w:rPr>
        <w:t xml:space="preserve"> </w:t>
      </w:r>
      <w:hyperlink r:id="rId19">
        <w:r>
          <w:rPr>
            <w:spacing w:val="-4"/>
            <w:sz w:val="16"/>
          </w:rPr>
          <w:t>https://www.contraloria.cl/portalweb/web/cgr/-/principales-resultados-de-fiscalizacion</w:t>
        </w:r>
      </w:hyperlink>
    </w:p>
    <w:p w:rsidR="003A48FD" w:rsidRDefault="003A48FD">
      <w:pPr>
        <w:rPr>
          <w:sz w:val="16"/>
        </w:rPr>
        <w:sectPr w:rsidR="003A48FD">
          <w:pgSz w:w="11920" w:h="16840"/>
          <w:pgMar w:top="1360" w:right="1417" w:bottom="280" w:left="1417" w:header="720" w:footer="720" w:gutter="0"/>
          <w:cols w:space="720"/>
        </w:sectPr>
      </w:pPr>
    </w:p>
    <w:p w:rsidR="003A48FD" w:rsidRDefault="00000000">
      <w:pPr>
        <w:pStyle w:val="Prrafodelista"/>
        <w:numPr>
          <w:ilvl w:val="0"/>
          <w:numId w:val="1"/>
        </w:numPr>
        <w:tabs>
          <w:tab w:val="left" w:pos="400"/>
        </w:tabs>
        <w:spacing w:before="115"/>
        <w:ind w:left="400" w:hanging="377"/>
        <w:jc w:val="left"/>
        <w:rPr>
          <w:b/>
          <w:sz w:val="24"/>
        </w:rPr>
      </w:pPr>
      <w:bookmarkStart w:id="3" w:name="III._PROYECTO_DE_LEY._"/>
      <w:bookmarkEnd w:id="3"/>
      <w:r>
        <w:rPr>
          <w:b/>
          <w:spacing w:val="-10"/>
          <w:sz w:val="24"/>
        </w:rPr>
        <w:lastRenderedPageBreak/>
        <w:t>PROYECTO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LEY.</w:t>
      </w:r>
    </w:p>
    <w:p w:rsidR="003A48FD" w:rsidRDefault="003A48FD">
      <w:pPr>
        <w:pStyle w:val="Textoindependiente"/>
        <w:rPr>
          <w:b/>
        </w:rPr>
      </w:pPr>
    </w:p>
    <w:p w:rsidR="003A48FD" w:rsidRDefault="003A48FD">
      <w:pPr>
        <w:pStyle w:val="Textoindependiente"/>
        <w:spacing w:before="19"/>
        <w:rPr>
          <w:b/>
        </w:rPr>
      </w:pPr>
    </w:p>
    <w:p w:rsidR="003A48FD" w:rsidRDefault="00000000">
      <w:pPr>
        <w:spacing w:line="417" w:lineRule="auto"/>
        <w:ind w:left="23" w:right="42"/>
        <w:jc w:val="both"/>
        <w:rPr>
          <w:b/>
          <w:sz w:val="24"/>
        </w:rPr>
      </w:pPr>
      <w:bookmarkStart w:id="4" w:name="ARTÍCULO_ÚNICO:_Modifíquese_el_decreto_2"/>
      <w:bookmarkEnd w:id="4"/>
      <w:r>
        <w:rPr>
          <w:b/>
          <w:sz w:val="24"/>
        </w:rPr>
        <w:t>ARTÍCULO ÚNICO: Modifíquese el decreto 2421 que fija el texto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refundido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de organización y atribuciones de la Contraloría General de la República, en los siguientes </w:t>
      </w:r>
      <w:r>
        <w:rPr>
          <w:b/>
          <w:spacing w:val="-2"/>
          <w:sz w:val="24"/>
        </w:rPr>
        <w:t>términos:</w:t>
      </w:r>
    </w:p>
    <w:p w:rsidR="003A48FD" w:rsidRDefault="00000000">
      <w:pPr>
        <w:spacing w:before="240"/>
        <w:ind w:left="23"/>
        <w:jc w:val="both"/>
        <w:rPr>
          <w:b/>
          <w:sz w:val="24"/>
        </w:rPr>
      </w:pPr>
      <w:r>
        <w:rPr>
          <w:b/>
          <w:spacing w:val="-2"/>
          <w:sz w:val="24"/>
        </w:rPr>
        <w:t>Reemplácese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133°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bis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siguiente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3A48FD" w:rsidRDefault="003A48FD">
      <w:pPr>
        <w:pStyle w:val="Textoindependiente"/>
        <w:spacing w:before="170"/>
        <w:rPr>
          <w:b/>
        </w:rPr>
      </w:pPr>
    </w:p>
    <w:p w:rsidR="003A48FD" w:rsidRDefault="00000000">
      <w:pPr>
        <w:pStyle w:val="Textoindependiente"/>
        <w:spacing w:line="417" w:lineRule="auto"/>
        <w:ind w:left="23" w:right="42"/>
        <w:jc w:val="both"/>
      </w:pPr>
      <w:r>
        <w:t>“Artículo 133º bis.- En estos sumarios corresponderá al Contralor General de la República, o a cualquier otro funcionario de la Contraloría especialmente facultado por aquél, determinar las sanciones que procedan para hacer efectiva</w:t>
      </w:r>
      <w:r>
        <w:rPr>
          <w:spacing w:val="4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 xml:space="preserve">funcionarios </w:t>
      </w:r>
      <w:r>
        <w:rPr>
          <w:spacing w:val="-2"/>
        </w:rPr>
        <w:t>involucrados.</w:t>
      </w:r>
    </w:p>
    <w:p w:rsidR="003A48FD" w:rsidRDefault="00000000">
      <w:pPr>
        <w:pStyle w:val="Textoindependiente"/>
        <w:spacing w:before="240" w:line="417" w:lineRule="auto"/>
        <w:ind w:left="23" w:right="36"/>
        <w:jc w:val="both"/>
      </w:pPr>
      <w:r>
        <w:t>La autoridad administrativa que no aplique la sanción determinada por la Contraloría podrá ser sancionada directamente por el Contralor General, con multa de hasta quince días de remuneraciones,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perjuicio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estima</w:t>
      </w:r>
      <w:r>
        <w:rPr>
          <w:spacing w:val="-5"/>
        </w:rPr>
        <w:t xml:space="preserve"> </w:t>
      </w:r>
      <w:r>
        <w:t>procedente,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disponer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suspensión</w:t>
      </w:r>
      <w:r>
        <w:rPr>
          <w:spacing w:val="-5"/>
        </w:rPr>
        <w:t xml:space="preserve"> </w:t>
      </w:r>
      <w:r>
        <w:t>sin goce de remuneraciones del funcionario responsable de la omisión, hasta que remita los antecedentes que den cuenta de la aplicación de la sanción requerida.”</w:t>
      </w:r>
    </w:p>
    <w:sectPr w:rsidR="003A48FD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E2365"/>
    <w:multiLevelType w:val="hybridMultilevel"/>
    <w:tmpl w:val="2070BC5C"/>
    <w:lvl w:ilvl="0" w:tplc="9112F7E8">
      <w:start w:val="1"/>
      <w:numFmt w:val="upperRoman"/>
      <w:lvlText w:val="%1."/>
      <w:lvlJc w:val="left"/>
      <w:pPr>
        <w:ind w:left="743" w:hanging="507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91"/>
        <w:sz w:val="24"/>
        <w:szCs w:val="24"/>
        <w:lang w:val="es-ES" w:eastAsia="en-US" w:bidi="ar-SA"/>
      </w:rPr>
    </w:lvl>
    <w:lvl w:ilvl="1" w:tplc="42B0C8CE">
      <w:start w:val="1"/>
      <w:numFmt w:val="decimal"/>
      <w:lvlText w:val="%2."/>
      <w:lvlJc w:val="left"/>
      <w:pPr>
        <w:ind w:left="743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2"/>
        <w:sz w:val="24"/>
        <w:szCs w:val="24"/>
        <w:lang w:val="es-ES" w:eastAsia="en-US" w:bidi="ar-SA"/>
      </w:rPr>
    </w:lvl>
    <w:lvl w:ilvl="2" w:tplc="1D827C2E">
      <w:numFmt w:val="bullet"/>
      <w:lvlText w:val="•"/>
      <w:lvlJc w:val="left"/>
      <w:pPr>
        <w:ind w:left="2409" w:hanging="360"/>
      </w:pPr>
      <w:rPr>
        <w:rFonts w:hint="default"/>
        <w:lang w:val="es-ES" w:eastAsia="en-US" w:bidi="ar-SA"/>
      </w:rPr>
    </w:lvl>
    <w:lvl w:ilvl="3" w:tplc="850A6CA8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E932D4EA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9968C29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497ED55E">
      <w:numFmt w:val="bullet"/>
      <w:lvlText w:val="•"/>
      <w:lvlJc w:val="left"/>
      <w:pPr>
        <w:ind w:left="5747" w:hanging="360"/>
      </w:pPr>
      <w:rPr>
        <w:rFonts w:hint="default"/>
        <w:lang w:val="es-ES" w:eastAsia="en-US" w:bidi="ar-SA"/>
      </w:rPr>
    </w:lvl>
    <w:lvl w:ilvl="7" w:tplc="2938BB0C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 w:tplc="38AEDC2E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 w16cid:durableId="19791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8FD"/>
    <w:rsid w:val="000A7CBF"/>
    <w:rsid w:val="000B3242"/>
    <w:rsid w:val="003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D013A-674C-4435-8A82-A938C6F5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jotransparencia.cl/incumplimiento-en-la-entrega-de-informacion-publica-fiscalizacion-del-cplt-sobre-pensiones-de-gracia-detecta-que-en-un-44-de-los-casos-de-la-muestra-analizada-no-se-detallan-los-criterios-de-asignaci/" TargetMode="External"/><Relationship Id="rId13" Type="http://schemas.openxmlformats.org/officeDocument/2006/relationships/hyperlink" Target="https://www.t13.cl/noticia/nacional/enap-habia-advertido-al-gobierno-plan-piloto-gas-precio-justo-generaria-danos-p-5-3-2025" TargetMode="External"/><Relationship Id="rId18" Type="http://schemas.openxmlformats.org/officeDocument/2006/relationships/hyperlink" Target="https://cooperativa.cl/noticias/pais/salud/licencias-medicas/licencias-medicas-ya-hay-6-600-sumarios-en-curso-en-el-gobierno-central/2025-05-27/14431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obiochile.cl/especial/bbcl-investiga/noticias/articulos/2024/06/15/a-un-ano-del-escandalo-fiscalia-investiga-90-mil-millones-en-convenios-con-fundaciones-en-todo-chile.shtml" TargetMode="External"/><Relationship Id="rId12" Type="http://schemas.openxmlformats.org/officeDocument/2006/relationships/hyperlink" Target="https://www.t13.cl/noticia/politica/criticas-gobierno-por-costos-programa-gas-para-chile-25-5-2023" TargetMode="External"/><Relationship Id="rId17" Type="http://schemas.openxmlformats.org/officeDocument/2006/relationships/hyperlink" Target="https://cooperativa.cl/noticias/pais/salud/licencias-medicas/licencias-medicas-ya-hay-6-600-sumarios-en-curso-en-el-gobierno-central/2025-05-27/1443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traloria.cl/portalweb/web/cgr/-/programa-utiles-escolar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obiochile.cl/especial/bbcl-investiga/noticias/articulos/2024/06/15/a-un-ano-del-escandalo-fiscalia-investiga-90-mil-millones-en-convenios-con-fundaciones-en-todo-chile.shtml" TargetMode="External"/><Relationship Id="rId11" Type="http://schemas.openxmlformats.org/officeDocument/2006/relationships/hyperlink" Target="https://www.t13.cl/noticia/politica/criticas-gobierno-por-costos-programa-gas-para-chile-25-5-2023" TargetMode="External"/><Relationship Id="rId5" Type="http://schemas.openxmlformats.org/officeDocument/2006/relationships/hyperlink" Target="https://www.contraloria.cl/web/cgr/auditorias-a-las-transferencias-relacionadas-con-fundaciones" TargetMode="External"/><Relationship Id="rId15" Type="http://schemas.openxmlformats.org/officeDocument/2006/relationships/hyperlink" Target="https://www.elmostrador.cl/noticias/pais/2025/01/24/gas-a-precio-justo-contraloria-acusa-a-gobierno-de-no-reembolsar-a-enap-gastos-de-iniciativa/" TargetMode="External"/><Relationship Id="rId10" Type="http://schemas.openxmlformats.org/officeDocument/2006/relationships/hyperlink" Target="http://www.emol.com/noticias/Nacional/2024/01/25/1119680/pensiones-contraloria-antecedentes-penales.html" TargetMode="External"/><Relationship Id="rId19" Type="http://schemas.openxmlformats.org/officeDocument/2006/relationships/hyperlink" Target="https://www.contraloria.cl/portalweb/web/cgr/-/principales-resultados-de-fiscaliz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ejotransparencia.cl/incumplimiento-en-la-entrega-de-informacion-publica-fiscalizacion-del-cplt-sobre-pensiones-de-gracia-detecta-que-en-un-44-de-los-casos-de-la-muestra-analizada-no-se-detallan-los-criterios-de-asignaci/" TargetMode="External"/><Relationship Id="rId14" Type="http://schemas.openxmlformats.org/officeDocument/2006/relationships/hyperlink" Target="https://www.elmostrador.cl/noticias/pais/2025/01/24/gas-a-precio-justo-contraloria-acusa-a-gobierno-de-no-reembolsar-a-enap-gastos-de-iniciati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que fortalece la facultad disciplinaria de la Contraloría General de la República con el fin de garantizar la observancia efectiva de los principios de legalidad, probidad, eficiencia, y transparencia.docx</dc:title>
  <cp:lastModifiedBy>Guillermo Diaz Vallejos</cp:lastModifiedBy>
  <cp:revision>1</cp:revision>
  <dcterms:created xsi:type="dcterms:W3CDTF">2025-06-30T20:00:00Z</dcterms:created>
  <dcterms:modified xsi:type="dcterms:W3CDTF">2025-07-07T22:29:00Z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2025-06-30T00:00:00Z</vt:filetime>
  </property>
</Properties>
</file>