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639" w:rsidRDefault="00000000">
      <w:pPr>
        <w:pStyle w:val="Textoindependiente"/>
        <w:spacing w:before="0"/>
        <w:ind w:left="3306"/>
        <w:jc w:val="left"/>
        <w:rPr>
          <w:rFonts w:ascii="Times New Roman"/>
          <w:sz w:val="20"/>
        </w:rPr>
      </w:pPr>
      <w:r>
        <w:rPr>
          <w:rFonts w:ascii="Times New Roman"/>
          <w:noProof/>
          <w:sz w:val="20"/>
        </w:rPr>
        <w:drawing>
          <wp:inline distT="0" distB="0" distL="0" distR="0">
            <wp:extent cx="1767450" cy="1685925"/>
            <wp:effectExtent l="0" t="0" r="0" b="0"/>
            <wp:docPr id="1" name="Image 1" descr="Logotipo, nombre de la empres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nombre de la empresa  El contenido generado por IA puede ser incorrecto."/>
                    <pic:cNvPicPr/>
                  </pic:nvPicPr>
                  <pic:blipFill>
                    <a:blip r:embed="rId5" cstate="print"/>
                    <a:stretch>
                      <a:fillRect/>
                    </a:stretch>
                  </pic:blipFill>
                  <pic:spPr>
                    <a:xfrm>
                      <a:off x="0" y="0"/>
                      <a:ext cx="1767450" cy="1685925"/>
                    </a:xfrm>
                    <a:prstGeom prst="rect">
                      <a:avLst/>
                    </a:prstGeom>
                  </pic:spPr>
                </pic:pic>
              </a:graphicData>
            </a:graphic>
          </wp:inline>
        </w:drawing>
      </w:r>
    </w:p>
    <w:p w:rsidR="000D2639" w:rsidRDefault="000D2639">
      <w:pPr>
        <w:pStyle w:val="Textoindependiente"/>
        <w:spacing w:before="0"/>
        <w:ind w:left="0"/>
        <w:jc w:val="left"/>
        <w:rPr>
          <w:rFonts w:ascii="Times New Roman"/>
          <w:sz w:val="28"/>
        </w:rPr>
      </w:pPr>
    </w:p>
    <w:p w:rsidR="000D2639" w:rsidRDefault="000D2639">
      <w:pPr>
        <w:pStyle w:val="Textoindependiente"/>
        <w:spacing w:before="122"/>
        <w:ind w:left="0"/>
        <w:jc w:val="left"/>
        <w:rPr>
          <w:rFonts w:ascii="Times New Roman"/>
          <w:sz w:val="28"/>
        </w:rPr>
      </w:pPr>
    </w:p>
    <w:p w:rsidR="000D2639" w:rsidRDefault="00000000">
      <w:pPr>
        <w:pStyle w:val="Ttulo"/>
        <w:spacing w:line="360" w:lineRule="auto"/>
      </w:pPr>
      <w:r>
        <w:t>Proyecto de ley que elimina el límite máximo de años indemnizables por término del contrato de trabajo.</w:t>
      </w:r>
    </w:p>
    <w:p w:rsidR="000D2639" w:rsidRDefault="000D2639">
      <w:pPr>
        <w:pStyle w:val="Textoindependiente"/>
        <w:spacing w:before="0"/>
        <w:ind w:left="0"/>
        <w:jc w:val="left"/>
        <w:rPr>
          <w:b/>
          <w:sz w:val="28"/>
        </w:rPr>
      </w:pPr>
    </w:p>
    <w:p w:rsidR="000D2639" w:rsidRDefault="000D2639">
      <w:pPr>
        <w:pStyle w:val="Textoindependiente"/>
        <w:spacing w:before="159"/>
        <w:ind w:left="0"/>
        <w:jc w:val="left"/>
        <w:rPr>
          <w:b/>
          <w:sz w:val="28"/>
        </w:rPr>
      </w:pPr>
    </w:p>
    <w:p w:rsidR="000D2639" w:rsidRDefault="00000000">
      <w:pPr>
        <w:pStyle w:val="Ttulo1"/>
        <w:numPr>
          <w:ilvl w:val="0"/>
          <w:numId w:val="1"/>
        </w:numPr>
        <w:tabs>
          <w:tab w:val="left" w:pos="461"/>
        </w:tabs>
        <w:ind w:hanging="200"/>
      </w:pPr>
      <w:r>
        <w:rPr>
          <w:spacing w:val="-2"/>
        </w:rPr>
        <w:t>FUNDAMENTOS</w:t>
      </w:r>
    </w:p>
    <w:p w:rsidR="000D2639" w:rsidRDefault="000D2639">
      <w:pPr>
        <w:pStyle w:val="Textoindependiente"/>
        <w:spacing w:before="22"/>
        <w:ind w:left="0"/>
        <w:jc w:val="left"/>
        <w:rPr>
          <w:b/>
        </w:rPr>
      </w:pPr>
    </w:p>
    <w:p w:rsidR="000D2639" w:rsidRDefault="00000000">
      <w:pPr>
        <w:pStyle w:val="Textoindependiente"/>
        <w:spacing w:before="0" w:line="360" w:lineRule="auto"/>
        <w:ind w:right="262"/>
      </w:pPr>
      <w:r>
        <w:t>El derecho del trabajo nace con un objetivo claro: proteger al trabajador en una relación jurídica intrínsecamente asimétrica. Esta rama del derecho solo puede entenderse desde una lógica de protección a la parte estructuralmente más vulnerable dentro de la relación laboral, lo que exige establecer medidas que corrijan los desequilibrios económicos y jurídicos entre empleadores y trabajadores. La indemnización por años de servicio responde precisamente a</w:t>
      </w:r>
      <w:r>
        <w:rPr>
          <w:spacing w:val="40"/>
        </w:rPr>
        <w:t xml:space="preserve"> </w:t>
      </w:r>
      <w:r>
        <w:t>esta lógica protectora: se trata de un mecanismo de carácter compensatorio que busca otorgar estabilidad económica al trabajador despedido y reconocer su permanencia en una relación laboral caracterizada por la dependencia y subordinación jurídica</w:t>
      </w:r>
    </w:p>
    <w:p w:rsidR="000D2639" w:rsidRDefault="00000000">
      <w:pPr>
        <w:pStyle w:val="Textoindependiente"/>
        <w:spacing w:line="360" w:lineRule="auto"/>
        <w:ind w:right="262"/>
      </w:pPr>
      <w:r>
        <w:t>En Chile, dicha figura se encuentra regulada en el artículo 163 del Código del Trabajo. No obstante, a partir</w:t>
      </w:r>
      <w:r>
        <w:rPr>
          <w:spacing w:val="-3"/>
        </w:rPr>
        <w:t xml:space="preserve"> </w:t>
      </w:r>
      <w:r>
        <w:t>de</w:t>
      </w:r>
      <w:r>
        <w:rPr>
          <w:spacing w:val="-3"/>
        </w:rPr>
        <w:t xml:space="preserve"> </w:t>
      </w:r>
      <w:r>
        <w:t>la</w:t>
      </w:r>
      <w:r>
        <w:rPr>
          <w:spacing w:val="-3"/>
        </w:rPr>
        <w:t xml:space="preserve"> </w:t>
      </w:r>
      <w:r>
        <w:t>promulgación</w:t>
      </w:r>
      <w:r>
        <w:rPr>
          <w:spacing w:val="-3"/>
        </w:rPr>
        <w:t xml:space="preserve"> </w:t>
      </w:r>
      <w:r>
        <w:t>de</w:t>
      </w:r>
      <w:r>
        <w:rPr>
          <w:spacing w:val="-3"/>
        </w:rPr>
        <w:t xml:space="preserve"> </w:t>
      </w:r>
      <w:r>
        <w:t>la</w:t>
      </w:r>
      <w:r>
        <w:rPr>
          <w:spacing w:val="-3"/>
        </w:rPr>
        <w:t xml:space="preserve"> </w:t>
      </w:r>
      <w:r>
        <w:t>Ley</w:t>
      </w:r>
      <w:r>
        <w:rPr>
          <w:spacing w:val="-3"/>
        </w:rPr>
        <w:t xml:space="preserve"> </w:t>
      </w:r>
      <w:r>
        <w:t>N.º</w:t>
      </w:r>
      <w:r>
        <w:rPr>
          <w:spacing w:val="-3"/>
        </w:rPr>
        <w:t xml:space="preserve"> </w:t>
      </w:r>
      <w:r>
        <w:t>18.018</w:t>
      </w:r>
      <w:r>
        <w:rPr>
          <w:spacing w:val="-3"/>
        </w:rPr>
        <w:t xml:space="preserve"> </w:t>
      </w:r>
      <w:r>
        <w:t>en</w:t>
      </w:r>
      <w:r>
        <w:rPr>
          <w:spacing w:val="-3"/>
        </w:rPr>
        <w:t xml:space="preserve"> </w:t>
      </w:r>
      <w:r>
        <w:t>1981,</w:t>
      </w:r>
      <w:r>
        <w:rPr>
          <w:spacing w:val="-3"/>
        </w:rPr>
        <w:t xml:space="preserve"> </w:t>
      </w:r>
      <w:r>
        <w:t>se incorporó un tope</w:t>
      </w:r>
      <w:r>
        <w:rPr>
          <w:spacing w:val="-3"/>
        </w:rPr>
        <w:t xml:space="preserve"> </w:t>
      </w:r>
      <w:r>
        <w:t>máximo</w:t>
      </w:r>
      <w:r>
        <w:rPr>
          <w:spacing w:val="-3"/>
        </w:rPr>
        <w:t xml:space="preserve"> </w:t>
      </w:r>
      <w:r>
        <w:t>al</w:t>
      </w:r>
      <w:r>
        <w:rPr>
          <w:spacing w:val="-3"/>
        </w:rPr>
        <w:t xml:space="preserve"> </w:t>
      </w:r>
      <w:r>
        <w:t>monto</w:t>
      </w:r>
      <w:r>
        <w:rPr>
          <w:spacing w:val="-3"/>
        </w:rPr>
        <w:t xml:space="preserve"> </w:t>
      </w:r>
      <w:r>
        <w:t>de</w:t>
      </w:r>
      <w:r>
        <w:rPr>
          <w:spacing w:val="-3"/>
        </w:rPr>
        <w:t xml:space="preserve"> </w:t>
      </w:r>
      <w:r>
        <w:t>la</w:t>
      </w:r>
      <w:r>
        <w:rPr>
          <w:spacing w:val="-3"/>
        </w:rPr>
        <w:t xml:space="preserve"> </w:t>
      </w:r>
      <w:r>
        <w:t>indemnización</w:t>
      </w:r>
      <w:r>
        <w:rPr>
          <w:spacing w:val="-3"/>
        </w:rPr>
        <w:t xml:space="preserve"> </w:t>
      </w:r>
      <w:r>
        <w:t>legal</w:t>
      </w:r>
      <w:r>
        <w:rPr>
          <w:spacing w:val="-3"/>
        </w:rPr>
        <w:t xml:space="preserve"> </w:t>
      </w:r>
      <w:r>
        <w:t>por</w:t>
      </w:r>
      <w:r>
        <w:rPr>
          <w:spacing w:val="-3"/>
        </w:rPr>
        <w:t xml:space="preserve"> </w:t>
      </w:r>
      <w:r>
        <w:t>años</w:t>
      </w:r>
      <w:r>
        <w:rPr>
          <w:spacing w:val="-3"/>
        </w:rPr>
        <w:t xml:space="preserve"> </w:t>
      </w:r>
      <w:r>
        <w:t>de</w:t>
      </w:r>
      <w:r>
        <w:rPr>
          <w:spacing w:val="-3"/>
        </w:rPr>
        <w:t xml:space="preserve"> </w:t>
      </w:r>
      <w:r>
        <w:t>servicio, limitando su cálculo a un máximo de 330 días de remuneración (equivalente a once años de servicio). Esta medida fue parte de un conjunto de reformas estructurales</w:t>
      </w:r>
      <w:r>
        <w:rPr>
          <w:spacing w:val="71"/>
        </w:rPr>
        <w:t xml:space="preserve">  </w:t>
      </w:r>
      <w:r>
        <w:t>impulsadas</w:t>
      </w:r>
      <w:r>
        <w:rPr>
          <w:spacing w:val="71"/>
        </w:rPr>
        <w:t xml:space="preserve">  </w:t>
      </w:r>
      <w:r>
        <w:t>por</w:t>
      </w:r>
      <w:r>
        <w:rPr>
          <w:spacing w:val="71"/>
        </w:rPr>
        <w:t xml:space="preserve">  </w:t>
      </w:r>
      <w:r>
        <w:t>la</w:t>
      </w:r>
      <w:r>
        <w:rPr>
          <w:spacing w:val="71"/>
        </w:rPr>
        <w:t xml:space="preserve">  </w:t>
      </w:r>
      <w:r>
        <w:t>dictadura</w:t>
      </w:r>
      <w:r>
        <w:rPr>
          <w:spacing w:val="64"/>
        </w:rPr>
        <w:t xml:space="preserve">  </w:t>
      </w:r>
      <w:r>
        <w:t>conocidas</w:t>
      </w:r>
      <w:r>
        <w:rPr>
          <w:spacing w:val="63"/>
        </w:rPr>
        <w:t xml:space="preserve">  </w:t>
      </w:r>
      <w:r>
        <w:t>como</w:t>
      </w:r>
      <w:r>
        <w:rPr>
          <w:spacing w:val="64"/>
        </w:rPr>
        <w:t xml:space="preserve">  </w:t>
      </w:r>
      <w:r>
        <w:t>"las</w:t>
      </w:r>
      <w:r>
        <w:rPr>
          <w:spacing w:val="64"/>
        </w:rPr>
        <w:t xml:space="preserve">  </w:t>
      </w:r>
      <w:r>
        <w:rPr>
          <w:spacing w:val="-2"/>
        </w:rPr>
        <w:t>siete</w:t>
      </w:r>
    </w:p>
    <w:p w:rsidR="000D2639" w:rsidRDefault="000D2639">
      <w:pPr>
        <w:pStyle w:val="Textoindependiente"/>
        <w:spacing w:line="360" w:lineRule="auto"/>
        <w:sectPr w:rsidR="000D2639">
          <w:type w:val="continuous"/>
          <w:pgSz w:w="12240" w:h="15840"/>
          <w:pgMar w:top="1620" w:right="1440" w:bottom="280" w:left="1440" w:header="720" w:footer="720" w:gutter="0"/>
          <w:cols w:space="720"/>
        </w:sectPr>
      </w:pPr>
    </w:p>
    <w:p w:rsidR="000D2639" w:rsidRDefault="00000000">
      <w:pPr>
        <w:pStyle w:val="Textoindependiente"/>
        <w:spacing w:before="77" w:line="360" w:lineRule="auto"/>
        <w:ind w:right="262"/>
      </w:pPr>
      <w:r>
        <w:lastRenderedPageBreak/>
        <w:t>modernizaciones", las cuales promovieron una flexibilización radical del mercado laboral, debilitando la estabilidad en el empleo y trasladando el costo de la cesantía casi exclusivamente al trabajador.</w:t>
      </w:r>
    </w:p>
    <w:p w:rsidR="000D2639" w:rsidRDefault="00000000">
      <w:pPr>
        <w:pStyle w:val="Textoindependiente"/>
        <w:spacing w:line="360" w:lineRule="auto"/>
        <w:ind w:right="259"/>
      </w:pPr>
      <w:r>
        <w:t>Desde la doctrina, diversos autores han advertido sobre las consecuencias que implica limitar este derecho. Irene Rojas Miño señala que la indemnización por años de servicio no retribuye el trabajo realizado —el cual ya</w:t>
      </w:r>
      <w:r>
        <w:rPr>
          <w:spacing w:val="-3"/>
        </w:rPr>
        <w:t xml:space="preserve"> </w:t>
      </w:r>
      <w:r>
        <w:t>ha</w:t>
      </w:r>
      <w:r>
        <w:rPr>
          <w:spacing w:val="-3"/>
        </w:rPr>
        <w:t xml:space="preserve"> </w:t>
      </w:r>
      <w:r>
        <w:t>sido</w:t>
      </w:r>
      <w:r>
        <w:rPr>
          <w:spacing w:val="-3"/>
        </w:rPr>
        <w:t xml:space="preserve"> </w:t>
      </w:r>
      <w:r>
        <w:t>remunerado con el salario—, sino que tiene un carácter</w:t>
      </w:r>
      <w:r>
        <w:rPr>
          <w:spacing w:val="-3"/>
        </w:rPr>
        <w:t xml:space="preserve"> </w:t>
      </w:r>
      <w:r>
        <w:t>compensatorio</w:t>
      </w:r>
      <w:r>
        <w:rPr>
          <w:spacing w:val="-3"/>
        </w:rPr>
        <w:t xml:space="preserve"> </w:t>
      </w:r>
      <w:r>
        <w:t>por</w:t>
      </w:r>
      <w:r>
        <w:rPr>
          <w:spacing w:val="-3"/>
        </w:rPr>
        <w:t xml:space="preserve"> </w:t>
      </w:r>
      <w:r>
        <w:t>los</w:t>
      </w:r>
      <w:r>
        <w:rPr>
          <w:spacing w:val="-3"/>
        </w:rPr>
        <w:t xml:space="preserve"> </w:t>
      </w:r>
      <w:r>
        <w:t>años</w:t>
      </w:r>
      <w:r>
        <w:rPr>
          <w:spacing w:val="-3"/>
        </w:rPr>
        <w:t xml:space="preserve"> </w:t>
      </w:r>
      <w:r>
        <w:t>de</w:t>
      </w:r>
      <w:r>
        <w:rPr>
          <w:spacing w:val="-3"/>
        </w:rPr>
        <w:t xml:space="preserve"> </w:t>
      </w:r>
      <w:r>
        <w:t>vínculo laboral sostenido bajo condiciones de</w:t>
      </w:r>
      <w:r>
        <w:rPr>
          <w:spacing w:val="-3"/>
        </w:rPr>
        <w:t xml:space="preserve"> </w:t>
      </w:r>
      <w:r>
        <w:t>subordinación</w:t>
      </w:r>
      <w:r>
        <w:rPr>
          <w:spacing w:val="-3"/>
        </w:rPr>
        <w:t xml:space="preserve"> </w:t>
      </w:r>
      <w:r>
        <w:t>y</w:t>
      </w:r>
      <w:r>
        <w:rPr>
          <w:spacing w:val="-3"/>
        </w:rPr>
        <w:t xml:space="preserve"> </w:t>
      </w:r>
      <w:r>
        <w:t>dependencia</w:t>
      </w:r>
      <w:r>
        <w:rPr>
          <w:spacing w:val="-3"/>
        </w:rPr>
        <w:t xml:space="preserve"> </w:t>
      </w:r>
      <w:r>
        <w:t>(Rojas,</w:t>
      </w:r>
      <w:r>
        <w:rPr>
          <w:spacing w:val="-3"/>
        </w:rPr>
        <w:t xml:space="preserve"> </w:t>
      </w:r>
      <w:r>
        <w:t>2013). Su finalidad es proporcionar medios económicos que permitan al trabajador enfrentar el desempleo, capacitarse o reinsertarse laboralmente. Por ello,</w:t>
      </w:r>
      <w:r>
        <w:rPr>
          <w:spacing w:val="40"/>
        </w:rPr>
        <w:t xml:space="preserve"> </w:t>
      </w:r>
      <w:r>
        <w:t>cualquier limitación al número de años que puede indemnizarse afecta directamente esta función protectora.</w:t>
      </w:r>
    </w:p>
    <w:p w:rsidR="000D2639" w:rsidRDefault="00000000">
      <w:pPr>
        <w:pStyle w:val="Textoindependiente"/>
        <w:spacing w:line="360" w:lineRule="auto"/>
        <w:ind w:right="264"/>
      </w:pPr>
      <w:r>
        <w:t>En la misma línea, Luis Lizama y Diego Lizama explican que esta indemnización constituye una forma de “estabilidad relativa impropia”, en tanto impone al empleador un costo económico ante el</w:t>
      </w:r>
      <w:r>
        <w:rPr>
          <w:spacing w:val="-3"/>
        </w:rPr>
        <w:t xml:space="preserve"> </w:t>
      </w:r>
      <w:r>
        <w:t>despido,</w:t>
      </w:r>
      <w:r>
        <w:rPr>
          <w:spacing w:val="-3"/>
        </w:rPr>
        <w:t xml:space="preserve"> </w:t>
      </w:r>
      <w:r>
        <w:t>funcionando</w:t>
      </w:r>
      <w:r>
        <w:rPr>
          <w:spacing w:val="-3"/>
        </w:rPr>
        <w:t xml:space="preserve"> </w:t>
      </w:r>
      <w:r>
        <w:t>como</w:t>
      </w:r>
      <w:r>
        <w:rPr>
          <w:spacing w:val="-3"/>
        </w:rPr>
        <w:t xml:space="preserve"> </w:t>
      </w:r>
      <w:r>
        <w:t>un</w:t>
      </w:r>
      <w:r>
        <w:rPr>
          <w:spacing w:val="-3"/>
        </w:rPr>
        <w:t xml:space="preserve"> </w:t>
      </w:r>
      <w:r>
        <w:t>mecanismo disuasivo</w:t>
      </w:r>
      <w:r>
        <w:rPr>
          <w:spacing w:val="-4"/>
        </w:rPr>
        <w:t xml:space="preserve"> </w:t>
      </w:r>
      <w:r>
        <w:t>frente</w:t>
      </w:r>
      <w:r>
        <w:rPr>
          <w:spacing w:val="-4"/>
        </w:rPr>
        <w:t xml:space="preserve"> </w:t>
      </w:r>
      <w:r>
        <w:t>a</w:t>
      </w:r>
      <w:r>
        <w:rPr>
          <w:spacing w:val="-4"/>
        </w:rPr>
        <w:t xml:space="preserve"> </w:t>
      </w:r>
      <w:r>
        <w:t>terminaciones</w:t>
      </w:r>
      <w:r>
        <w:rPr>
          <w:spacing w:val="-4"/>
        </w:rPr>
        <w:t xml:space="preserve"> </w:t>
      </w:r>
      <w:r>
        <w:t>unilaterales</w:t>
      </w:r>
      <w:r>
        <w:rPr>
          <w:spacing w:val="-4"/>
        </w:rPr>
        <w:t xml:space="preserve"> </w:t>
      </w:r>
      <w:r>
        <w:t>e</w:t>
      </w:r>
      <w:r>
        <w:rPr>
          <w:spacing w:val="-4"/>
        </w:rPr>
        <w:t xml:space="preserve"> </w:t>
      </w:r>
      <w:r>
        <w:t>injustificadas</w:t>
      </w:r>
      <w:r>
        <w:rPr>
          <w:spacing w:val="-4"/>
        </w:rPr>
        <w:t xml:space="preserve"> </w:t>
      </w:r>
      <w:r>
        <w:t>del</w:t>
      </w:r>
      <w:r>
        <w:rPr>
          <w:spacing w:val="-4"/>
        </w:rPr>
        <w:t xml:space="preserve"> </w:t>
      </w:r>
      <w:r>
        <w:t>contrato</w:t>
      </w:r>
      <w:r>
        <w:rPr>
          <w:spacing w:val="-4"/>
        </w:rPr>
        <w:t xml:space="preserve"> </w:t>
      </w:r>
      <w:r>
        <w:t>de</w:t>
      </w:r>
      <w:r>
        <w:rPr>
          <w:spacing w:val="-4"/>
        </w:rPr>
        <w:t xml:space="preserve"> </w:t>
      </w:r>
      <w:r>
        <w:t>trabajo (Lizama,</w:t>
      </w:r>
      <w:r>
        <w:rPr>
          <w:spacing w:val="-4"/>
        </w:rPr>
        <w:t xml:space="preserve"> </w:t>
      </w:r>
      <w:r>
        <w:t>2019,</w:t>
      </w:r>
      <w:r>
        <w:rPr>
          <w:spacing w:val="-4"/>
        </w:rPr>
        <w:t xml:space="preserve"> </w:t>
      </w:r>
      <w:r>
        <w:t>p.</w:t>
      </w:r>
      <w:r>
        <w:rPr>
          <w:spacing w:val="-4"/>
        </w:rPr>
        <w:t xml:space="preserve"> </w:t>
      </w:r>
      <w:r>
        <w:t>263).</w:t>
      </w:r>
      <w:r>
        <w:rPr>
          <w:spacing w:val="-4"/>
        </w:rPr>
        <w:t xml:space="preserve"> </w:t>
      </w:r>
      <w:r>
        <w:t>Al</w:t>
      </w:r>
      <w:r>
        <w:rPr>
          <w:spacing w:val="-4"/>
        </w:rPr>
        <w:t xml:space="preserve"> </w:t>
      </w:r>
      <w:r>
        <w:t>establecerse</w:t>
      </w:r>
      <w:r>
        <w:rPr>
          <w:spacing w:val="-4"/>
        </w:rPr>
        <w:t xml:space="preserve"> </w:t>
      </w:r>
      <w:r>
        <w:t>un</w:t>
      </w:r>
      <w:r>
        <w:rPr>
          <w:spacing w:val="-4"/>
        </w:rPr>
        <w:t xml:space="preserve"> </w:t>
      </w:r>
      <w:r>
        <w:t>tope,</w:t>
      </w:r>
      <w:r>
        <w:rPr>
          <w:spacing w:val="-4"/>
        </w:rPr>
        <w:t xml:space="preserve"> </w:t>
      </w:r>
      <w:r>
        <w:t>dicho</w:t>
      </w:r>
      <w:r>
        <w:rPr>
          <w:spacing w:val="-4"/>
        </w:rPr>
        <w:t xml:space="preserve"> </w:t>
      </w:r>
      <w:r>
        <w:t>efecto</w:t>
      </w:r>
      <w:r>
        <w:rPr>
          <w:spacing w:val="-4"/>
        </w:rPr>
        <w:t xml:space="preserve"> </w:t>
      </w:r>
      <w:r>
        <w:t>preventivo</w:t>
      </w:r>
      <w:r>
        <w:rPr>
          <w:spacing w:val="-4"/>
        </w:rPr>
        <w:t xml:space="preserve"> </w:t>
      </w:r>
      <w:r>
        <w:t>se</w:t>
      </w:r>
      <w:r>
        <w:rPr>
          <w:spacing w:val="-4"/>
        </w:rPr>
        <w:t xml:space="preserve"> </w:t>
      </w:r>
      <w:r>
        <w:t>atenúa, permitiendo que el despido de trabajadores con mayor antigüedad no implique consecuencias económicas proporcionales.</w:t>
      </w:r>
    </w:p>
    <w:p w:rsidR="000D2639" w:rsidRDefault="00000000">
      <w:pPr>
        <w:pStyle w:val="Textoindependiente"/>
        <w:spacing w:line="360" w:lineRule="auto"/>
        <w:ind w:right="261"/>
      </w:pPr>
      <w:r>
        <w:t>A su vez, José Luis Ugarte Cataldo identifica en la indemnización por años de servicio una triple función: (i) compensatoria, al resarcir el daño derivado de la pérdida del empleo; (ii) redistributiva, al transferir parte del valor generado en la relación laboral hacia el trabajador; y (iii) estabilizadora, al proteger vínculos laborales de larga duración (Ugarte, 2020). La existencia de un límite legal a los años indemnizables restringe significativamente el cumplimiento pleno de estas funciones, especialmente en el caso de trabajadores con extensas trayectorias laborales,</w:t>
      </w:r>
      <w:r>
        <w:rPr>
          <w:spacing w:val="-4"/>
        </w:rPr>
        <w:t xml:space="preserve"> </w:t>
      </w:r>
      <w:r>
        <w:t>cuyo</w:t>
      </w:r>
      <w:r>
        <w:rPr>
          <w:spacing w:val="-4"/>
        </w:rPr>
        <w:t xml:space="preserve"> </w:t>
      </w:r>
      <w:r>
        <w:t>tiempo</w:t>
      </w:r>
      <w:r>
        <w:rPr>
          <w:spacing w:val="-4"/>
        </w:rPr>
        <w:t xml:space="preserve"> </w:t>
      </w:r>
      <w:r>
        <w:t>efectivamente</w:t>
      </w:r>
      <w:r>
        <w:rPr>
          <w:spacing w:val="-4"/>
        </w:rPr>
        <w:t xml:space="preserve"> </w:t>
      </w:r>
      <w:r>
        <w:t>servido</w:t>
      </w:r>
      <w:r>
        <w:rPr>
          <w:spacing w:val="-4"/>
        </w:rPr>
        <w:t xml:space="preserve"> </w:t>
      </w:r>
      <w:r>
        <w:t>no</w:t>
      </w:r>
      <w:r>
        <w:rPr>
          <w:spacing w:val="-4"/>
        </w:rPr>
        <w:t xml:space="preserve"> </w:t>
      </w:r>
      <w:r>
        <w:t>se</w:t>
      </w:r>
      <w:r>
        <w:rPr>
          <w:spacing w:val="-4"/>
        </w:rPr>
        <w:t xml:space="preserve"> </w:t>
      </w:r>
      <w:r>
        <w:t>ve</w:t>
      </w:r>
      <w:r>
        <w:rPr>
          <w:spacing w:val="-4"/>
        </w:rPr>
        <w:t xml:space="preserve"> </w:t>
      </w:r>
      <w:r>
        <w:t>reflejado</w:t>
      </w:r>
      <w:r>
        <w:rPr>
          <w:spacing w:val="-4"/>
        </w:rPr>
        <w:t xml:space="preserve"> </w:t>
      </w:r>
      <w:r>
        <w:t>íntegramente</w:t>
      </w:r>
      <w:r>
        <w:rPr>
          <w:spacing w:val="-4"/>
        </w:rPr>
        <w:t xml:space="preserve"> </w:t>
      </w:r>
      <w:r>
        <w:t>en</w:t>
      </w:r>
      <w:r>
        <w:rPr>
          <w:spacing w:val="-4"/>
        </w:rPr>
        <w:t xml:space="preserve"> </w:t>
      </w:r>
      <w:r>
        <w:t>la compensación recibida.</w:t>
      </w:r>
    </w:p>
    <w:p w:rsidR="000D2639" w:rsidRDefault="00000000">
      <w:pPr>
        <w:pStyle w:val="Textoindependiente"/>
        <w:spacing w:line="360" w:lineRule="auto"/>
        <w:ind w:right="263"/>
      </w:pPr>
      <w:r>
        <w:t>Esta interpretación ha sido</w:t>
      </w:r>
      <w:r>
        <w:rPr>
          <w:spacing w:val="-4"/>
        </w:rPr>
        <w:t xml:space="preserve"> </w:t>
      </w:r>
      <w:r>
        <w:t>recogida</w:t>
      </w:r>
      <w:r>
        <w:rPr>
          <w:spacing w:val="-4"/>
        </w:rPr>
        <w:t xml:space="preserve"> </w:t>
      </w:r>
      <w:r>
        <w:t>también</w:t>
      </w:r>
      <w:r>
        <w:rPr>
          <w:spacing w:val="-4"/>
        </w:rPr>
        <w:t xml:space="preserve"> </w:t>
      </w:r>
      <w:r>
        <w:t>por</w:t>
      </w:r>
      <w:r>
        <w:rPr>
          <w:spacing w:val="-4"/>
        </w:rPr>
        <w:t xml:space="preserve"> </w:t>
      </w:r>
      <w:r>
        <w:t>el</w:t>
      </w:r>
      <w:r>
        <w:rPr>
          <w:spacing w:val="-4"/>
        </w:rPr>
        <w:t xml:space="preserve"> </w:t>
      </w:r>
      <w:r>
        <w:t>Tribunal</w:t>
      </w:r>
      <w:r>
        <w:rPr>
          <w:spacing w:val="-4"/>
        </w:rPr>
        <w:t xml:space="preserve"> </w:t>
      </w:r>
      <w:r>
        <w:t>Constitucional,</w:t>
      </w:r>
      <w:r>
        <w:rPr>
          <w:spacing w:val="-4"/>
        </w:rPr>
        <w:t xml:space="preserve"> </w:t>
      </w:r>
      <w:r>
        <w:t>que</w:t>
      </w:r>
      <w:r>
        <w:rPr>
          <w:spacing w:val="-4"/>
        </w:rPr>
        <w:t xml:space="preserve"> </w:t>
      </w:r>
      <w:r>
        <w:t>en una</w:t>
      </w:r>
      <w:r>
        <w:rPr>
          <w:spacing w:val="44"/>
        </w:rPr>
        <w:t xml:space="preserve"> </w:t>
      </w:r>
      <w:r>
        <w:t>reiterada</w:t>
      </w:r>
      <w:r>
        <w:rPr>
          <w:spacing w:val="44"/>
        </w:rPr>
        <w:t xml:space="preserve"> </w:t>
      </w:r>
      <w:r>
        <w:t>línea</w:t>
      </w:r>
      <w:r>
        <w:rPr>
          <w:spacing w:val="44"/>
        </w:rPr>
        <w:t xml:space="preserve"> </w:t>
      </w:r>
      <w:r>
        <w:t>jurisprudencial</w:t>
      </w:r>
      <w:r>
        <w:rPr>
          <w:spacing w:val="44"/>
        </w:rPr>
        <w:t xml:space="preserve"> </w:t>
      </w:r>
      <w:r>
        <w:t>ha</w:t>
      </w:r>
      <w:r>
        <w:rPr>
          <w:spacing w:val="44"/>
        </w:rPr>
        <w:t xml:space="preserve"> </w:t>
      </w:r>
      <w:r>
        <w:t>reafirmado</w:t>
      </w:r>
      <w:r>
        <w:rPr>
          <w:spacing w:val="30"/>
        </w:rPr>
        <w:t xml:space="preserve"> </w:t>
      </w:r>
      <w:r>
        <w:t>la</w:t>
      </w:r>
      <w:r>
        <w:rPr>
          <w:spacing w:val="30"/>
        </w:rPr>
        <w:t xml:space="preserve"> </w:t>
      </w:r>
      <w:r>
        <w:t>naturaleza</w:t>
      </w:r>
      <w:r>
        <w:rPr>
          <w:spacing w:val="30"/>
        </w:rPr>
        <w:t xml:space="preserve"> </w:t>
      </w:r>
      <w:r>
        <w:t>protectora</w:t>
      </w:r>
      <w:r>
        <w:rPr>
          <w:spacing w:val="30"/>
        </w:rPr>
        <w:t xml:space="preserve"> </w:t>
      </w:r>
      <w:r>
        <w:t>de</w:t>
      </w:r>
      <w:r>
        <w:rPr>
          <w:spacing w:val="30"/>
        </w:rPr>
        <w:t xml:space="preserve"> </w:t>
      </w:r>
      <w:r>
        <w:rPr>
          <w:spacing w:val="-5"/>
        </w:rPr>
        <w:t>las</w:t>
      </w:r>
    </w:p>
    <w:p w:rsidR="000D2639" w:rsidRDefault="000D2639">
      <w:pPr>
        <w:pStyle w:val="Textoindependiente"/>
        <w:spacing w:line="360" w:lineRule="auto"/>
        <w:sectPr w:rsidR="000D2639">
          <w:pgSz w:w="12240" w:h="15840"/>
          <w:pgMar w:top="1340" w:right="1440" w:bottom="280" w:left="1440" w:header="720" w:footer="720" w:gutter="0"/>
          <w:cols w:space="720"/>
        </w:sectPr>
      </w:pPr>
    </w:p>
    <w:p w:rsidR="000D2639" w:rsidRDefault="00000000">
      <w:pPr>
        <w:pStyle w:val="Textoindependiente"/>
        <w:spacing w:before="77" w:line="360" w:lineRule="auto"/>
        <w:ind w:right="259"/>
      </w:pPr>
      <w:r>
        <w:lastRenderedPageBreak/>
        <w:t>indemnizaciones laborales. En su sentencia Rol N.º 7217, señaló que estas "buscan impedir los despidos injustificados y, por otra parte, resarcir al trabajador despedido por los perjuicios que le arroje el terminar su empleo" (STC 7217,</w:t>
      </w:r>
      <w:r>
        <w:rPr>
          <w:spacing w:val="40"/>
        </w:rPr>
        <w:t xml:space="preserve"> </w:t>
      </w:r>
      <w:r>
        <w:t>pp.9.). Este carácter reparador exige</w:t>
      </w:r>
      <w:r>
        <w:rPr>
          <w:spacing w:val="-2"/>
        </w:rPr>
        <w:t xml:space="preserve"> </w:t>
      </w:r>
      <w:r>
        <w:t>que</w:t>
      </w:r>
      <w:r>
        <w:rPr>
          <w:spacing w:val="-2"/>
        </w:rPr>
        <w:t xml:space="preserve"> </w:t>
      </w:r>
      <w:r>
        <w:t>el</w:t>
      </w:r>
      <w:r>
        <w:rPr>
          <w:spacing w:val="-2"/>
        </w:rPr>
        <w:t xml:space="preserve"> </w:t>
      </w:r>
      <w:r>
        <w:t>cálculo</w:t>
      </w:r>
      <w:r>
        <w:rPr>
          <w:spacing w:val="-2"/>
        </w:rPr>
        <w:t xml:space="preserve"> </w:t>
      </w:r>
      <w:r>
        <w:t>de</w:t>
      </w:r>
      <w:r>
        <w:rPr>
          <w:spacing w:val="-2"/>
        </w:rPr>
        <w:t xml:space="preserve"> </w:t>
      </w:r>
      <w:r>
        <w:t>la</w:t>
      </w:r>
      <w:r>
        <w:rPr>
          <w:spacing w:val="-2"/>
        </w:rPr>
        <w:t xml:space="preserve"> </w:t>
      </w:r>
      <w:r>
        <w:t>indemnización</w:t>
      </w:r>
      <w:r>
        <w:rPr>
          <w:spacing w:val="-2"/>
        </w:rPr>
        <w:t xml:space="preserve"> </w:t>
      </w:r>
      <w:r>
        <w:t>se</w:t>
      </w:r>
      <w:r>
        <w:rPr>
          <w:spacing w:val="-2"/>
        </w:rPr>
        <w:t xml:space="preserve"> </w:t>
      </w:r>
      <w:r>
        <w:t xml:space="preserve">vincule al tiempo efectivamente trabajado y no a límites arbitrarios que desvirtúan su </w:t>
      </w:r>
      <w:r>
        <w:rPr>
          <w:spacing w:val="-2"/>
        </w:rPr>
        <w:t>sentido.</w:t>
      </w:r>
    </w:p>
    <w:p w:rsidR="000D2639" w:rsidRDefault="00000000">
      <w:pPr>
        <w:pStyle w:val="Ttulo1"/>
        <w:numPr>
          <w:ilvl w:val="0"/>
          <w:numId w:val="1"/>
        </w:numPr>
        <w:tabs>
          <w:tab w:val="left" w:pos="527"/>
        </w:tabs>
        <w:spacing w:before="160"/>
        <w:ind w:left="527" w:hanging="266"/>
      </w:pPr>
      <w:r>
        <w:t>CONTEXTO</w:t>
      </w:r>
      <w:r>
        <w:rPr>
          <w:spacing w:val="-6"/>
        </w:rPr>
        <w:t xml:space="preserve"> </w:t>
      </w:r>
      <w:r>
        <w:t>NORMATIVO,</w:t>
      </w:r>
      <w:r>
        <w:rPr>
          <w:spacing w:val="-6"/>
        </w:rPr>
        <w:t xml:space="preserve"> </w:t>
      </w:r>
      <w:r>
        <w:t>HISTÓRICO</w:t>
      </w:r>
      <w:r>
        <w:rPr>
          <w:spacing w:val="-6"/>
        </w:rPr>
        <w:t xml:space="preserve"> </w:t>
      </w:r>
      <w:r>
        <w:t>Y</w:t>
      </w:r>
      <w:r>
        <w:rPr>
          <w:spacing w:val="-5"/>
        </w:rPr>
        <w:t xml:space="preserve"> </w:t>
      </w:r>
      <w:r>
        <w:rPr>
          <w:spacing w:val="-2"/>
        </w:rPr>
        <w:t>EMPÍRICO</w:t>
      </w:r>
    </w:p>
    <w:p w:rsidR="000D2639" w:rsidRDefault="000D2639">
      <w:pPr>
        <w:pStyle w:val="Textoindependiente"/>
        <w:spacing w:before="22"/>
        <w:ind w:left="0"/>
        <w:jc w:val="left"/>
        <w:rPr>
          <w:b/>
        </w:rPr>
      </w:pPr>
    </w:p>
    <w:p w:rsidR="000D2639" w:rsidRDefault="00000000">
      <w:pPr>
        <w:pStyle w:val="Textoindependiente"/>
        <w:spacing w:before="0" w:line="360" w:lineRule="auto"/>
        <w:ind w:right="259"/>
      </w:pPr>
      <w:r>
        <w:t>Históricamente, la legislación chilena consideró todos los años de servicio para determinar el monto de la indemnización. El Código del Trabajo de 1931, en su artículo 171, establecía que</w:t>
      </w:r>
      <w:r>
        <w:rPr>
          <w:spacing w:val="-4"/>
        </w:rPr>
        <w:t xml:space="preserve"> </w:t>
      </w:r>
      <w:r>
        <w:t>la</w:t>
      </w:r>
      <w:r>
        <w:rPr>
          <w:spacing w:val="-4"/>
        </w:rPr>
        <w:t xml:space="preserve"> </w:t>
      </w:r>
      <w:r>
        <w:t>indemnización</w:t>
      </w:r>
      <w:r>
        <w:rPr>
          <w:spacing w:val="-4"/>
        </w:rPr>
        <w:t xml:space="preserve"> </w:t>
      </w:r>
      <w:r>
        <w:t>era</w:t>
      </w:r>
      <w:r>
        <w:rPr>
          <w:spacing w:val="-4"/>
        </w:rPr>
        <w:t xml:space="preserve"> </w:t>
      </w:r>
      <w:r>
        <w:t>equivalente</w:t>
      </w:r>
      <w:r>
        <w:rPr>
          <w:spacing w:val="-4"/>
        </w:rPr>
        <w:t xml:space="preserve"> </w:t>
      </w:r>
      <w:r>
        <w:t>a</w:t>
      </w:r>
      <w:r>
        <w:rPr>
          <w:spacing w:val="-4"/>
        </w:rPr>
        <w:t xml:space="preserve"> </w:t>
      </w:r>
      <w:r>
        <w:t>un</w:t>
      </w:r>
      <w:r>
        <w:rPr>
          <w:spacing w:val="-4"/>
        </w:rPr>
        <w:t xml:space="preserve"> </w:t>
      </w:r>
      <w:r>
        <w:t>sueldo</w:t>
      </w:r>
      <w:r>
        <w:rPr>
          <w:spacing w:val="-4"/>
        </w:rPr>
        <w:t xml:space="preserve"> </w:t>
      </w:r>
      <w:r>
        <w:t>mensual por cada año completo de servicios, sin topes ni exclusiones. Esta concepción</w:t>
      </w:r>
      <w:r>
        <w:rPr>
          <w:spacing w:val="-2"/>
        </w:rPr>
        <w:t xml:space="preserve"> </w:t>
      </w:r>
      <w:r>
        <w:t>se mantuvo hasta la década de 1980, cuando se instauró una lógica neoliberal que subordinó el derecho del trabajo a criterios de eficiencia económica.</w:t>
      </w:r>
    </w:p>
    <w:p w:rsidR="000D2639" w:rsidRDefault="00000000">
      <w:pPr>
        <w:pStyle w:val="Textoindependiente"/>
        <w:spacing w:line="360" w:lineRule="auto"/>
        <w:ind w:right="262"/>
      </w:pPr>
      <w:r>
        <w:t>A nivel internacional, tanto el Convenio N.º 158 de la Organización Internacional del Trabajo (OIT) como la Recomendación N.º 166 —aunque no ratificados por Chile— establecen parámetros claros sobre la protección frente al despido, reconociendo el derecho a una indemnización adecuada y proporcional al tiempo trabajado. El artículo 12 del citado Convenio indica que todo trabajador cuya relación laboral se haya extinguido tiene derecho a "una indemnización por fin de servicios o a otras prestaciones análogas", cuya cuantía se fijará, entre otros factores, en función del tiempo de servicios.</w:t>
      </w:r>
    </w:p>
    <w:p w:rsidR="000D2639" w:rsidRDefault="00000000">
      <w:pPr>
        <w:pStyle w:val="Textoindependiente"/>
        <w:spacing w:line="360" w:lineRule="auto"/>
        <w:ind w:right="259"/>
      </w:pPr>
      <w:r>
        <w:t>En el plano interamericano, el Protocolo de</w:t>
      </w:r>
      <w:r>
        <w:rPr>
          <w:spacing w:val="-3"/>
        </w:rPr>
        <w:t xml:space="preserve"> </w:t>
      </w:r>
      <w:r>
        <w:t>San</w:t>
      </w:r>
      <w:r>
        <w:rPr>
          <w:spacing w:val="-3"/>
        </w:rPr>
        <w:t xml:space="preserve"> </w:t>
      </w:r>
      <w:r>
        <w:t>Salvador</w:t>
      </w:r>
      <w:r>
        <w:rPr>
          <w:spacing w:val="-3"/>
        </w:rPr>
        <w:t xml:space="preserve"> </w:t>
      </w:r>
      <w:r>
        <w:t>—ratificado</w:t>
      </w:r>
      <w:r>
        <w:rPr>
          <w:spacing w:val="-3"/>
        </w:rPr>
        <w:t xml:space="preserve"> </w:t>
      </w:r>
      <w:r>
        <w:t>por</w:t>
      </w:r>
      <w:r>
        <w:rPr>
          <w:spacing w:val="-3"/>
        </w:rPr>
        <w:t xml:space="preserve"> </w:t>
      </w:r>
      <w:r>
        <w:t>Chile</w:t>
      </w:r>
      <w:r>
        <w:rPr>
          <w:spacing w:val="-3"/>
        </w:rPr>
        <w:t xml:space="preserve"> </w:t>
      </w:r>
      <w:r>
        <w:t>en 2022— establece en su artículo 7 que los Estados deben garantizar condiciones justas, equitativas y satisfactorias</w:t>
      </w:r>
      <w:r>
        <w:rPr>
          <w:spacing w:val="-4"/>
        </w:rPr>
        <w:t xml:space="preserve"> </w:t>
      </w:r>
      <w:r>
        <w:t>de</w:t>
      </w:r>
      <w:r>
        <w:rPr>
          <w:spacing w:val="-4"/>
        </w:rPr>
        <w:t xml:space="preserve"> </w:t>
      </w:r>
      <w:r>
        <w:t>trabajo,</w:t>
      </w:r>
      <w:r>
        <w:rPr>
          <w:spacing w:val="-4"/>
        </w:rPr>
        <w:t xml:space="preserve"> </w:t>
      </w:r>
      <w:r>
        <w:t>asegurando</w:t>
      </w:r>
      <w:r>
        <w:rPr>
          <w:spacing w:val="-4"/>
        </w:rPr>
        <w:t xml:space="preserve"> </w:t>
      </w:r>
      <w:r>
        <w:t>la</w:t>
      </w:r>
      <w:r>
        <w:rPr>
          <w:spacing w:val="-4"/>
        </w:rPr>
        <w:t xml:space="preserve"> </w:t>
      </w:r>
      <w:r>
        <w:t>estabilidad</w:t>
      </w:r>
      <w:r>
        <w:rPr>
          <w:spacing w:val="-4"/>
        </w:rPr>
        <w:t xml:space="preserve"> </w:t>
      </w:r>
      <w:r>
        <w:t>laboral</w:t>
      </w:r>
      <w:r>
        <w:rPr>
          <w:spacing w:val="-4"/>
        </w:rPr>
        <w:t xml:space="preserve"> </w:t>
      </w:r>
      <w:r>
        <w:t>y</w:t>
      </w:r>
      <w:r>
        <w:rPr>
          <w:spacing w:val="-4"/>
        </w:rPr>
        <w:t xml:space="preserve"> </w:t>
      </w:r>
      <w:r>
        <w:t>la indemnización en casos de despido injustificado. Dicho instrumento, al integrar el bloque de constitucionalidad, impone al legislador la obligación de armonizar el derecho interno con estos estándares.</w:t>
      </w:r>
    </w:p>
    <w:p w:rsidR="000D2639" w:rsidRDefault="00000000">
      <w:pPr>
        <w:pStyle w:val="Textoindependiente"/>
        <w:spacing w:line="360" w:lineRule="auto"/>
        <w:ind w:right="259"/>
      </w:pPr>
      <w:r>
        <w:t>Según la Encuesta Laboral ENCLA 2023, elaborada por la Dirección del Trabajo,</w:t>
      </w:r>
      <w:r>
        <w:rPr>
          <w:spacing w:val="40"/>
        </w:rPr>
        <w:t xml:space="preserve"> </w:t>
      </w:r>
      <w:r>
        <w:t>el</w:t>
      </w:r>
      <w:r>
        <w:rPr>
          <w:spacing w:val="59"/>
        </w:rPr>
        <w:t xml:space="preserve"> </w:t>
      </w:r>
      <w:r>
        <w:t>76,6%</w:t>
      </w:r>
      <w:r>
        <w:rPr>
          <w:spacing w:val="59"/>
        </w:rPr>
        <w:t xml:space="preserve"> </w:t>
      </w:r>
      <w:r>
        <w:t>de</w:t>
      </w:r>
      <w:r>
        <w:rPr>
          <w:spacing w:val="59"/>
        </w:rPr>
        <w:t xml:space="preserve"> </w:t>
      </w:r>
      <w:r>
        <w:t>los</w:t>
      </w:r>
      <w:r>
        <w:rPr>
          <w:spacing w:val="59"/>
        </w:rPr>
        <w:t xml:space="preserve"> </w:t>
      </w:r>
      <w:r>
        <w:t>trabajadores</w:t>
      </w:r>
      <w:r>
        <w:rPr>
          <w:spacing w:val="59"/>
        </w:rPr>
        <w:t xml:space="preserve"> </w:t>
      </w:r>
      <w:r>
        <w:t>chilenos</w:t>
      </w:r>
      <w:r>
        <w:rPr>
          <w:spacing w:val="59"/>
        </w:rPr>
        <w:t xml:space="preserve"> </w:t>
      </w:r>
      <w:r>
        <w:t>posee</w:t>
      </w:r>
      <w:r>
        <w:rPr>
          <w:spacing w:val="59"/>
        </w:rPr>
        <w:t xml:space="preserve"> </w:t>
      </w:r>
      <w:r>
        <w:t>un</w:t>
      </w:r>
      <w:r>
        <w:rPr>
          <w:spacing w:val="44"/>
        </w:rPr>
        <w:t xml:space="preserve"> </w:t>
      </w:r>
      <w:r>
        <w:t>contrato</w:t>
      </w:r>
      <w:r>
        <w:rPr>
          <w:spacing w:val="44"/>
        </w:rPr>
        <w:t xml:space="preserve"> </w:t>
      </w:r>
      <w:r>
        <w:t>indefinido,</w:t>
      </w:r>
      <w:r>
        <w:rPr>
          <w:spacing w:val="44"/>
        </w:rPr>
        <w:t xml:space="preserve"> </w:t>
      </w:r>
      <w:r>
        <w:t>lo</w:t>
      </w:r>
      <w:r>
        <w:rPr>
          <w:spacing w:val="44"/>
        </w:rPr>
        <w:t xml:space="preserve"> </w:t>
      </w:r>
      <w:r>
        <w:t>que</w:t>
      </w:r>
      <w:r>
        <w:rPr>
          <w:spacing w:val="44"/>
        </w:rPr>
        <w:t xml:space="preserve"> </w:t>
      </w:r>
      <w:r>
        <w:rPr>
          <w:spacing w:val="-5"/>
        </w:rPr>
        <w:t>en</w:t>
      </w:r>
    </w:p>
    <w:p w:rsidR="000D2639" w:rsidRDefault="000D2639">
      <w:pPr>
        <w:pStyle w:val="Textoindependiente"/>
        <w:spacing w:line="360" w:lineRule="auto"/>
        <w:sectPr w:rsidR="000D2639">
          <w:pgSz w:w="12240" w:h="15840"/>
          <w:pgMar w:top="1340" w:right="1440" w:bottom="280" w:left="1440" w:header="720" w:footer="720" w:gutter="0"/>
          <w:cols w:space="720"/>
        </w:sectPr>
      </w:pPr>
    </w:p>
    <w:p w:rsidR="000D2639" w:rsidRDefault="00000000">
      <w:pPr>
        <w:pStyle w:val="Textoindependiente"/>
        <w:spacing w:before="77" w:line="360" w:lineRule="auto"/>
        <w:ind w:right="265"/>
      </w:pPr>
      <w:r>
        <w:lastRenderedPageBreak/>
        <w:t>principio los habilita para recibir la indemnización por años de servicio. Sin embargo, la existencia de un tope en la indemnización limita sustancialmente la compensación que un trabajador puede recibir en caso de despido, afectando particularmente a aquellos con mayor antigüedad en la empresa.</w:t>
      </w:r>
    </w:p>
    <w:p w:rsidR="000D2639" w:rsidRDefault="00000000">
      <w:pPr>
        <w:pStyle w:val="Textoindependiente"/>
        <w:spacing w:line="360" w:lineRule="auto"/>
        <w:ind w:right="263"/>
      </w:pPr>
      <w:r>
        <w:t>Esta limitación</w:t>
      </w:r>
      <w:r>
        <w:rPr>
          <w:spacing w:val="-4"/>
        </w:rPr>
        <w:t xml:space="preserve"> </w:t>
      </w:r>
      <w:r>
        <w:t>perjudica</w:t>
      </w:r>
      <w:r>
        <w:rPr>
          <w:spacing w:val="-4"/>
        </w:rPr>
        <w:t xml:space="preserve"> </w:t>
      </w:r>
      <w:r>
        <w:t>especialmente</w:t>
      </w:r>
      <w:r>
        <w:rPr>
          <w:spacing w:val="-4"/>
        </w:rPr>
        <w:t xml:space="preserve"> </w:t>
      </w:r>
      <w:r>
        <w:t>a</w:t>
      </w:r>
      <w:r>
        <w:rPr>
          <w:spacing w:val="-4"/>
        </w:rPr>
        <w:t xml:space="preserve"> </w:t>
      </w:r>
      <w:r>
        <w:t>los</w:t>
      </w:r>
      <w:r>
        <w:rPr>
          <w:spacing w:val="-4"/>
        </w:rPr>
        <w:t xml:space="preserve"> </w:t>
      </w:r>
      <w:r>
        <w:t>trabajadores</w:t>
      </w:r>
      <w:r>
        <w:rPr>
          <w:spacing w:val="-4"/>
        </w:rPr>
        <w:t xml:space="preserve"> </w:t>
      </w:r>
      <w:r>
        <w:t>de</w:t>
      </w:r>
      <w:r>
        <w:rPr>
          <w:spacing w:val="-4"/>
        </w:rPr>
        <w:t xml:space="preserve"> </w:t>
      </w:r>
      <w:r>
        <w:t>mayor</w:t>
      </w:r>
      <w:r>
        <w:rPr>
          <w:spacing w:val="-4"/>
        </w:rPr>
        <w:t xml:space="preserve"> </w:t>
      </w:r>
      <w:r>
        <w:t>edad,</w:t>
      </w:r>
      <w:r>
        <w:rPr>
          <w:spacing w:val="-4"/>
        </w:rPr>
        <w:t xml:space="preserve"> </w:t>
      </w:r>
      <w:r>
        <w:t>quienes enfrentan dificultades para reinsertarse laboralmente. Para ellos,</w:t>
      </w:r>
      <w:r>
        <w:rPr>
          <w:spacing w:val="-4"/>
        </w:rPr>
        <w:t xml:space="preserve"> </w:t>
      </w:r>
      <w:r>
        <w:t>la</w:t>
      </w:r>
      <w:r>
        <w:rPr>
          <w:spacing w:val="-4"/>
        </w:rPr>
        <w:t xml:space="preserve"> </w:t>
      </w:r>
      <w:r>
        <w:t>indemnización por años de servicio se convierte en una herramienta clave para enfrentar el desempleo prolongado y garantizar un tránsito</w:t>
      </w:r>
      <w:r>
        <w:rPr>
          <w:spacing w:val="-3"/>
        </w:rPr>
        <w:t xml:space="preserve"> </w:t>
      </w:r>
      <w:r>
        <w:t>digno</w:t>
      </w:r>
      <w:r>
        <w:rPr>
          <w:spacing w:val="-3"/>
        </w:rPr>
        <w:t xml:space="preserve"> </w:t>
      </w:r>
      <w:r>
        <w:t>hacia</w:t>
      </w:r>
      <w:r>
        <w:rPr>
          <w:spacing w:val="-3"/>
        </w:rPr>
        <w:t xml:space="preserve"> </w:t>
      </w:r>
      <w:r>
        <w:t>una</w:t>
      </w:r>
      <w:r>
        <w:rPr>
          <w:spacing w:val="-3"/>
        </w:rPr>
        <w:t xml:space="preserve"> </w:t>
      </w:r>
      <w:r>
        <w:t>nueva</w:t>
      </w:r>
      <w:r>
        <w:rPr>
          <w:spacing w:val="-3"/>
        </w:rPr>
        <w:t xml:space="preserve"> </w:t>
      </w:r>
      <w:r>
        <w:t>etapa</w:t>
      </w:r>
      <w:r>
        <w:rPr>
          <w:spacing w:val="-3"/>
        </w:rPr>
        <w:t xml:space="preserve"> </w:t>
      </w:r>
      <w:r>
        <w:t>de</w:t>
      </w:r>
      <w:r>
        <w:rPr>
          <w:spacing w:val="-3"/>
        </w:rPr>
        <w:t xml:space="preserve"> </w:t>
      </w:r>
      <w:r>
        <w:t>su vida, siendo un respaldo esencial en momentos de vulnerabilidad económica.</w:t>
      </w:r>
    </w:p>
    <w:p w:rsidR="000D2639" w:rsidRDefault="00000000">
      <w:pPr>
        <w:pStyle w:val="Textoindependiente"/>
        <w:spacing w:line="360" w:lineRule="auto"/>
        <w:ind w:right="263"/>
      </w:pPr>
      <w:r>
        <w:t>Estas razones, de carácter doctrinario, normativo, histórico, económico y social, justifican plenamente la eliminación del límite actual en la indemnización</w:t>
      </w:r>
      <w:r>
        <w:rPr>
          <w:spacing w:val="-3"/>
        </w:rPr>
        <w:t xml:space="preserve"> </w:t>
      </w:r>
      <w:r>
        <w:t>por</w:t>
      </w:r>
      <w:r>
        <w:rPr>
          <w:spacing w:val="-3"/>
        </w:rPr>
        <w:t xml:space="preserve"> </w:t>
      </w:r>
      <w:r>
        <w:t>años de servicio, restableciendo el principio de reparación plena y proporcionalidad en su determinación. Esta reforma no solo fortalece el respeto a los derechos fundamentales de los trabajadores, sino que también busca restituir el equilibrio necesario en toda relación laboral, donde</w:t>
      </w:r>
      <w:r>
        <w:rPr>
          <w:spacing w:val="-3"/>
        </w:rPr>
        <w:t xml:space="preserve"> </w:t>
      </w:r>
      <w:r>
        <w:t>el</w:t>
      </w:r>
      <w:r>
        <w:rPr>
          <w:spacing w:val="-3"/>
        </w:rPr>
        <w:t xml:space="preserve"> </w:t>
      </w:r>
      <w:r>
        <w:t>Estado</w:t>
      </w:r>
      <w:r>
        <w:rPr>
          <w:spacing w:val="-3"/>
        </w:rPr>
        <w:t xml:space="preserve"> </w:t>
      </w:r>
      <w:r>
        <w:t>tiene</w:t>
      </w:r>
      <w:r>
        <w:rPr>
          <w:spacing w:val="-3"/>
        </w:rPr>
        <w:t xml:space="preserve"> </w:t>
      </w:r>
      <w:r>
        <w:t>la</w:t>
      </w:r>
      <w:r>
        <w:rPr>
          <w:spacing w:val="-3"/>
        </w:rPr>
        <w:t xml:space="preserve"> </w:t>
      </w:r>
      <w:r>
        <w:t>obligación</w:t>
      </w:r>
      <w:r>
        <w:rPr>
          <w:spacing w:val="-3"/>
        </w:rPr>
        <w:t xml:space="preserve"> </w:t>
      </w:r>
      <w:r>
        <w:t>de</w:t>
      </w:r>
      <w:r>
        <w:rPr>
          <w:spacing w:val="-3"/>
        </w:rPr>
        <w:t xml:space="preserve"> </w:t>
      </w:r>
      <w:r>
        <w:t>proteger a los trabajadores frente a la asimetría estructural inherente a estas relaciones.</w:t>
      </w:r>
    </w:p>
    <w:p w:rsidR="000D2639" w:rsidRDefault="000D2639">
      <w:pPr>
        <w:pStyle w:val="Textoindependiente"/>
        <w:spacing w:before="0"/>
        <w:ind w:left="0"/>
        <w:jc w:val="left"/>
      </w:pPr>
    </w:p>
    <w:p w:rsidR="000D2639" w:rsidRDefault="000D2639">
      <w:pPr>
        <w:pStyle w:val="Textoindependiente"/>
        <w:spacing w:before="182"/>
        <w:ind w:left="0"/>
        <w:jc w:val="left"/>
      </w:pPr>
    </w:p>
    <w:p w:rsidR="000D2639" w:rsidRDefault="00000000">
      <w:pPr>
        <w:pStyle w:val="Ttulo1"/>
        <w:numPr>
          <w:ilvl w:val="0"/>
          <w:numId w:val="1"/>
        </w:numPr>
        <w:tabs>
          <w:tab w:val="left" w:pos="594"/>
        </w:tabs>
        <w:ind w:left="594" w:hanging="333"/>
      </w:pPr>
      <w:r>
        <w:t xml:space="preserve">IDEA </w:t>
      </w:r>
      <w:r>
        <w:rPr>
          <w:spacing w:val="-2"/>
        </w:rPr>
        <w:t>MATRIZ</w:t>
      </w:r>
    </w:p>
    <w:p w:rsidR="000D2639" w:rsidRDefault="000D2639">
      <w:pPr>
        <w:pStyle w:val="Textoindependiente"/>
        <w:spacing w:before="22"/>
        <w:ind w:left="0"/>
        <w:jc w:val="left"/>
        <w:rPr>
          <w:b/>
        </w:rPr>
      </w:pPr>
    </w:p>
    <w:p w:rsidR="000D2639" w:rsidRDefault="00000000">
      <w:pPr>
        <w:pStyle w:val="Textoindependiente"/>
        <w:spacing w:before="0" w:line="360" w:lineRule="auto"/>
        <w:ind w:right="263"/>
      </w:pPr>
      <w:r>
        <w:t>Reconocer a todo trabajador con contrato indefinido el derecho a una indemnización por término de contrato proporcional al total</w:t>
      </w:r>
      <w:r>
        <w:rPr>
          <w:spacing w:val="-3"/>
        </w:rPr>
        <w:t xml:space="preserve"> </w:t>
      </w:r>
      <w:r>
        <w:t>de</w:t>
      </w:r>
      <w:r>
        <w:rPr>
          <w:spacing w:val="-3"/>
        </w:rPr>
        <w:t xml:space="preserve"> </w:t>
      </w:r>
      <w:r>
        <w:t>años</w:t>
      </w:r>
      <w:r>
        <w:rPr>
          <w:spacing w:val="-3"/>
        </w:rPr>
        <w:t xml:space="preserve"> </w:t>
      </w:r>
      <w:r>
        <w:t xml:space="preserve">efectivamente trabajados, sin limitaciones legales que reduzcan arbitrariamente dicha </w:t>
      </w:r>
      <w:r>
        <w:rPr>
          <w:spacing w:val="-2"/>
        </w:rPr>
        <w:t>compensación.</w:t>
      </w:r>
    </w:p>
    <w:p w:rsidR="000D2639" w:rsidRDefault="00000000">
      <w:pPr>
        <w:pStyle w:val="Ttulo1"/>
        <w:numPr>
          <w:ilvl w:val="0"/>
          <w:numId w:val="1"/>
        </w:numPr>
        <w:tabs>
          <w:tab w:val="left" w:pos="598"/>
        </w:tabs>
        <w:spacing w:before="160"/>
        <w:ind w:left="598" w:hanging="337"/>
      </w:pPr>
      <w:r>
        <w:t>PROYECTO</w:t>
      </w:r>
      <w:r>
        <w:rPr>
          <w:spacing w:val="-3"/>
        </w:rPr>
        <w:t xml:space="preserve"> </w:t>
      </w:r>
      <w:r>
        <w:t>DE</w:t>
      </w:r>
      <w:r>
        <w:rPr>
          <w:spacing w:val="-2"/>
        </w:rPr>
        <w:t xml:space="preserve"> </w:t>
      </w:r>
      <w:r>
        <w:rPr>
          <w:spacing w:val="-5"/>
        </w:rPr>
        <w:t>LEY</w:t>
      </w:r>
    </w:p>
    <w:p w:rsidR="000D2639" w:rsidRDefault="000D2639">
      <w:pPr>
        <w:pStyle w:val="Textoindependiente"/>
        <w:spacing w:before="22"/>
        <w:ind w:left="0"/>
        <w:jc w:val="left"/>
        <w:rPr>
          <w:b/>
        </w:rPr>
      </w:pPr>
    </w:p>
    <w:p w:rsidR="000D2639" w:rsidRDefault="00000000">
      <w:pPr>
        <w:pStyle w:val="Textoindependiente"/>
        <w:spacing w:before="0" w:line="360" w:lineRule="auto"/>
        <w:ind w:right="263"/>
      </w:pPr>
      <w:r>
        <w:rPr>
          <w:b/>
        </w:rPr>
        <w:t>ARTÍCULO ÚNICO.</w:t>
      </w:r>
      <w:r>
        <w:rPr>
          <w:b/>
          <w:spacing w:val="40"/>
        </w:rPr>
        <w:t xml:space="preserve"> </w:t>
      </w:r>
      <w:r>
        <w:t>Incorpórese la siguiente modificación al artículo 163 del Decreto con Fuerza de Ley N.º 1, que fija el texto refundido, coordinado y sistematizado del Código del Trabajo, en el siguiente sentido:</w:t>
      </w:r>
    </w:p>
    <w:p w:rsidR="000D2639" w:rsidRDefault="00000000">
      <w:pPr>
        <w:pStyle w:val="Prrafodelista"/>
        <w:numPr>
          <w:ilvl w:val="1"/>
          <w:numId w:val="1"/>
        </w:numPr>
        <w:tabs>
          <w:tab w:val="left" w:pos="980"/>
        </w:tabs>
        <w:ind w:left="980" w:hanging="359"/>
        <w:jc w:val="both"/>
        <w:rPr>
          <w:sz w:val="24"/>
        </w:rPr>
      </w:pPr>
      <w:r>
        <w:rPr>
          <w:sz w:val="24"/>
        </w:rPr>
        <w:t xml:space="preserve">Suprímase la oración final del inciso segundo del artículo 163, que </w:t>
      </w:r>
      <w:r>
        <w:rPr>
          <w:spacing w:val="-2"/>
          <w:sz w:val="24"/>
        </w:rPr>
        <w:t>dispone:</w:t>
      </w:r>
    </w:p>
    <w:p w:rsidR="000D2639" w:rsidRDefault="000D2639">
      <w:pPr>
        <w:pStyle w:val="Prrafodelista"/>
        <w:jc w:val="both"/>
        <w:rPr>
          <w:sz w:val="24"/>
        </w:rPr>
        <w:sectPr w:rsidR="000D2639">
          <w:pgSz w:w="12240" w:h="15840"/>
          <w:pgMar w:top="1340" w:right="1440" w:bottom="280" w:left="1440" w:header="720" w:footer="720" w:gutter="0"/>
          <w:cols w:space="720"/>
        </w:sectPr>
      </w:pPr>
    </w:p>
    <w:p w:rsidR="000D2639" w:rsidRDefault="00000000">
      <w:pPr>
        <w:spacing w:before="77" w:line="360" w:lineRule="auto"/>
        <w:ind w:left="261" w:right="269"/>
        <w:jc w:val="both"/>
        <w:rPr>
          <w:sz w:val="24"/>
        </w:rPr>
      </w:pPr>
      <w:r>
        <w:rPr>
          <w:sz w:val="24"/>
        </w:rPr>
        <w:lastRenderedPageBreak/>
        <w:t>"</w:t>
      </w:r>
      <w:r>
        <w:rPr>
          <w:i/>
          <w:sz w:val="24"/>
        </w:rPr>
        <w:t xml:space="preserve">Esta indemnización tendrá un límite máximo de trescientos treinta días de </w:t>
      </w:r>
      <w:r>
        <w:rPr>
          <w:i/>
          <w:spacing w:val="-2"/>
          <w:sz w:val="24"/>
        </w:rPr>
        <w:t>remuneración</w:t>
      </w:r>
      <w:r>
        <w:rPr>
          <w:spacing w:val="-2"/>
          <w:sz w:val="24"/>
        </w:rPr>
        <w:t>."</w:t>
      </w:r>
    </w:p>
    <w:p w:rsidR="000D2639" w:rsidRDefault="00000000">
      <w:pPr>
        <w:pStyle w:val="Prrafodelista"/>
        <w:numPr>
          <w:ilvl w:val="1"/>
          <w:numId w:val="1"/>
        </w:numPr>
        <w:tabs>
          <w:tab w:val="left" w:pos="981"/>
        </w:tabs>
        <w:spacing w:line="360" w:lineRule="auto"/>
        <w:ind w:right="273"/>
        <w:jc w:val="both"/>
        <w:rPr>
          <w:sz w:val="24"/>
        </w:rPr>
      </w:pPr>
      <w:r>
        <w:rPr>
          <w:sz w:val="24"/>
        </w:rPr>
        <w:t>En consecuencia, el inciso segundo del artículo 163 quedará redactado de la siguiente manera:</w:t>
      </w:r>
    </w:p>
    <w:p w:rsidR="000D2639" w:rsidRDefault="00000000">
      <w:pPr>
        <w:spacing w:before="160" w:line="360" w:lineRule="auto"/>
        <w:ind w:left="261" w:right="266"/>
        <w:jc w:val="both"/>
        <w:rPr>
          <w:sz w:val="24"/>
        </w:rPr>
      </w:pPr>
      <w:r>
        <w:rPr>
          <w:sz w:val="24"/>
        </w:rPr>
        <w:t>"</w:t>
      </w:r>
      <w:r>
        <w:rPr>
          <w:i/>
          <w:sz w:val="24"/>
        </w:rPr>
        <w:t>A falta de esta estipulación, entendiéndose además por tal la que no</w:t>
      </w:r>
      <w:r>
        <w:rPr>
          <w:i/>
          <w:spacing w:val="-3"/>
          <w:sz w:val="24"/>
        </w:rPr>
        <w:t xml:space="preserve"> </w:t>
      </w:r>
      <w:r>
        <w:rPr>
          <w:i/>
          <w:sz w:val="24"/>
        </w:rPr>
        <w:t>cumpla</w:t>
      </w:r>
      <w:r>
        <w:rPr>
          <w:i/>
          <w:spacing w:val="-3"/>
          <w:sz w:val="24"/>
        </w:rPr>
        <w:t xml:space="preserve"> </w:t>
      </w:r>
      <w:r>
        <w:rPr>
          <w:i/>
          <w:sz w:val="24"/>
        </w:rPr>
        <w:t>con el requisito señalado en el inciso precedente, el empleador deberá pagar al trabajador una indemnización equivalente a treinta días de</w:t>
      </w:r>
      <w:r>
        <w:rPr>
          <w:i/>
          <w:spacing w:val="-4"/>
          <w:sz w:val="24"/>
        </w:rPr>
        <w:t xml:space="preserve"> </w:t>
      </w:r>
      <w:r>
        <w:rPr>
          <w:i/>
          <w:sz w:val="24"/>
        </w:rPr>
        <w:t>la</w:t>
      </w:r>
      <w:r>
        <w:rPr>
          <w:i/>
          <w:spacing w:val="-4"/>
          <w:sz w:val="24"/>
        </w:rPr>
        <w:t xml:space="preserve"> </w:t>
      </w:r>
      <w:r>
        <w:rPr>
          <w:i/>
          <w:sz w:val="24"/>
        </w:rPr>
        <w:t>última</w:t>
      </w:r>
      <w:r>
        <w:rPr>
          <w:i/>
          <w:spacing w:val="-4"/>
          <w:sz w:val="24"/>
        </w:rPr>
        <w:t xml:space="preserve"> </w:t>
      </w:r>
      <w:r>
        <w:rPr>
          <w:i/>
          <w:sz w:val="24"/>
        </w:rPr>
        <w:t>remuneración mensual devengada por cada año de servicio y fracción superior a seis meses, prestados continuamente a dicho empleador</w:t>
      </w:r>
      <w:r>
        <w:rPr>
          <w:sz w:val="24"/>
        </w:rPr>
        <w:t>."</w:t>
      </w:r>
    </w:p>
    <w:p w:rsidR="000D2639" w:rsidRDefault="000D2639">
      <w:pPr>
        <w:pStyle w:val="Textoindependiente"/>
        <w:spacing w:before="0"/>
        <w:ind w:left="0"/>
        <w:jc w:val="left"/>
        <w:rPr>
          <w:sz w:val="20"/>
        </w:rPr>
      </w:pPr>
    </w:p>
    <w:p w:rsidR="000D2639" w:rsidRDefault="000D2639">
      <w:pPr>
        <w:pStyle w:val="Textoindependiente"/>
        <w:spacing w:before="0"/>
        <w:ind w:left="0"/>
        <w:jc w:val="left"/>
        <w:rPr>
          <w:sz w:val="20"/>
        </w:rPr>
      </w:pPr>
    </w:p>
    <w:p w:rsidR="000D2639" w:rsidRDefault="000D2639">
      <w:pPr>
        <w:pStyle w:val="Textoindependiente"/>
        <w:spacing w:before="0"/>
        <w:ind w:left="0"/>
        <w:jc w:val="left"/>
        <w:rPr>
          <w:sz w:val="20"/>
        </w:rPr>
      </w:pPr>
    </w:p>
    <w:p w:rsidR="000D2639" w:rsidRDefault="00000000">
      <w:pPr>
        <w:pStyle w:val="Textoindependiente"/>
        <w:spacing w:before="135"/>
        <w:ind w:left="0"/>
        <w:jc w:val="left"/>
        <w:rPr>
          <w:sz w:val="20"/>
        </w:rPr>
      </w:pPr>
      <w:r>
        <w:rPr>
          <w:noProof/>
          <w:sz w:val="20"/>
        </w:rPr>
        <w:drawing>
          <wp:anchor distT="0" distB="0" distL="0" distR="0" simplePos="0" relativeHeight="487587840" behindDoc="1" locked="0" layoutInCell="1" allowOverlap="1">
            <wp:simplePos x="0" y="0"/>
            <wp:positionH relativeFrom="page">
              <wp:posOffset>1832609</wp:posOffset>
            </wp:positionH>
            <wp:positionV relativeFrom="paragraph">
              <wp:posOffset>247031</wp:posOffset>
            </wp:positionV>
            <wp:extent cx="1197428" cy="11399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97428" cy="1139952"/>
                    </a:xfrm>
                    <a:prstGeom prst="rect">
                      <a:avLst/>
                    </a:prstGeom>
                  </pic:spPr>
                </pic:pic>
              </a:graphicData>
            </a:graphic>
          </wp:anchor>
        </w:drawing>
      </w:r>
      <w:r>
        <w:rPr>
          <w:noProof/>
          <w:sz w:val="20"/>
        </w:rPr>
        <w:drawing>
          <wp:anchor distT="0" distB="0" distL="0" distR="0" simplePos="0" relativeHeight="487588352" behindDoc="1" locked="0" layoutInCell="1" allowOverlap="1">
            <wp:simplePos x="0" y="0"/>
            <wp:positionH relativeFrom="page">
              <wp:posOffset>4937760</wp:posOffset>
            </wp:positionH>
            <wp:positionV relativeFrom="paragraph">
              <wp:posOffset>247031</wp:posOffset>
            </wp:positionV>
            <wp:extent cx="1125283" cy="112528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125283" cy="1125283"/>
                    </a:xfrm>
                    <a:prstGeom prst="rect">
                      <a:avLst/>
                    </a:prstGeom>
                  </pic:spPr>
                </pic:pic>
              </a:graphicData>
            </a:graphic>
          </wp:anchor>
        </w:drawing>
      </w:r>
      <w:r>
        <w:rPr>
          <w:noProof/>
          <w:sz w:val="20"/>
        </w:rPr>
        <w:drawing>
          <wp:anchor distT="0" distB="0" distL="0" distR="0" simplePos="0" relativeHeight="487588864" behindDoc="1" locked="0" layoutInCell="1" allowOverlap="1">
            <wp:simplePos x="0" y="0"/>
            <wp:positionH relativeFrom="page">
              <wp:posOffset>1102803</wp:posOffset>
            </wp:positionH>
            <wp:positionV relativeFrom="paragraph">
              <wp:posOffset>1513656</wp:posOffset>
            </wp:positionV>
            <wp:extent cx="2614674" cy="47405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614674" cy="474059"/>
                    </a:xfrm>
                    <a:prstGeom prst="rect">
                      <a:avLst/>
                    </a:prstGeom>
                  </pic:spPr>
                </pic:pic>
              </a:graphicData>
            </a:graphic>
          </wp:anchor>
        </w:drawing>
      </w:r>
      <w:r>
        <w:rPr>
          <w:noProof/>
          <w:sz w:val="20"/>
        </w:rPr>
        <w:drawing>
          <wp:anchor distT="0" distB="0" distL="0" distR="0" simplePos="0" relativeHeight="487589376" behindDoc="1" locked="0" layoutInCell="1" allowOverlap="1">
            <wp:simplePos x="0" y="0"/>
            <wp:positionH relativeFrom="page">
              <wp:posOffset>4339324</wp:posOffset>
            </wp:positionH>
            <wp:positionV relativeFrom="paragraph">
              <wp:posOffset>1589209</wp:posOffset>
            </wp:positionV>
            <wp:extent cx="2310520" cy="40328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310520" cy="403288"/>
                    </a:xfrm>
                    <a:prstGeom prst="rect">
                      <a:avLst/>
                    </a:prstGeom>
                  </pic:spPr>
                </pic:pic>
              </a:graphicData>
            </a:graphic>
          </wp:anchor>
        </w:drawing>
      </w:r>
    </w:p>
    <w:p w:rsidR="000D2639" w:rsidRDefault="000D2639">
      <w:pPr>
        <w:pStyle w:val="Textoindependiente"/>
        <w:spacing w:before="3"/>
        <w:ind w:left="0"/>
        <w:jc w:val="left"/>
        <w:rPr>
          <w:sz w:val="15"/>
        </w:rPr>
      </w:pPr>
    </w:p>
    <w:sectPr w:rsidR="000D2639">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678DA"/>
    <w:multiLevelType w:val="hybridMultilevel"/>
    <w:tmpl w:val="38266E54"/>
    <w:lvl w:ilvl="0" w:tplc="F3BADAC6">
      <w:start w:val="1"/>
      <w:numFmt w:val="upperRoman"/>
      <w:lvlText w:val="%1."/>
      <w:lvlJc w:val="left"/>
      <w:pPr>
        <w:ind w:left="461" w:hanging="201"/>
        <w:jc w:val="left"/>
      </w:pPr>
      <w:rPr>
        <w:rFonts w:ascii="Arial" w:eastAsia="Arial" w:hAnsi="Arial" w:cs="Arial" w:hint="default"/>
        <w:b/>
        <w:bCs/>
        <w:i w:val="0"/>
        <w:iCs w:val="0"/>
        <w:spacing w:val="0"/>
        <w:w w:val="100"/>
        <w:sz w:val="24"/>
        <w:szCs w:val="24"/>
        <w:lang w:val="es-ES" w:eastAsia="en-US" w:bidi="ar-SA"/>
      </w:rPr>
    </w:lvl>
    <w:lvl w:ilvl="1" w:tplc="9DB236A2">
      <w:start w:val="1"/>
      <w:numFmt w:val="decimal"/>
      <w:lvlText w:val="%2."/>
      <w:lvlJc w:val="left"/>
      <w:pPr>
        <w:ind w:left="981" w:hanging="360"/>
        <w:jc w:val="left"/>
      </w:pPr>
      <w:rPr>
        <w:rFonts w:ascii="Arial" w:eastAsia="Arial" w:hAnsi="Arial" w:cs="Arial" w:hint="default"/>
        <w:b w:val="0"/>
        <w:bCs w:val="0"/>
        <w:i w:val="0"/>
        <w:iCs w:val="0"/>
        <w:spacing w:val="0"/>
        <w:w w:val="100"/>
        <w:sz w:val="24"/>
        <w:szCs w:val="24"/>
        <w:lang w:val="es-ES" w:eastAsia="en-US" w:bidi="ar-SA"/>
      </w:rPr>
    </w:lvl>
    <w:lvl w:ilvl="2" w:tplc="3AD42E4E">
      <w:numFmt w:val="bullet"/>
      <w:lvlText w:val="•"/>
      <w:lvlJc w:val="left"/>
      <w:pPr>
        <w:ind w:left="1911" w:hanging="360"/>
      </w:pPr>
      <w:rPr>
        <w:rFonts w:hint="default"/>
        <w:lang w:val="es-ES" w:eastAsia="en-US" w:bidi="ar-SA"/>
      </w:rPr>
    </w:lvl>
    <w:lvl w:ilvl="3" w:tplc="F6FCA806">
      <w:numFmt w:val="bullet"/>
      <w:lvlText w:val="•"/>
      <w:lvlJc w:val="left"/>
      <w:pPr>
        <w:ind w:left="2842" w:hanging="360"/>
      </w:pPr>
      <w:rPr>
        <w:rFonts w:hint="default"/>
        <w:lang w:val="es-ES" w:eastAsia="en-US" w:bidi="ar-SA"/>
      </w:rPr>
    </w:lvl>
    <w:lvl w:ilvl="4" w:tplc="A266A4D0">
      <w:numFmt w:val="bullet"/>
      <w:lvlText w:val="•"/>
      <w:lvlJc w:val="left"/>
      <w:pPr>
        <w:ind w:left="3773" w:hanging="360"/>
      </w:pPr>
      <w:rPr>
        <w:rFonts w:hint="default"/>
        <w:lang w:val="es-ES" w:eastAsia="en-US" w:bidi="ar-SA"/>
      </w:rPr>
    </w:lvl>
    <w:lvl w:ilvl="5" w:tplc="3C201004">
      <w:numFmt w:val="bullet"/>
      <w:lvlText w:val="•"/>
      <w:lvlJc w:val="left"/>
      <w:pPr>
        <w:ind w:left="4704" w:hanging="360"/>
      </w:pPr>
      <w:rPr>
        <w:rFonts w:hint="default"/>
        <w:lang w:val="es-ES" w:eastAsia="en-US" w:bidi="ar-SA"/>
      </w:rPr>
    </w:lvl>
    <w:lvl w:ilvl="6" w:tplc="E24873BE">
      <w:numFmt w:val="bullet"/>
      <w:lvlText w:val="•"/>
      <w:lvlJc w:val="left"/>
      <w:pPr>
        <w:ind w:left="5635" w:hanging="360"/>
      </w:pPr>
      <w:rPr>
        <w:rFonts w:hint="default"/>
        <w:lang w:val="es-ES" w:eastAsia="en-US" w:bidi="ar-SA"/>
      </w:rPr>
    </w:lvl>
    <w:lvl w:ilvl="7" w:tplc="CC5681EA">
      <w:numFmt w:val="bullet"/>
      <w:lvlText w:val="•"/>
      <w:lvlJc w:val="left"/>
      <w:pPr>
        <w:ind w:left="6566" w:hanging="360"/>
      </w:pPr>
      <w:rPr>
        <w:rFonts w:hint="default"/>
        <w:lang w:val="es-ES" w:eastAsia="en-US" w:bidi="ar-SA"/>
      </w:rPr>
    </w:lvl>
    <w:lvl w:ilvl="8" w:tplc="4CEC703E">
      <w:numFmt w:val="bullet"/>
      <w:lvlText w:val="•"/>
      <w:lvlJc w:val="left"/>
      <w:pPr>
        <w:ind w:left="7497" w:hanging="360"/>
      </w:pPr>
      <w:rPr>
        <w:rFonts w:hint="default"/>
        <w:lang w:val="es-ES" w:eastAsia="en-US" w:bidi="ar-SA"/>
      </w:rPr>
    </w:lvl>
  </w:abstractNum>
  <w:num w:numId="1" w16cid:durableId="139935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D2639"/>
    <w:rsid w:val="000D2639"/>
    <w:rsid w:val="005C5475"/>
    <w:rsid w:val="00B31E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3B8F9-CDD3-4F83-A976-418AB09C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461" w:hanging="337"/>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0"/>
      <w:ind w:left="261"/>
      <w:jc w:val="both"/>
    </w:pPr>
    <w:rPr>
      <w:sz w:val="24"/>
      <w:szCs w:val="24"/>
    </w:rPr>
  </w:style>
  <w:style w:type="paragraph" w:styleId="Ttulo">
    <w:name w:val="Title"/>
    <w:basedOn w:val="Normal"/>
    <w:uiPriority w:val="10"/>
    <w:qFormat/>
    <w:pPr>
      <w:ind w:left="261" w:right="265"/>
      <w:jc w:val="both"/>
    </w:pPr>
    <w:rPr>
      <w:b/>
      <w:bCs/>
      <w:sz w:val="28"/>
      <w:szCs w:val="28"/>
    </w:rPr>
  </w:style>
  <w:style w:type="paragraph" w:styleId="Prrafodelista">
    <w:name w:val="List Paragraph"/>
    <w:basedOn w:val="Normal"/>
    <w:uiPriority w:val="1"/>
    <w:qFormat/>
    <w:pPr>
      <w:spacing w:before="160"/>
      <w:ind w:left="4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6792</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ELIIMINA LIMITE INDEMNIZACIÓN POR AÑOS DE SERVICIO.docx</dc:title>
  <cp:lastModifiedBy>Guillermo Diaz Vallejos</cp:lastModifiedBy>
  <cp:revision>1</cp:revision>
  <dcterms:created xsi:type="dcterms:W3CDTF">2025-05-06T22:07:00Z</dcterms:created>
  <dcterms:modified xsi:type="dcterms:W3CDTF">2025-05-19T22:08:00Z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Producer">
    <vt:lpwstr>Skia/PDF m137 Google Docs Renderer</vt:lpwstr>
  </property>
  <property fmtid="{D5CDD505-2E9C-101B-9397-08002B2CF9AE}" pid="4" name="LastSaved">
    <vt:filetime>2025-05-06T00:00:00Z</vt:filetime>
  </property>
</Properties>
</file>