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AB6B" w14:textId="77777777" w:rsidR="005E4409" w:rsidRDefault="005E4409" w:rsidP="005E4409">
      <w:pPr>
        <w:spacing w:line="360" w:lineRule="auto"/>
        <w:jc w:val="both"/>
        <w:rPr>
          <w:rFonts w:ascii="Bookman Old Style" w:eastAsia="Bookman Old Style" w:hAnsi="Bookman Old Style" w:cs="Bookman Old Style"/>
          <w:b/>
          <w:sz w:val="24"/>
          <w:szCs w:val="24"/>
        </w:rPr>
      </w:pPr>
    </w:p>
    <w:p w14:paraId="780FC233" w14:textId="6E948A80" w:rsidR="005E4409" w:rsidRDefault="005E4409" w:rsidP="005E4409">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 QUE MODIFICA</w:t>
      </w:r>
      <w:r w:rsidR="00280221">
        <w:rPr>
          <w:rFonts w:ascii="Bookman Old Style" w:eastAsia="Bookman Old Style" w:hAnsi="Bookman Old Style" w:cs="Bookman Old Style"/>
          <w:b/>
          <w:sz w:val="24"/>
          <w:szCs w:val="24"/>
        </w:rPr>
        <w:t xml:space="preserve"> DIVERSOS CUERPOS </w:t>
      </w:r>
      <w:r w:rsidR="00F34227">
        <w:rPr>
          <w:rFonts w:ascii="Bookman Old Style" w:eastAsia="Bookman Old Style" w:hAnsi="Bookman Old Style" w:cs="Bookman Old Style"/>
          <w:b/>
          <w:sz w:val="24"/>
          <w:szCs w:val="24"/>
        </w:rPr>
        <w:t>LEGALES</w:t>
      </w:r>
      <w:r w:rsidR="00280221">
        <w:rPr>
          <w:rFonts w:ascii="Bookman Old Style" w:eastAsia="Bookman Old Style" w:hAnsi="Bookman Old Style" w:cs="Bookman Old Style"/>
          <w:b/>
          <w:sz w:val="24"/>
          <w:szCs w:val="24"/>
        </w:rPr>
        <w:t xml:space="preserve"> PARA ESTABLECER </w:t>
      </w:r>
      <w:r w:rsidR="00D224F0">
        <w:rPr>
          <w:rFonts w:ascii="Bookman Old Style" w:eastAsia="Bookman Old Style" w:hAnsi="Bookman Old Style" w:cs="Bookman Old Style"/>
          <w:b/>
          <w:sz w:val="24"/>
          <w:szCs w:val="24"/>
        </w:rPr>
        <w:t>LA PROHIBICIÓN DE LAS INSTITUCIONES BANCARIAS DE DISCRIMINAR POR EDAD AL MOMENTO DE OFRECER SERVICIOS FINANCIEROS.</w:t>
      </w:r>
    </w:p>
    <w:p w14:paraId="6EB9769B" w14:textId="1B5C4492" w:rsidR="005E4409" w:rsidRDefault="005E4409" w:rsidP="005E4409">
      <w:pPr>
        <w:pStyle w:val="Prrafodelista"/>
        <w:numPr>
          <w:ilvl w:val="0"/>
          <w:numId w:val="1"/>
        </w:num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Antecedentes</w:t>
      </w:r>
    </w:p>
    <w:p w14:paraId="7DDEB907" w14:textId="73D7DFB0" w:rsidR="00E46CB1" w:rsidRDefault="00E46CB1"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Según los datos entregados por el Censo 2024, </w:t>
      </w:r>
      <w:r w:rsidR="00235E7F">
        <w:rPr>
          <w:rFonts w:ascii="Bookman Old Style" w:eastAsia="Bookman Old Style" w:hAnsi="Bookman Old Style" w:cs="Bookman Old Style"/>
          <w:sz w:val="24"/>
          <w:szCs w:val="24"/>
        </w:rPr>
        <w:t>el</w:t>
      </w:r>
      <w:r>
        <w:rPr>
          <w:rFonts w:ascii="Bookman Old Style" w:eastAsia="Bookman Old Style" w:hAnsi="Bookman Old Style" w:cs="Bookman Old Style"/>
          <w:sz w:val="24"/>
          <w:szCs w:val="24"/>
        </w:rPr>
        <w:t xml:space="preserve"> envejecimiento </w:t>
      </w:r>
      <w:r w:rsidR="00235E7F">
        <w:rPr>
          <w:rFonts w:ascii="Bookman Old Style" w:eastAsia="Bookman Old Style" w:hAnsi="Bookman Old Style" w:cs="Bookman Old Style"/>
          <w:sz w:val="24"/>
          <w:szCs w:val="24"/>
        </w:rPr>
        <w:t xml:space="preserve">de la población chilena </w:t>
      </w:r>
      <w:r>
        <w:rPr>
          <w:rFonts w:ascii="Bookman Old Style" w:eastAsia="Bookman Old Style" w:hAnsi="Bookman Old Style" w:cs="Bookman Old Style"/>
          <w:sz w:val="24"/>
          <w:szCs w:val="24"/>
        </w:rPr>
        <w:t>ha aumentado drásticamente en el último tiempo</w:t>
      </w:r>
      <w:r w:rsidR="00235E7F">
        <w:rPr>
          <w:rFonts w:ascii="Bookman Old Style" w:eastAsia="Bookman Old Style" w:hAnsi="Bookman Old Style" w:cs="Bookman Old Style"/>
          <w:sz w:val="24"/>
          <w:szCs w:val="24"/>
        </w:rPr>
        <w:t xml:space="preserve">; el índice de envejecimiento muestra que, pro cada 100 personas menores de 14 años, hay 79 personas mayores de 65. </w:t>
      </w:r>
    </w:p>
    <w:p w14:paraId="04BE7978" w14:textId="0ECC3118" w:rsidR="00235E7F" w:rsidRDefault="00235E7F"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Chile se sostiene una pirámide envejecida donde, además, la tasa de fecundidad sigue descendie</w:t>
      </w:r>
      <w:r w:rsidR="0068557E">
        <w:rPr>
          <w:rFonts w:ascii="Bookman Old Style" w:eastAsia="Bookman Old Style" w:hAnsi="Bookman Old Style" w:cs="Bookman Old Style"/>
          <w:sz w:val="24"/>
          <w:szCs w:val="24"/>
        </w:rPr>
        <w:t xml:space="preserve">ndo, registrando 1,16 hijos promedio por mujer en edad fértil, una de las tasas más bajas a nivel mundial. </w:t>
      </w:r>
    </w:p>
    <w:p w14:paraId="5838B78E" w14:textId="181EF034" w:rsidR="00235E7F" w:rsidRDefault="00235E7F"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Estos antecedentes demuestran la </w:t>
      </w:r>
      <w:r w:rsidR="0068557E">
        <w:rPr>
          <w:rFonts w:ascii="Bookman Old Style" w:eastAsia="Bookman Old Style" w:hAnsi="Bookman Old Style" w:cs="Bookman Old Style"/>
          <w:sz w:val="24"/>
          <w:szCs w:val="24"/>
        </w:rPr>
        <w:t xml:space="preserve">urgente </w:t>
      </w:r>
      <w:r>
        <w:rPr>
          <w:rFonts w:ascii="Bookman Old Style" w:eastAsia="Bookman Old Style" w:hAnsi="Bookman Old Style" w:cs="Bookman Old Style"/>
          <w:sz w:val="24"/>
          <w:szCs w:val="24"/>
        </w:rPr>
        <w:t xml:space="preserve">necesidad de establecer políticas públicas </w:t>
      </w:r>
      <w:r w:rsidR="0068557E">
        <w:rPr>
          <w:rFonts w:ascii="Bookman Old Style" w:eastAsia="Bookman Old Style" w:hAnsi="Bookman Old Style" w:cs="Bookman Old Style"/>
          <w:sz w:val="24"/>
          <w:szCs w:val="24"/>
        </w:rPr>
        <w:t>que pongan en el centro a los adultos mayores: políticas de cuidados y mejores pensiones, pero también elementos que permitan que una población en envejecimiento pueda ser autónoma durante sus últimos años.</w:t>
      </w:r>
    </w:p>
    <w:p w14:paraId="53BDFDB1" w14:textId="369671DE" w:rsidR="0068557E" w:rsidRDefault="0068557E"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ese sentido, en el último tiempo han surgido diversas críticas al “edadismo financiero”, es decir, la discriminación por edad en el contexto de la banca</w:t>
      </w:r>
      <w:r w:rsidR="00B74312">
        <w:rPr>
          <w:rFonts w:ascii="Bookman Old Style" w:eastAsia="Bookman Old Style" w:hAnsi="Bookman Old Style" w:cs="Bookman Old Style"/>
          <w:sz w:val="24"/>
          <w:szCs w:val="24"/>
        </w:rPr>
        <w:t xml:space="preserve">. </w:t>
      </w:r>
      <w:r w:rsidR="007A738F">
        <w:rPr>
          <w:rFonts w:ascii="Bookman Old Style" w:eastAsia="Bookman Old Style" w:hAnsi="Bookman Old Style" w:cs="Bookman Old Style"/>
          <w:sz w:val="24"/>
          <w:szCs w:val="24"/>
        </w:rPr>
        <w:t>U</w:t>
      </w:r>
      <w:r w:rsidR="00B74312">
        <w:rPr>
          <w:rFonts w:ascii="Bookman Old Style" w:eastAsia="Bookman Old Style" w:hAnsi="Bookman Old Style" w:cs="Bookman Old Style"/>
          <w:sz w:val="24"/>
          <w:szCs w:val="24"/>
        </w:rPr>
        <w:t xml:space="preserve">na de las acusaciones más recientes dice relación con las trabas que ponen los bancos a personas de la tercera edad para abrir cuentas corrientes, otorgar créditos y, en general, cualquier otro servicio financiero. </w:t>
      </w:r>
      <w:r w:rsidR="00371E53">
        <w:rPr>
          <w:rFonts w:ascii="Bookman Old Style" w:eastAsia="Bookman Old Style" w:hAnsi="Bookman Old Style" w:cs="Bookman Old Style"/>
          <w:sz w:val="24"/>
          <w:szCs w:val="24"/>
        </w:rPr>
        <w:t>Asimismo,</w:t>
      </w:r>
      <w:r w:rsidR="007A738F">
        <w:rPr>
          <w:rFonts w:ascii="Bookman Old Style" w:eastAsia="Bookman Old Style" w:hAnsi="Bookman Old Style" w:cs="Bookman Old Style"/>
          <w:sz w:val="24"/>
          <w:szCs w:val="24"/>
        </w:rPr>
        <w:t xml:space="preserve"> establecimientos de salud, como clínicas u hospitales, también </w:t>
      </w:r>
      <w:r w:rsidR="00A34077">
        <w:rPr>
          <w:rFonts w:ascii="Bookman Old Style" w:eastAsia="Bookman Old Style" w:hAnsi="Bookman Old Style" w:cs="Bookman Old Style"/>
          <w:sz w:val="24"/>
          <w:szCs w:val="24"/>
        </w:rPr>
        <w:t xml:space="preserve">han sido denunciados por negar ciertos </w:t>
      </w:r>
      <w:r w:rsidR="007B243B">
        <w:rPr>
          <w:rFonts w:ascii="Bookman Old Style" w:eastAsia="Bookman Old Style" w:hAnsi="Bookman Old Style" w:cs="Bookman Old Style"/>
          <w:sz w:val="24"/>
          <w:szCs w:val="24"/>
        </w:rPr>
        <w:t>servicios a personas de la tercera edad, como negarles ser avales o firmar un pagaré.</w:t>
      </w:r>
      <w:r w:rsidR="007A738F">
        <w:rPr>
          <w:rFonts w:ascii="Bookman Old Style" w:eastAsia="Bookman Old Style" w:hAnsi="Bookman Old Style" w:cs="Bookman Old Style"/>
          <w:sz w:val="24"/>
          <w:szCs w:val="24"/>
        </w:rPr>
        <w:t xml:space="preserve"> </w:t>
      </w:r>
      <w:r w:rsidR="00371E53">
        <w:rPr>
          <w:rFonts w:ascii="Bookman Old Style" w:eastAsia="Bookman Old Style" w:hAnsi="Bookman Old Style" w:cs="Bookman Old Style"/>
          <w:sz w:val="24"/>
          <w:szCs w:val="24"/>
        </w:rPr>
        <w:t xml:space="preserve"> </w:t>
      </w:r>
    </w:p>
    <w:p w14:paraId="0D95D63C" w14:textId="016BDBE9" w:rsidR="00B74312" w:rsidRDefault="00B74312"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Según el Informe Mundial sobre Edadismo de las Naciones Unidas, esto no solo tiene consecuencias graves y de gran alcance para las personas afectadas, sino que también tiene un costo importante para la sociedad.</w:t>
      </w:r>
    </w:p>
    <w:p w14:paraId="290AEA6C" w14:textId="633CA3D4" w:rsidR="00B74312" w:rsidRDefault="00B74312"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Actualmente, </w:t>
      </w:r>
      <w:r w:rsidR="00D224F0">
        <w:rPr>
          <w:rFonts w:ascii="Bookman Old Style" w:eastAsia="Bookman Old Style" w:hAnsi="Bookman Old Style" w:cs="Bookman Old Style"/>
          <w:sz w:val="24"/>
          <w:szCs w:val="24"/>
        </w:rPr>
        <w:t xml:space="preserve">existe un gran porcentaje de </w:t>
      </w:r>
      <w:r>
        <w:rPr>
          <w:rFonts w:ascii="Bookman Old Style" w:eastAsia="Bookman Old Style" w:hAnsi="Bookman Old Style" w:cs="Bookman Old Style"/>
          <w:sz w:val="24"/>
          <w:szCs w:val="24"/>
        </w:rPr>
        <w:t>personas</w:t>
      </w:r>
      <w:r w:rsidR="00A57495">
        <w:rPr>
          <w:rFonts w:ascii="Bookman Old Style" w:eastAsia="Bookman Old Style" w:hAnsi="Bookman Old Style" w:cs="Bookman Old Style"/>
          <w:sz w:val="24"/>
          <w:szCs w:val="24"/>
        </w:rPr>
        <w:t xml:space="preserve"> de la tercera edad</w:t>
      </w:r>
      <w:r>
        <w:rPr>
          <w:rFonts w:ascii="Bookman Old Style" w:eastAsia="Bookman Old Style" w:hAnsi="Bookman Old Style" w:cs="Bookman Old Style"/>
          <w:sz w:val="24"/>
          <w:szCs w:val="24"/>
        </w:rPr>
        <w:t xml:space="preserve"> son autónomas, independientes y muy activas, que aportan vigencia y desarrollo a una economía que cada vez los necesita más</w:t>
      </w:r>
      <w:r>
        <w:rPr>
          <w:rStyle w:val="Refdenotaalpie"/>
          <w:rFonts w:ascii="Bookman Old Style" w:eastAsia="Bookman Old Style" w:hAnsi="Bookman Old Style" w:cs="Bookman Old Style"/>
          <w:sz w:val="24"/>
          <w:szCs w:val="24"/>
        </w:rPr>
        <w:footnoteReference w:id="1"/>
      </w:r>
      <w:r>
        <w:rPr>
          <w:rFonts w:ascii="Bookman Old Style" w:eastAsia="Bookman Old Style" w:hAnsi="Bookman Old Style" w:cs="Bookman Old Style"/>
          <w:sz w:val="24"/>
          <w:szCs w:val="24"/>
        </w:rPr>
        <w:t>.</w:t>
      </w:r>
    </w:p>
    <w:p w14:paraId="3AFD10FB" w14:textId="1ED65FAF" w:rsidR="00A57495" w:rsidRDefault="00A57495"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ese sentido, actualmente no existe una norma específica que prohíba explícitamente la discriminación por edad en el acceso a productos financieros. Corresponde a cada institución definir políticas y criterios para la contratación de productos y, si bien no existe una normativa específica de la Comisión para el Mercado Financiero que fije un límite de edad para contratar productos financieros, en la práctica es mucho más común de lo que debería.</w:t>
      </w:r>
    </w:p>
    <w:p w14:paraId="433B6D81" w14:textId="7AB3D174" w:rsidR="00D224F0" w:rsidRDefault="00A57495"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Ley N° 20.609, que establece medidas contra la discriminación, señala que toda distinción, exclusión o restricción que carezca justificación razonable y que esté fundada en motivos como—entre otros—la edad, será considerada como discriminación arbitraria.</w:t>
      </w:r>
      <w:r w:rsidR="00D224F0">
        <w:rPr>
          <w:rFonts w:ascii="Bookman Old Style" w:eastAsia="Bookman Old Style" w:hAnsi="Bookman Old Style" w:cs="Bookman Old Style"/>
          <w:sz w:val="24"/>
          <w:szCs w:val="24"/>
        </w:rPr>
        <w:t xml:space="preserve"> Y, en ese sentido, para una sociedad </w:t>
      </w:r>
      <w:r w:rsidR="00B74312">
        <w:rPr>
          <w:rFonts w:ascii="Bookman Old Style" w:eastAsia="Bookman Old Style" w:hAnsi="Bookman Old Style" w:cs="Bookman Old Style"/>
          <w:sz w:val="24"/>
          <w:szCs w:val="24"/>
        </w:rPr>
        <w:t xml:space="preserve">que envejece al ritmo que lo hace nuestro país, es fundamental </w:t>
      </w:r>
      <w:r w:rsidR="00D224F0">
        <w:rPr>
          <w:rFonts w:ascii="Bookman Old Style" w:eastAsia="Bookman Old Style" w:hAnsi="Bookman Old Style" w:cs="Bookman Old Style"/>
          <w:sz w:val="24"/>
          <w:szCs w:val="24"/>
        </w:rPr>
        <w:t>establecer límites que permitan que las personas de la tercera edad sean respetadas, pero también que sean una parte activa de la sociedad.</w:t>
      </w:r>
    </w:p>
    <w:p w14:paraId="7BC1DC07" w14:textId="70890CA5" w:rsidR="00D224F0" w:rsidRDefault="00D224F0"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Por su parte, en 2018, el Ministerio de Hacienda se pronunció respecto al compromiso de la banca a no discriminar por edad ni aplicar reglas automáticas que excluyan a la tercera edad. Sin embargo, a la fecha, esto aún no se concreta en la legislación.</w:t>
      </w:r>
    </w:p>
    <w:p w14:paraId="0EF619E6" w14:textId="56264AB8" w:rsidR="00D224F0" w:rsidRDefault="00D224F0"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Debido a esto, es fundamental garantizar que las personas mayores </w:t>
      </w:r>
      <w:r w:rsidR="00474948">
        <w:rPr>
          <w:rFonts w:ascii="Bookman Old Style" w:eastAsia="Bookman Old Style" w:hAnsi="Bookman Old Style" w:cs="Bookman Old Style"/>
          <w:sz w:val="24"/>
          <w:szCs w:val="24"/>
        </w:rPr>
        <w:t xml:space="preserve">que cumplen con los requisitos establecidos por la banca </w:t>
      </w:r>
      <w:r>
        <w:rPr>
          <w:rFonts w:ascii="Bookman Old Style" w:eastAsia="Bookman Old Style" w:hAnsi="Bookman Old Style" w:cs="Bookman Old Style"/>
          <w:sz w:val="24"/>
          <w:szCs w:val="24"/>
        </w:rPr>
        <w:t xml:space="preserve">puedan acceder a servicios financieros sin enfrentar barreras discriminatorias, promoviendo la igualdad de oportunidades, facilitando su participación en la economía y mejorando su calidad de vida. </w:t>
      </w:r>
    </w:p>
    <w:p w14:paraId="6BFC4183" w14:textId="084C7B0B" w:rsidR="00D224F0" w:rsidRDefault="00D224F0"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Chile envejece a un ritmo sin precedentes. Es fundamental dejar de mirar a las personas de la tercera edad como una carga y comenzar a verlas como personas activas que también pueden aportar a la sociedad.</w:t>
      </w:r>
    </w:p>
    <w:p w14:paraId="2485AFE6" w14:textId="2FB131A4" w:rsidR="005E4409" w:rsidRDefault="005E4409" w:rsidP="005E4409">
      <w:pPr>
        <w:pStyle w:val="Prrafodelista"/>
        <w:numPr>
          <w:ilvl w:val="0"/>
          <w:numId w:val="1"/>
        </w:num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Idea matriz</w:t>
      </w:r>
    </w:p>
    <w:p w14:paraId="47CAD56B" w14:textId="41EE21FA" w:rsidR="00E46CB1" w:rsidRDefault="00E46CB1" w:rsidP="00E46CB1">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presente proyecto tiene como objetivo establecer la prohibición de</w:t>
      </w:r>
      <w:r w:rsidRPr="00E46CB1">
        <w:rPr>
          <w:rFonts w:ascii="Bookman Old Style" w:eastAsia="Bookman Old Style" w:hAnsi="Bookman Old Style" w:cs="Bookman Old Style"/>
          <w:sz w:val="24"/>
          <w:szCs w:val="24"/>
        </w:rPr>
        <w:t xml:space="preserve"> que las instituciones financieras</w:t>
      </w:r>
      <w:r w:rsidR="0051667E">
        <w:rPr>
          <w:rFonts w:ascii="Bookman Old Style" w:eastAsia="Bookman Old Style" w:hAnsi="Bookman Old Style" w:cs="Bookman Old Style"/>
          <w:sz w:val="24"/>
          <w:szCs w:val="24"/>
        </w:rPr>
        <w:t xml:space="preserve">, así como establecimientos de salud, </w:t>
      </w:r>
      <w:r>
        <w:rPr>
          <w:rFonts w:ascii="Bookman Old Style" w:eastAsia="Bookman Old Style" w:hAnsi="Bookman Old Style" w:cs="Bookman Old Style"/>
          <w:sz w:val="24"/>
          <w:szCs w:val="24"/>
        </w:rPr>
        <w:t xml:space="preserve">establezcan criterios de edad </w:t>
      </w:r>
      <w:r w:rsidR="00235E7F">
        <w:rPr>
          <w:rFonts w:ascii="Bookman Old Style" w:eastAsia="Bookman Old Style" w:hAnsi="Bookman Old Style" w:cs="Bookman Old Style"/>
          <w:sz w:val="24"/>
          <w:szCs w:val="24"/>
        </w:rPr>
        <w:t>al ofrecer servicios financieros</w:t>
      </w:r>
      <w:r>
        <w:rPr>
          <w:rFonts w:ascii="Bookman Old Style" w:eastAsia="Bookman Old Style" w:hAnsi="Bookman Old Style" w:cs="Bookman Old Style"/>
          <w:sz w:val="24"/>
          <w:szCs w:val="24"/>
        </w:rPr>
        <w:t>, promoviendo un acceso equitativo para todos los grupos etarios.</w:t>
      </w:r>
    </w:p>
    <w:p w14:paraId="356DF58D" w14:textId="6FA192B2" w:rsidR="005E4409" w:rsidRDefault="005E4409" w:rsidP="005E4409">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virtud de lo expuesto precedentemente, se pone a disposición el siguiente:</w:t>
      </w:r>
    </w:p>
    <w:p w14:paraId="6BBC0BB1" w14:textId="77777777" w:rsidR="00A85CC4" w:rsidRDefault="00A85CC4" w:rsidP="005E4409">
      <w:pPr>
        <w:spacing w:line="360" w:lineRule="auto"/>
        <w:jc w:val="both"/>
        <w:rPr>
          <w:rFonts w:ascii="Bookman Old Style" w:eastAsia="Bookman Old Style" w:hAnsi="Bookman Old Style" w:cs="Bookman Old Style"/>
          <w:sz w:val="24"/>
          <w:szCs w:val="24"/>
        </w:rPr>
      </w:pPr>
    </w:p>
    <w:p w14:paraId="56720115" w14:textId="77777777" w:rsidR="005E4409" w:rsidRDefault="005E4409" w:rsidP="005E4409">
      <w:pPr>
        <w:spacing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w:t>
      </w:r>
    </w:p>
    <w:p w14:paraId="6E9E3E00" w14:textId="79DD417A" w:rsidR="005E4409" w:rsidRDefault="005E4409" w:rsidP="005E4409">
      <w:pPr>
        <w:spacing w:line="360" w:lineRule="auto"/>
        <w:jc w:val="both"/>
        <w:rPr>
          <w:rFonts w:ascii="Bookman Old Style" w:eastAsia="Bookman Old Style" w:hAnsi="Bookman Old Style" w:cs="Bookman Old Style"/>
          <w:bCs/>
          <w:sz w:val="24"/>
          <w:szCs w:val="24"/>
        </w:rPr>
      </w:pPr>
      <w:r w:rsidRPr="00F55D43">
        <w:rPr>
          <w:rFonts w:ascii="Bookman Old Style" w:eastAsia="Bookman Old Style" w:hAnsi="Bookman Old Style" w:cs="Bookman Old Style"/>
          <w:b/>
          <w:sz w:val="24"/>
          <w:szCs w:val="24"/>
        </w:rPr>
        <w:t xml:space="preserve">Artículo </w:t>
      </w:r>
      <w:r w:rsidR="0083699F" w:rsidRPr="00F55D43">
        <w:rPr>
          <w:rFonts w:ascii="Bookman Old Style" w:eastAsia="Bookman Old Style" w:hAnsi="Bookman Old Style" w:cs="Bookman Old Style"/>
          <w:b/>
          <w:sz w:val="24"/>
          <w:szCs w:val="24"/>
        </w:rPr>
        <w:t>primero</w:t>
      </w:r>
      <w:r w:rsidR="007B243B" w:rsidRPr="00F55D43">
        <w:rPr>
          <w:rFonts w:ascii="Bookman Old Style" w:eastAsia="Bookman Old Style" w:hAnsi="Bookman Old Style" w:cs="Bookman Old Style"/>
          <w:b/>
          <w:sz w:val="24"/>
          <w:szCs w:val="24"/>
        </w:rPr>
        <w:t xml:space="preserve"> </w:t>
      </w:r>
      <w:r w:rsidR="00D224F0" w:rsidRPr="00F55D43">
        <w:rPr>
          <w:rFonts w:ascii="Bookman Old Style" w:eastAsia="Bookman Old Style" w:hAnsi="Bookman Old Style" w:cs="Bookman Old Style"/>
          <w:b/>
          <w:sz w:val="24"/>
          <w:szCs w:val="24"/>
        </w:rPr>
        <w:t>.</w:t>
      </w:r>
      <w:r w:rsidRPr="00F55D43">
        <w:rPr>
          <w:rFonts w:ascii="Bookman Old Style" w:eastAsia="Bookman Old Style" w:hAnsi="Bookman Old Style" w:cs="Bookman Old Style"/>
          <w:b/>
          <w:sz w:val="24"/>
          <w:szCs w:val="24"/>
        </w:rPr>
        <w:t>-</w:t>
      </w:r>
      <w:r>
        <w:rPr>
          <w:rFonts w:ascii="Bookman Old Style" w:eastAsia="Bookman Old Style" w:hAnsi="Bookman Old Style" w:cs="Bookman Old Style"/>
          <w:bCs/>
          <w:sz w:val="24"/>
          <w:szCs w:val="24"/>
        </w:rPr>
        <w:t xml:space="preserve"> </w:t>
      </w:r>
      <w:r w:rsidR="00200334">
        <w:rPr>
          <w:rFonts w:ascii="Bookman Old Style" w:eastAsia="Bookman Old Style" w:hAnsi="Bookman Old Style" w:cs="Bookman Old Style"/>
          <w:bCs/>
          <w:sz w:val="24"/>
          <w:szCs w:val="24"/>
        </w:rPr>
        <w:t>Para reemplazar el artículo</w:t>
      </w:r>
      <w:r>
        <w:rPr>
          <w:rFonts w:ascii="Bookman Old Style" w:eastAsia="Bookman Old Style" w:hAnsi="Bookman Old Style" w:cs="Bookman Old Style"/>
          <w:bCs/>
          <w:sz w:val="24"/>
          <w:szCs w:val="24"/>
        </w:rPr>
        <w:t xml:space="preserve"> 48</w:t>
      </w:r>
      <w:r w:rsidR="00A52790">
        <w:rPr>
          <w:rFonts w:ascii="Bookman Old Style" w:eastAsia="Bookman Old Style" w:hAnsi="Bookman Old Style" w:cs="Bookman Old Style"/>
          <w:bCs/>
          <w:sz w:val="24"/>
          <w:szCs w:val="24"/>
        </w:rPr>
        <w:t xml:space="preserve"> </w:t>
      </w:r>
      <w:r>
        <w:rPr>
          <w:rFonts w:ascii="Bookman Old Style" w:eastAsia="Bookman Old Style" w:hAnsi="Bookman Old Style" w:cs="Bookman Old Style"/>
          <w:bCs/>
          <w:sz w:val="24"/>
          <w:szCs w:val="24"/>
        </w:rPr>
        <w:t xml:space="preserve">a la Ley N° 18092, que Dicta nuevas normas sobre letra de cambio y pagaré y deroga disposiciones del Código del Comercio, </w:t>
      </w:r>
      <w:r w:rsidR="00A52790">
        <w:rPr>
          <w:rFonts w:ascii="Bookman Old Style" w:eastAsia="Bookman Old Style" w:hAnsi="Bookman Old Style" w:cs="Bookman Old Style"/>
          <w:bCs/>
          <w:sz w:val="24"/>
          <w:szCs w:val="24"/>
        </w:rPr>
        <w:t xml:space="preserve">pasando el actual </w:t>
      </w:r>
      <w:r w:rsidR="00B757E7">
        <w:rPr>
          <w:rFonts w:ascii="Bookman Old Style" w:eastAsia="Bookman Old Style" w:hAnsi="Bookman Old Style" w:cs="Bookman Old Style"/>
          <w:bCs/>
          <w:sz w:val="24"/>
          <w:szCs w:val="24"/>
        </w:rPr>
        <w:t xml:space="preserve">a </w:t>
      </w:r>
      <w:r w:rsidR="00A52790">
        <w:rPr>
          <w:rFonts w:ascii="Bookman Old Style" w:eastAsia="Bookman Old Style" w:hAnsi="Bookman Old Style" w:cs="Bookman Old Style"/>
          <w:bCs/>
          <w:sz w:val="24"/>
          <w:szCs w:val="24"/>
        </w:rPr>
        <w:t xml:space="preserve">ser 49 y así sucesivamente, </w:t>
      </w:r>
      <w:r>
        <w:rPr>
          <w:rFonts w:ascii="Bookman Old Style" w:eastAsia="Bookman Old Style" w:hAnsi="Bookman Old Style" w:cs="Bookman Old Style"/>
          <w:bCs/>
          <w:sz w:val="24"/>
          <w:szCs w:val="24"/>
        </w:rPr>
        <w:t>del siguiente tenor:</w:t>
      </w:r>
    </w:p>
    <w:p w14:paraId="007BDD77" w14:textId="3CCEA62B" w:rsidR="00614642" w:rsidRPr="007D0B7B" w:rsidRDefault="002D71DF" w:rsidP="002D71DF">
      <w:pPr>
        <w:spacing w:line="360" w:lineRule="auto"/>
        <w:jc w:val="both"/>
        <w:rPr>
          <w:rFonts w:ascii="Bookman Old Style" w:eastAsia="Bookman Old Style" w:hAnsi="Bookman Old Style" w:cs="Bookman Old Style"/>
          <w:bCs/>
          <w:color w:val="FF0000"/>
          <w:sz w:val="24"/>
          <w:szCs w:val="24"/>
        </w:rPr>
      </w:pPr>
      <w:r>
        <w:rPr>
          <w:rFonts w:ascii="Bookman Old Style" w:eastAsia="Bookman Old Style" w:hAnsi="Bookman Old Style" w:cs="Bookman Old Style"/>
          <w:bCs/>
          <w:sz w:val="24"/>
          <w:szCs w:val="24"/>
        </w:rPr>
        <w:t xml:space="preserve">Artículo 48. </w:t>
      </w:r>
      <w:r w:rsidR="007D0B7B">
        <w:rPr>
          <w:rFonts w:ascii="Bookman Old Style" w:eastAsia="Bookman Old Style" w:hAnsi="Bookman Old Style" w:cs="Bookman Old Style"/>
          <w:bCs/>
          <w:sz w:val="24"/>
          <w:szCs w:val="24"/>
        </w:rPr>
        <w:t xml:space="preserve">Cada beneficiario del pagaré </w:t>
      </w:r>
      <w:r>
        <w:rPr>
          <w:rFonts w:ascii="Bookman Old Style" w:eastAsia="Bookman Old Style" w:hAnsi="Bookman Old Style" w:cs="Bookman Old Style"/>
          <w:bCs/>
          <w:sz w:val="24"/>
          <w:szCs w:val="24"/>
        </w:rPr>
        <w:t xml:space="preserve">tendrá autonomía para evaluar la capacidad de una persona para actuar como avalista, considerando todos los factores relevantes relacionados con su capacidad económica y riesgo crediticio. Sin perjuicio de ello, en ningún caso podrán utilizar la edad como </w:t>
      </w:r>
      <w:r>
        <w:rPr>
          <w:rFonts w:ascii="Bookman Old Style" w:eastAsia="Bookman Old Style" w:hAnsi="Bookman Old Style" w:cs="Bookman Old Style"/>
          <w:bCs/>
          <w:sz w:val="24"/>
          <w:szCs w:val="24"/>
        </w:rPr>
        <w:lastRenderedPageBreak/>
        <w:t>criterio de exclusión para un</w:t>
      </w:r>
      <w:r w:rsidRPr="002D71DF">
        <w:rPr>
          <w:rFonts w:ascii="Bookman Old Style" w:eastAsia="Bookman Old Style" w:hAnsi="Bookman Old Style" w:cs="Bookman Old Style"/>
          <w:bCs/>
          <w:sz w:val="24"/>
          <w:szCs w:val="24"/>
        </w:rPr>
        <w:t xml:space="preserve"> avalista que demuestre </w:t>
      </w:r>
      <w:r>
        <w:rPr>
          <w:rFonts w:ascii="Bookman Old Style" w:eastAsia="Bookman Old Style" w:hAnsi="Bookman Old Style" w:cs="Bookman Old Style"/>
          <w:bCs/>
          <w:sz w:val="24"/>
          <w:szCs w:val="24"/>
        </w:rPr>
        <w:t xml:space="preserve">cumplir con las condiciones exigidas para </w:t>
      </w:r>
      <w:r w:rsidRPr="002D71DF">
        <w:rPr>
          <w:rFonts w:ascii="Bookman Old Style" w:eastAsia="Bookman Old Style" w:hAnsi="Bookman Old Style" w:cs="Bookman Old Style"/>
          <w:bCs/>
          <w:sz w:val="24"/>
          <w:szCs w:val="24"/>
        </w:rPr>
        <w:t>garantizar el cumplimiento de las obligaciones financieras</w:t>
      </w:r>
    </w:p>
    <w:p w14:paraId="08889C65" w14:textId="63A6A7C9" w:rsidR="001C4EB9" w:rsidRDefault="0083699F" w:rsidP="00D70D0B">
      <w:pPr>
        <w:spacing w:line="360" w:lineRule="auto"/>
        <w:jc w:val="both"/>
        <w:rPr>
          <w:rFonts w:ascii="Bookman Old Style" w:eastAsia="Bookman Old Style" w:hAnsi="Bookman Old Style" w:cs="Bookman Old Style"/>
          <w:bCs/>
          <w:sz w:val="24"/>
          <w:szCs w:val="24"/>
        </w:rPr>
      </w:pPr>
      <w:r w:rsidRPr="00F55D43">
        <w:rPr>
          <w:rFonts w:ascii="Bookman Old Style" w:eastAsia="Bookman Old Style" w:hAnsi="Bookman Old Style" w:cs="Bookman Old Style"/>
          <w:b/>
          <w:sz w:val="24"/>
          <w:szCs w:val="24"/>
        </w:rPr>
        <w:t>Artículo segundo .-</w:t>
      </w:r>
      <w:r w:rsidR="000F6DD4">
        <w:rPr>
          <w:rFonts w:ascii="Bookman Old Style" w:eastAsia="Bookman Old Style" w:hAnsi="Bookman Old Style" w:cs="Bookman Old Style"/>
          <w:bCs/>
          <w:sz w:val="24"/>
          <w:szCs w:val="24"/>
        </w:rPr>
        <w:t xml:space="preserve"> </w:t>
      </w:r>
      <w:r w:rsidR="00551892">
        <w:rPr>
          <w:rFonts w:ascii="Bookman Old Style" w:eastAsia="Bookman Old Style" w:hAnsi="Bookman Old Style" w:cs="Bookman Old Style"/>
          <w:bCs/>
          <w:sz w:val="24"/>
          <w:szCs w:val="24"/>
        </w:rPr>
        <w:t xml:space="preserve">Agréguese un nuevo artículo 156 ter </w:t>
      </w:r>
      <w:r w:rsidR="00F55D43" w:rsidRPr="00F55D43">
        <w:rPr>
          <w:rFonts w:ascii="Bookman Old Style" w:eastAsia="Bookman Old Style" w:hAnsi="Bookman Old Style" w:cs="Bookman Old Style"/>
          <w:bCs/>
          <w:sz w:val="24"/>
          <w:szCs w:val="24"/>
        </w:rPr>
        <w:t>en el DFL Nº 3 del año 1997 del Ministerio de Hacienda Ley General de Bancos en los siguientes términos</w:t>
      </w:r>
      <w:r w:rsidR="00F55D43">
        <w:rPr>
          <w:rFonts w:ascii="Bookman Old Style" w:eastAsia="Bookman Old Style" w:hAnsi="Bookman Old Style" w:cs="Bookman Old Style"/>
          <w:bCs/>
          <w:sz w:val="24"/>
          <w:szCs w:val="24"/>
        </w:rPr>
        <w:t>:</w:t>
      </w:r>
    </w:p>
    <w:p w14:paraId="4F04B360" w14:textId="2ED68535" w:rsidR="00D70D0B" w:rsidRPr="00D70D0B" w:rsidRDefault="001C4EB9" w:rsidP="00D70D0B">
      <w:pPr>
        <w:spacing w:line="360" w:lineRule="auto"/>
        <w:jc w:val="both"/>
        <w:rPr>
          <w:rFonts w:ascii="Bookman Old Style" w:eastAsia="Bookman Old Style" w:hAnsi="Bookman Old Style" w:cs="Bookman Old Style"/>
          <w:bCs/>
          <w:sz w:val="24"/>
          <w:szCs w:val="24"/>
        </w:rPr>
      </w:pPr>
      <w:r>
        <w:rPr>
          <w:rFonts w:ascii="Bookman Old Style" w:eastAsia="Bookman Old Style" w:hAnsi="Bookman Old Style" w:cs="Bookman Old Style"/>
          <w:bCs/>
          <w:sz w:val="24"/>
          <w:szCs w:val="24"/>
        </w:rPr>
        <w:t xml:space="preserve">Artículo </w:t>
      </w:r>
      <w:r w:rsidR="00551892">
        <w:rPr>
          <w:rFonts w:ascii="Bookman Old Style" w:eastAsia="Bookman Old Style" w:hAnsi="Bookman Old Style" w:cs="Bookman Old Style"/>
          <w:bCs/>
          <w:sz w:val="24"/>
          <w:szCs w:val="24"/>
        </w:rPr>
        <w:t>156 ter</w:t>
      </w:r>
      <w:r w:rsidR="00F55D43">
        <w:rPr>
          <w:rFonts w:ascii="Bookman Old Style" w:eastAsia="Bookman Old Style" w:hAnsi="Bookman Old Style" w:cs="Bookman Old Style"/>
          <w:bCs/>
          <w:sz w:val="24"/>
          <w:szCs w:val="24"/>
        </w:rPr>
        <w:t xml:space="preserve"> </w:t>
      </w:r>
      <w:r w:rsidR="00551892">
        <w:rPr>
          <w:rFonts w:ascii="Bookman Old Style" w:eastAsia="Bookman Old Style" w:hAnsi="Bookman Old Style" w:cs="Bookman Old Style"/>
          <w:bCs/>
          <w:sz w:val="24"/>
          <w:szCs w:val="24"/>
        </w:rPr>
        <w:t xml:space="preserve">.- </w:t>
      </w:r>
      <w:r w:rsidR="00D70D0B" w:rsidRPr="00D70D0B">
        <w:rPr>
          <w:rFonts w:ascii="Bookman Old Style" w:eastAsia="Bookman Old Style" w:hAnsi="Bookman Old Style" w:cs="Bookman Old Style"/>
          <w:bCs/>
          <w:sz w:val="24"/>
          <w:szCs w:val="24"/>
        </w:rPr>
        <w:t xml:space="preserve">Al evaluar la capacidad </w:t>
      </w:r>
      <w:r w:rsidR="00081EF6">
        <w:rPr>
          <w:rFonts w:ascii="Bookman Old Style" w:eastAsia="Bookman Old Style" w:hAnsi="Bookman Old Style" w:cs="Bookman Old Style"/>
          <w:bCs/>
          <w:sz w:val="24"/>
          <w:szCs w:val="24"/>
        </w:rPr>
        <w:t>financiera y crediticia</w:t>
      </w:r>
      <w:r w:rsidR="00D70D0B" w:rsidRPr="00D70D0B">
        <w:rPr>
          <w:rFonts w:ascii="Bookman Old Style" w:eastAsia="Bookman Old Style" w:hAnsi="Bookman Old Style" w:cs="Bookman Old Style"/>
          <w:bCs/>
          <w:sz w:val="24"/>
          <w:szCs w:val="24"/>
        </w:rPr>
        <w:t xml:space="preserve"> de u</w:t>
      </w:r>
      <w:r w:rsidR="00535EF6">
        <w:rPr>
          <w:rFonts w:ascii="Bookman Old Style" w:eastAsia="Bookman Old Style" w:hAnsi="Bookman Old Style" w:cs="Bookman Old Style"/>
          <w:bCs/>
          <w:sz w:val="24"/>
          <w:szCs w:val="24"/>
        </w:rPr>
        <w:t>n solicitante</w:t>
      </w:r>
      <w:r w:rsidR="00D70D0B" w:rsidRPr="00D70D0B">
        <w:rPr>
          <w:rFonts w:ascii="Bookman Old Style" w:eastAsia="Bookman Old Style" w:hAnsi="Bookman Old Style" w:cs="Bookman Old Style"/>
          <w:bCs/>
          <w:sz w:val="24"/>
          <w:szCs w:val="24"/>
        </w:rPr>
        <w:t xml:space="preserve">, </w:t>
      </w:r>
      <w:r w:rsidR="00743005">
        <w:rPr>
          <w:rFonts w:ascii="Bookman Old Style" w:eastAsia="Bookman Old Style" w:hAnsi="Bookman Old Style" w:cs="Bookman Old Style"/>
          <w:bCs/>
          <w:sz w:val="24"/>
          <w:szCs w:val="24"/>
        </w:rPr>
        <w:t xml:space="preserve">los bancos, </w:t>
      </w:r>
      <w:r w:rsidR="00743005" w:rsidRPr="00743005">
        <w:rPr>
          <w:rFonts w:ascii="Bookman Old Style" w:eastAsia="Bookman Old Style" w:hAnsi="Bookman Old Style" w:cs="Bookman Old Style"/>
          <w:bCs/>
          <w:sz w:val="24"/>
          <w:szCs w:val="24"/>
        </w:rPr>
        <w:t>cooperativas u otras instituciones financieras regidas por esta ley</w:t>
      </w:r>
      <w:r w:rsidR="00743005">
        <w:rPr>
          <w:rFonts w:ascii="Bookman Old Style" w:eastAsia="Bookman Old Style" w:hAnsi="Bookman Old Style" w:cs="Bookman Old Style"/>
          <w:bCs/>
          <w:sz w:val="24"/>
          <w:szCs w:val="24"/>
        </w:rPr>
        <w:t xml:space="preserve">, </w:t>
      </w:r>
      <w:r w:rsidR="00D70D0B" w:rsidRPr="00D70D0B">
        <w:rPr>
          <w:rFonts w:ascii="Bookman Old Style" w:eastAsia="Bookman Old Style" w:hAnsi="Bookman Old Style" w:cs="Bookman Old Style"/>
          <w:bCs/>
          <w:sz w:val="24"/>
          <w:szCs w:val="24"/>
        </w:rPr>
        <w:t>no podrán discriminar por edad. Las decisiones deberán basarse en criterios objetivos relacionados con la capacidad económica y el riesgo crediticio del solicitante, sin considerar la edad como factor determinante.</w:t>
      </w:r>
    </w:p>
    <w:p w14:paraId="02623C26" w14:textId="77777777" w:rsidR="00D70D0B" w:rsidRPr="00D70D0B" w:rsidRDefault="00D70D0B" w:rsidP="00D70D0B">
      <w:pPr>
        <w:spacing w:line="360" w:lineRule="auto"/>
        <w:jc w:val="both"/>
        <w:rPr>
          <w:rFonts w:ascii="Bookman Old Style" w:eastAsia="Bookman Old Style" w:hAnsi="Bookman Old Style" w:cs="Bookman Old Style"/>
          <w:bCs/>
          <w:sz w:val="24"/>
          <w:szCs w:val="24"/>
        </w:rPr>
      </w:pPr>
      <w:r w:rsidRPr="00D70D0B">
        <w:rPr>
          <w:rFonts w:ascii="Bookman Old Style" w:eastAsia="Bookman Old Style" w:hAnsi="Bookman Old Style" w:cs="Bookman Old Style"/>
          <w:bCs/>
          <w:sz w:val="24"/>
          <w:szCs w:val="24"/>
        </w:rPr>
        <w:t>Las instituciones deberán mantener registros detallados de sus decisiones y estarán sujetas a supervisión por parte de las autoridades reguladoras correspondientes para asegurar el cumplimiento de esta norma.</w:t>
      </w:r>
    </w:p>
    <w:p w14:paraId="1CECFD01" w14:textId="0DAA4238" w:rsidR="0083699F" w:rsidRDefault="0083699F" w:rsidP="002D71DF">
      <w:pPr>
        <w:spacing w:line="360" w:lineRule="auto"/>
        <w:jc w:val="both"/>
        <w:rPr>
          <w:rFonts w:ascii="Bookman Old Style" w:eastAsia="Bookman Old Style" w:hAnsi="Bookman Old Style" w:cs="Bookman Old Style"/>
          <w:bCs/>
          <w:sz w:val="24"/>
          <w:szCs w:val="24"/>
        </w:rPr>
      </w:pPr>
    </w:p>
    <w:p w14:paraId="0A8648ED" w14:textId="77777777" w:rsidR="00851F13" w:rsidRDefault="00851F13" w:rsidP="002D71DF">
      <w:pPr>
        <w:spacing w:line="360" w:lineRule="auto"/>
        <w:jc w:val="both"/>
        <w:rPr>
          <w:rFonts w:ascii="Bookman Old Style" w:eastAsia="Bookman Old Style" w:hAnsi="Bookman Old Style" w:cs="Bookman Old Style"/>
          <w:bCs/>
          <w:sz w:val="24"/>
          <w:szCs w:val="24"/>
        </w:rPr>
      </w:pPr>
    </w:p>
    <w:p w14:paraId="4F4CAD2A" w14:textId="1DD3F893" w:rsidR="002D71DF" w:rsidRDefault="00F55D43" w:rsidP="002D71DF">
      <w:pPr>
        <w:spacing w:line="360" w:lineRule="auto"/>
        <w:jc w:val="both"/>
        <w:rPr>
          <w:rFonts w:ascii="Bookman Old Style" w:eastAsia="Bookman Old Style" w:hAnsi="Bookman Old Style" w:cs="Bookman Old Style"/>
          <w:bCs/>
          <w:sz w:val="24"/>
          <w:szCs w:val="24"/>
        </w:rPr>
      </w:pPr>
      <w:r>
        <w:rPr>
          <w:rFonts w:ascii="Bookman Old Style" w:eastAsia="Bookman Old Style" w:hAnsi="Bookman Old Style" w:cs="Bookman Old Style"/>
          <w:bCs/>
          <w:noProof/>
          <w:sz w:val="24"/>
          <w:szCs w:val="24"/>
          <w14:ligatures w14:val="standardContextual"/>
        </w:rPr>
        <w:drawing>
          <wp:anchor distT="0" distB="0" distL="114300" distR="114300" simplePos="0" relativeHeight="251658240" behindDoc="0" locked="0" layoutInCell="1" allowOverlap="1" wp14:anchorId="1A877D26" wp14:editId="6ACEC6FD">
            <wp:simplePos x="0" y="0"/>
            <wp:positionH relativeFrom="margin">
              <wp:posOffset>1592385</wp:posOffset>
            </wp:positionH>
            <wp:positionV relativeFrom="paragraph">
              <wp:posOffset>127440</wp:posOffset>
            </wp:positionV>
            <wp:extent cx="2899269" cy="1688123"/>
            <wp:effectExtent l="0" t="0" r="0" b="0"/>
            <wp:wrapNone/>
            <wp:docPr id="1258223948"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23948" name="Imagen 1" descr="Imagen en blanco y negr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9269" cy="1688123"/>
                    </a:xfrm>
                    <a:prstGeom prst="rect">
                      <a:avLst/>
                    </a:prstGeom>
                  </pic:spPr>
                </pic:pic>
              </a:graphicData>
            </a:graphic>
            <wp14:sizeRelH relativeFrom="page">
              <wp14:pctWidth>0</wp14:pctWidth>
            </wp14:sizeRelH>
            <wp14:sizeRelV relativeFrom="page">
              <wp14:pctHeight>0</wp14:pctHeight>
            </wp14:sizeRelV>
          </wp:anchor>
        </w:drawing>
      </w:r>
    </w:p>
    <w:p w14:paraId="194029DE" w14:textId="249C5E22" w:rsidR="002D71DF" w:rsidRDefault="002D71DF" w:rsidP="002D71DF">
      <w:pPr>
        <w:spacing w:line="360" w:lineRule="auto"/>
        <w:jc w:val="both"/>
        <w:rPr>
          <w:rFonts w:ascii="Bookman Old Style" w:eastAsia="Bookman Old Style" w:hAnsi="Bookman Old Style" w:cs="Bookman Old Style"/>
          <w:bCs/>
          <w:sz w:val="24"/>
          <w:szCs w:val="24"/>
        </w:rPr>
      </w:pPr>
    </w:p>
    <w:p w14:paraId="177509B4" w14:textId="76138F31" w:rsidR="00371E53" w:rsidRDefault="00371E53" w:rsidP="002D71DF">
      <w:pPr>
        <w:spacing w:line="360" w:lineRule="auto"/>
        <w:jc w:val="both"/>
        <w:rPr>
          <w:rFonts w:ascii="Bookman Old Style" w:eastAsia="Bookman Old Style" w:hAnsi="Bookman Old Style" w:cs="Bookman Old Style"/>
          <w:bCs/>
          <w:sz w:val="24"/>
          <w:szCs w:val="24"/>
        </w:rPr>
      </w:pPr>
    </w:p>
    <w:p w14:paraId="16EC1E48" w14:textId="55010021" w:rsidR="002D71DF" w:rsidRDefault="002D71DF" w:rsidP="002D71DF">
      <w:pPr>
        <w:spacing w:after="0" w:line="240" w:lineRule="auto"/>
        <w:jc w:val="center"/>
        <w:rPr>
          <w:rFonts w:ascii="Bookman Old Style" w:eastAsia="Bookman Old Style" w:hAnsi="Bookman Old Style" w:cs="Bookman Old Style"/>
          <w:bCs/>
          <w:sz w:val="24"/>
          <w:szCs w:val="24"/>
        </w:rPr>
      </w:pPr>
      <w:r>
        <w:rPr>
          <w:rFonts w:ascii="Bookman Old Style" w:eastAsia="Bookman Old Style" w:hAnsi="Bookman Old Style" w:cs="Bookman Old Style"/>
          <w:bCs/>
          <w:sz w:val="24"/>
          <w:szCs w:val="24"/>
        </w:rPr>
        <w:t>RICARDO CIFUENTES L.</w:t>
      </w:r>
    </w:p>
    <w:p w14:paraId="0F5A9805" w14:textId="5DFBF72B" w:rsidR="002D71DF" w:rsidRPr="002D71DF" w:rsidRDefault="002D71DF" w:rsidP="002D71DF">
      <w:pPr>
        <w:spacing w:after="0" w:line="240" w:lineRule="auto"/>
        <w:jc w:val="center"/>
        <w:rPr>
          <w:rFonts w:ascii="Bookman Old Style" w:eastAsia="Bookman Old Style" w:hAnsi="Bookman Old Style" w:cs="Bookman Old Style"/>
          <w:bCs/>
          <w:sz w:val="24"/>
          <w:szCs w:val="24"/>
        </w:rPr>
      </w:pPr>
      <w:r>
        <w:rPr>
          <w:rFonts w:ascii="Bookman Old Style" w:eastAsia="Bookman Old Style" w:hAnsi="Bookman Old Style" w:cs="Bookman Old Style"/>
          <w:bCs/>
          <w:sz w:val="24"/>
          <w:szCs w:val="24"/>
        </w:rPr>
        <w:t>DISTRITO 5</w:t>
      </w:r>
    </w:p>
    <w:sectPr w:rsidR="002D71DF" w:rsidRPr="002D71D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534C" w14:textId="77777777" w:rsidR="00BC758D" w:rsidRDefault="00BC758D" w:rsidP="005E4409">
      <w:pPr>
        <w:spacing w:after="0" w:line="240" w:lineRule="auto"/>
      </w:pPr>
      <w:r>
        <w:separator/>
      </w:r>
    </w:p>
  </w:endnote>
  <w:endnote w:type="continuationSeparator" w:id="0">
    <w:p w14:paraId="171A0E75" w14:textId="77777777" w:rsidR="00BC758D" w:rsidRDefault="00BC758D" w:rsidP="005E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BBEF" w14:textId="77777777" w:rsidR="00BC758D" w:rsidRDefault="00BC758D" w:rsidP="005E4409">
      <w:pPr>
        <w:spacing w:after="0" w:line="240" w:lineRule="auto"/>
      </w:pPr>
      <w:r>
        <w:separator/>
      </w:r>
    </w:p>
  </w:footnote>
  <w:footnote w:type="continuationSeparator" w:id="0">
    <w:p w14:paraId="3E06B2E8" w14:textId="77777777" w:rsidR="00BC758D" w:rsidRDefault="00BC758D" w:rsidP="005E4409">
      <w:pPr>
        <w:spacing w:after="0" w:line="240" w:lineRule="auto"/>
      </w:pPr>
      <w:r>
        <w:continuationSeparator/>
      </w:r>
    </w:p>
  </w:footnote>
  <w:footnote w:id="1">
    <w:p w14:paraId="7E668AA7" w14:textId="7A734935" w:rsidR="00B74312" w:rsidRDefault="00B74312" w:rsidP="00E0392B">
      <w:pPr>
        <w:pStyle w:val="Textonotapie"/>
        <w:jc w:val="both"/>
      </w:pPr>
      <w:r w:rsidRPr="00E0392B">
        <w:rPr>
          <w:rStyle w:val="Refdenotaalpie"/>
          <w:sz w:val="18"/>
          <w:szCs w:val="18"/>
        </w:rPr>
        <w:footnoteRef/>
      </w:r>
      <w:r w:rsidRPr="00E0392B">
        <w:rPr>
          <w:sz w:val="18"/>
          <w:szCs w:val="18"/>
        </w:rPr>
        <w:t xml:space="preserve"> </w:t>
      </w:r>
      <w:r w:rsidR="00E0392B" w:rsidRPr="00E0392B">
        <w:rPr>
          <w:sz w:val="18"/>
          <w:szCs w:val="18"/>
        </w:rPr>
        <w:t xml:space="preserve">Lucas Sáez (04 de febrero de 2025). "Edadismo financiero": Surgen críticas a la banca por "discriminar" a adultos mayores y negarles servicios. Emol. Recuperado de </w:t>
      </w:r>
      <w:r w:rsidRPr="00E0392B">
        <w:rPr>
          <w:sz w:val="18"/>
          <w:szCs w:val="18"/>
        </w:rPr>
        <w:t>https://www.emol.com/noticias/Economia/2024/02/04/1120527/edadismo-bancos-rechazan-adultos-mayores.html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EDB0" w14:textId="7CF9E0FA" w:rsidR="005E4409" w:rsidRDefault="005E4409" w:rsidP="005E4409">
    <w:pPr>
      <w:pStyle w:val="Encabezado"/>
      <w:jc w:val="center"/>
    </w:pPr>
    <w:r>
      <w:rPr>
        <w:noProof/>
        <w:color w:val="000000"/>
      </w:rPr>
      <w:drawing>
        <wp:inline distT="0" distB="0" distL="0" distR="0" wp14:anchorId="1938C7BD" wp14:editId="32536D4F">
          <wp:extent cx="1051530" cy="1051530"/>
          <wp:effectExtent l="0" t="0" r="0" b="0"/>
          <wp:docPr id="1367055488"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051530" cy="10515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21355"/>
    <w:multiLevelType w:val="hybridMultilevel"/>
    <w:tmpl w:val="3D5C4954"/>
    <w:lvl w:ilvl="0" w:tplc="9E8C053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4649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09"/>
    <w:rsid w:val="00081EF6"/>
    <w:rsid w:val="000F6DD4"/>
    <w:rsid w:val="00102DAD"/>
    <w:rsid w:val="001C4EB9"/>
    <w:rsid w:val="00200334"/>
    <w:rsid w:val="00235E7F"/>
    <w:rsid w:val="00280221"/>
    <w:rsid w:val="002D71DF"/>
    <w:rsid w:val="00371E53"/>
    <w:rsid w:val="00474948"/>
    <w:rsid w:val="00476B6F"/>
    <w:rsid w:val="0051667E"/>
    <w:rsid w:val="00535EF6"/>
    <w:rsid w:val="00551892"/>
    <w:rsid w:val="005E4409"/>
    <w:rsid w:val="00614642"/>
    <w:rsid w:val="0068557E"/>
    <w:rsid w:val="006B43B5"/>
    <w:rsid w:val="00743005"/>
    <w:rsid w:val="00795F77"/>
    <w:rsid w:val="007A738F"/>
    <w:rsid w:val="007B243B"/>
    <w:rsid w:val="007D0B7B"/>
    <w:rsid w:val="0083699F"/>
    <w:rsid w:val="00851F13"/>
    <w:rsid w:val="008C3E42"/>
    <w:rsid w:val="008E44D9"/>
    <w:rsid w:val="0096692E"/>
    <w:rsid w:val="009E0A78"/>
    <w:rsid w:val="00A34077"/>
    <w:rsid w:val="00A52790"/>
    <w:rsid w:val="00A57495"/>
    <w:rsid w:val="00A85CC4"/>
    <w:rsid w:val="00B5292E"/>
    <w:rsid w:val="00B74312"/>
    <w:rsid w:val="00B757E7"/>
    <w:rsid w:val="00BC758D"/>
    <w:rsid w:val="00C01FDF"/>
    <w:rsid w:val="00C72E07"/>
    <w:rsid w:val="00CE4511"/>
    <w:rsid w:val="00D224F0"/>
    <w:rsid w:val="00D70D0B"/>
    <w:rsid w:val="00E0392B"/>
    <w:rsid w:val="00E46CB1"/>
    <w:rsid w:val="00E505F3"/>
    <w:rsid w:val="00F34227"/>
    <w:rsid w:val="00F55D43"/>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42D3"/>
  <w15:chartTrackingRefBased/>
  <w15:docId w15:val="{2B31ABCC-3041-4638-96B8-034E522C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09"/>
    <w:rPr>
      <w:rFonts w:ascii="Calibri" w:eastAsia="Calibri" w:hAnsi="Calibri" w:cs="Calibri"/>
      <w:kern w:val="0"/>
      <w:lang w:eastAsia="es-CL"/>
      <w14:ligatures w14:val="none"/>
    </w:rPr>
  </w:style>
  <w:style w:type="paragraph" w:styleId="Ttulo1">
    <w:name w:val="heading 1"/>
    <w:basedOn w:val="Normal"/>
    <w:next w:val="Normal"/>
    <w:link w:val="Ttulo1Car"/>
    <w:uiPriority w:val="9"/>
    <w:qFormat/>
    <w:rsid w:val="005E4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4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44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44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44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44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44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44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44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4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44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44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44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44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44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44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44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4409"/>
    <w:rPr>
      <w:rFonts w:eastAsiaTheme="majorEastAsia" w:cstheme="majorBidi"/>
      <w:color w:val="272727" w:themeColor="text1" w:themeTint="D8"/>
    </w:rPr>
  </w:style>
  <w:style w:type="paragraph" w:styleId="Ttulo">
    <w:name w:val="Title"/>
    <w:basedOn w:val="Normal"/>
    <w:next w:val="Normal"/>
    <w:link w:val="TtuloCar"/>
    <w:uiPriority w:val="10"/>
    <w:qFormat/>
    <w:rsid w:val="005E4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44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44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44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4409"/>
    <w:pPr>
      <w:spacing w:before="160"/>
      <w:jc w:val="center"/>
    </w:pPr>
    <w:rPr>
      <w:i/>
      <w:iCs/>
      <w:color w:val="404040" w:themeColor="text1" w:themeTint="BF"/>
    </w:rPr>
  </w:style>
  <w:style w:type="character" w:customStyle="1" w:styleId="CitaCar">
    <w:name w:val="Cita Car"/>
    <w:basedOn w:val="Fuentedeprrafopredeter"/>
    <w:link w:val="Cita"/>
    <w:uiPriority w:val="29"/>
    <w:rsid w:val="005E4409"/>
    <w:rPr>
      <w:i/>
      <w:iCs/>
      <w:color w:val="404040" w:themeColor="text1" w:themeTint="BF"/>
    </w:rPr>
  </w:style>
  <w:style w:type="paragraph" w:styleId="Prrafodelista">
    <w:name w:val="List Paragraph"/>
    <w:basedOn w:val="Normal"/>
    <w:uiPriority w:val="34"/>
    <w:qFormat/>
    <w:rsid w:val="005E4409"/>
    <w:pPr>
      <w:ind w:left="720"/>
      <w:contextualSpacing/>
    </w:pPr>
  </w:style>
  <w:style w:type="character" w:styleId="nfasisintenso">
    <w:name w:val="Intense Emphasis"/>
    <w:basedOn w:val="Fuentedeprrafopredeter"/>
    <w:uiPriority w:val="21"/>
    <w:qFormat/>
    <w:rsid w:val="005E4409"/>
    <w:rPr>
      <w:i/>
      <w:iCs/>
      <w:color w:val="2F5496" w:themeColor="accent1" w:themeShade="BF"/>
    </w:rPr>
  </w:style>
  <w:style w:type="paragraph" w:styleId="Citadestacada">
    <w:name w:val="Intense Quote"/>
    <w:basedOn w:val="Normal"/>
    <w:next w:val="Normal"/>
    <w:link w:val="CitadestacadaCar"/>
    <w:uiPriority w:val="30"/>
    <w:qFormat/>
    <w:rsid w:val="005E4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4409"/>
    <w:rPr>
      <w:i/>
      <w:iCs/>
      <w:color w:val="2F5496" w:themeColor="accent1" w:themeShade="BF"/>
    </w:rPr>
  </w:style>
  <w:style w:type="character" w:styleId="Referenciaintensa">
    <w:name w:val="Intense Reference"/>
    <w:basedOn w:val="Fuentedeprrafopredeter"/>
    <w:uiPriority w:val="32"/>
    <w:qFormat/>
    <w:rsid w:val="005E4409"/>
    <w:rPr>
      <w:b/>
      <w:bCs/>
      <w:smallCaps/>
      <w:color w:val="2F5496" w:themeColor="accent1" w:themeShade="BF"/>
      <w:spacing w:val="5"/>
    </w:rPr>
  </w:style>
  <w:style w:type="paragraph" w:styleId="Encabezado">
    <w:name w:val="header"/>
    <w:basedOn w:val="Normal"/>
    <w:link w:val="EncabezadoCar"/>
    <w:uiPriority w:val="99"/>
    <w:unhideWhenUsed/>
    <w:rsid w:val="005E44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4409"/>
  </w:style>
  <w:style w:type="paragraph" w:styleId="Piedepgina">
    <w:name w:val="footer"/>
    <w:basedOn w:val="Normal"/>
    <w:link w:val="PiedepginaCar"/>
    <w:uiPriority w:val="99"/>
    <w:unhideWhenUsed/>
    <w:rsid w:val="005E44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4409"/>
  </w:style>
  <w:style w:type="paragraph" w:styleId="Textonotapie">
    <w:name w:val="footnote text"/>
    <w:basedOn w:val="Normal"/>
    <w:link w:val="TextonotapieCar"/>
    <w:uiPriority w:val="99"/>
    <w:semiHidden/>
    <w:unhideWhenUsed/>
    <w:rsid w:val="00B74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4312"/>
    <w:rPr>
      <w:rFonts w:ascii="Calibri" w:eastAsia="Calibri" w:hAnsi="Calibri" w:cs="Calibri"/>
      <w:kern w:val="0"/>
      <w:sz w:val="20"/>
      <w:szCs w:val="20"/>
      <w:lang w:eastAsia="es-CL"/>
      <w14:ligatures w14:val="none"/>
    </w:rPr>
  </w:style>
  <w:style w:type="character" w:styleId="Refdenotaalpie">
    <w:name w:val="footnote reference"/>
    <w:basedOn w:val="Fuentedeprrafopredeter"/>
    <w:uiPriority w:val="99"/>
    <w:semiHidden/>
    <w:unhideWhenUsed/>
    <w:rsid w:val="00B74312"/>
    <w:rPr>
      <w:vertAlign w:val="superscript"/>
    </w:rPr>
  </w:style>
  <w:style w:type="character" w:styleId="Hipervnculo">
    <w:name w:val="Hyperlink"/>
    <w:basedOn w:val="Fuentedeprrafopredeter"/>
    <w:uiPriority w:val="99"/>
    <w:unhideWhenUsed/>
    <w:rsid w:val="00E0392B"/>
    <w:rPr>
      <w:color w:val="0563C1" w:themeColor="hyperlink"/>
      <w:u w:val="single"/>
    </w:rPr>
  </w:style>
  <w:style w:type="character" w:styleId="Mencinsinresolver">
    <w:name w:val="Unresolved Mention"/>
    <w:basedOn w:val="Fuentedeprrafopredeter"/>
    <w:uiPriority w:val="99"/>
    <w:semiHidden/>
    <w:unhideWhenUsed/>
    <w:rsid w:val="00E03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7674">
      <w:bodyDiv w:val="1"/>
      <w:marLeft w:val="0"/>
      <w:marRight w:val="0"/>
      <w:marTop w:val="0"/>
      <w:marBottom w:val="0"/>
      <w:divBdr>
        <w:top w:val="none" w:sz="0" w:space="0" w:color="auto"/>
        <w:left w:val="none" w:sz="0" w:space="0" w:color="auto"/>
        <w:bottom w:val="none" w:sz="0" w:space="0" w:color="auto"/>
        <w:right w:val="none" w:sz="0" w:space="0" w:color="auto"/>
      </w:divBdr>
    </w:div>
    <w:div w:id="955410602">
      <w:bodyDiv w:val="1"/>
      <w:marLeft w:val="0"/>
      <w:marRight w:val="0"/>
      <w:marTop w:val="0"/>
      <w:marBottom w:val="0"/>
      <w:divBdr>
        <w:top w:val="none" w:sz="0" w:space="0" w:color="auto"/>
        <w:left w:val="none" w:sz="0" w:space="0" w:color="auto"/>
        <w:bottom w:val="none" w:sz="0" w:space="0" w:color="auto"/>
        <w:right w:val="none" w:sz="0" w:space="0" w:color="auto"/>
      </w:divBdr>
    </w:div>
    <w:div w:id="1913152024">
      <w:bodyDiv w:val="1"/>
      <w:marLeft w:val="0"/>
      <w:marRight w:val="0"/>
      <w:marTop w:val="0"/>
      <w:marBottom w:val="0"/>
      <w:divBdr>
        <w:top w:val="none" w:sz="0" w:space="0" w:color="auto"/>
        <w:left w:val="none" w:sz="0" w:space="0" w:color="auto"/>
        <w:bottom w:val="none" w:sz="0" w:space="0" w:color="auto"/>
        <w:right w:val="none" w:sz="0" w:space="0" w:color="auto"/>
      </w:divBdr>
    </w:div>
    <w:div w:id="19840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9014-3F97-4AAB-9571-112F27B3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Farías</dc:creator>
  <cp:keywords/>
  <dc:description/>
  <cp:lastModifiedBy>Guillermo Diaz Vallejos</cp:lastModifiedBy>
  <cp:revision>1</cp:revision>
  <dcterms:created xsi:type="dcterms:W3CDTF">2025-04-12T15:14:00Z</dcterms:created>
  <dcterms:modified xsi:type="dcterms:W3CDTF">2025-05-05T22:42:00Z</dcterms:modified>
</cp:coreProperties>
</file>