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73F" w:rsidRDefault="00000000">
      <w:pPr>
        <w:pStyle w:val="Ttulo1"/>
        <w:spacing w:before="90"/>
        <w:ind w:left="127" w:right="145" w:hanging="3"/>
        <w:jc w:val="center"/>
      </w:pPr>
      <w:bookmarkStart w:id="0" w:name="“Proyecto_de_Ley_que_modifica_la_Ley_N°1"/>
      <w:bookmarkEnd w:id="0"/>
      <w:r>
        <w:t>“Proyecto de Ley que modifica la Ley N°18.216 Sustitutiva de penas, excluyendo</w:t>
      </w:r>
      <w:r>
        <w:rPr>
          <w:spacing w:val="-4"/>
        </w:rPr>
        <w:t xml:space="preserve"> </w:t>
      </w:r>
      <w:r>
        <w:t>del</w:t>
      </w:r>
      <w:r>
        <w:rPr>
          <w:spacing w:val="-4"/>
        </w:rPr>
        <w:t xml:space="preserve"> </w:t>
      </w:r>
      <w:r>
        <w:t>artículo</w:t>
      </w:r>
      <w:r>
        <w:rPr>
          <w:spacing w:val="-4"/>
        </w:rPr>
        <w:t xml:space="preserve"> </w:t>
      </w:r>
      <w:r>
        <w:t>38</w:t>
      </w:r>
      <w:r>
        <w:rPr>
          <w:spacing w:val="-4"/>
        </w:rPr>
        <w:t xml:space="preserve"> </w:t>
      </w:r>
      <w:r>
        <w:t>los</w:t>
      </w:r>
      <w:r>
        <w:rPr>
          <w:spacing w:val="-4"/>
        </w:rPr>
        <w:t xml:space="preserve"> </w:t>
      </w:r>
      <w:r>
        <w:t>delitos</w:t>
      </w:r>
      <w:r>
        <w:rPr>
          <w:spacing w:val="-4"/>
        </w:rPr>
        <w:t xml:space="preserve"> </w:t>
      </w:r>
      <w:r>
        <w:t>de</w:t>
      </w:r>
      <w:r>
        <w:rPr>
          <w:spacing w:val="-4"/>
        </w:rPr>
        <w:t xml:space="preserve"> </w:t>
      </w:r>
      <w:r>
        <w:t>Violencia</w:t>
      </w:r>
      <w:r>
        <w:rPr>
          <w:spacing w:val="-4"/>
        </w:rPr>
        <w:t xml:space="preserve"> </w:t>
      </w:r>
      <w:r>
        <w:t>Intrafamiliar</w:t>
      </w:r>
      <w:r>
        <w:rPr>
          <w:spacing w:val="-7"/>
        </w:rPr>
        <w:t xml:space="preserve"> </w:t>
      </w:r>
      <w:r>
        <w:t>respecto</w:t>
      </w:r>
      <w:r>
        <w:rPr>
          <w:spacing w:val="-2"/>
        </w:rPr>
        <w:t xml:space="preserve"> </w:t>
      </w:r>
      <w:r>
        <w:t>de su aplicación”.</w:t>
      </w:r>
    </w:p>
    <w:p w:rsidR="00A5573F" w:rsidRDefault="00000000">
      <w:pPr>
        <w:spacing w:before="279"/>
        <w:ind w:left="101"/>
        <w:rPr>
          <w:b/>
          <w:sz w:val="24"/>
        </w:rPr>
      </w:pPr>
      <w:r>
        <w:rPr>
          <w:b/>
          <w:spacing w:val="-2"/>
          <w:sz w:val="24"/>
        </w:rPr>
        <w:t>Antecedentes:</w:t>
      </w:r>
    </w:p>
    <w:p w:rsidR="00A5573F" w:rsidRDefault="00000000">
      <w:pPr>
        <w:pStyle w:val="Textoindependiente"/>
        <w:spacing w:before="281"/>
        <w:ind w:right="117" w:firstLine="708"/>
      </w:pPr>
      <w:r>
        <w:t>La violencia intrafamiliar (VIF) constituye una de las más graves violaciones a los derechos fundamentales, afectando la integridad física, psicológica y emocional de las víctimas, predominantemente mujeres, niños, niñas y adolescentes. La magnitud y severidad de estos delitos demandan una respuesta penal contundente que refleje su gravedad y contribuya a la protección efectiva de las víctimas.</w:t>
      </w:r>
    </w:p>
    <w:p w:rsidR="00A5573F" w:rsidRDefault="00000000">
      <w:pPr>
        <w:pStyle w:val="Ttulo1"/>
      </w:pPr>
      <w:r>
        <w:t>Estadísticas</w:t>
      </w:r>
      <w:r>
        <w:rPr>
          <w:spacing w:val="-3"/>
        </w:rPr>
        <w:t xml:space="preserve"> </w:t>
      </w:r>
      <w:r>
        <w:t>y</w:t>
      </w:r>
      <w:r>
        <w:rPr>
          <w:spacing w:val="-2"/>
        </w:rPr>
        <w:t xml:space="preserve"> </w:t>
      </w:r>
      <w:r>
        <w:t>Magnitud</w:t>
      </w:r>
      <w:r>
        <w:rPr>
          <w:spacing w:val="-5"/>
        </w:rPr>
        <w:t xml:space="preserve"> </w:t>
      </w:r>
      <w:r>
        <w:t>del</w:t>
      </w:r>
      <w:r>
        <w:rPr>
          <w:spacing w:val="-3"/>
        </w:rPr>
        <w:t xml:space="preserve"> </w:t>
      </w:r>
      <w:r>
        <w:t>Problema</w:t>
      </w:r>
      <w:r>
        <w:rPr>
          <w:spacing w:val="-3"/>
        </w:rPr>
        <w:t xml:space="preserve"> </w:t>
      </w:r>
      <w:r>
        <w:t>en</w:t>
      </w:r>
      <w:r>
        <w:rPr>
          <w:spacing w:val="-1"/>
        </w:rPr>
        <w:t xml:space="preserve"> </w:t>
      </w:r>
      <w:r>
        <w:rPr>
          <w:spacing w:val="-2"/>
        </w:rPr>
        <w:t>Chile</w:t>
      </w:r>
    </w:p>
    <w:p w:rsidR="00A5573F" w:rsidRDefault="00000000">
      <w:pPr>
        <w:pStyle w:val="Textoindependiente"/>
        <w:spacing w:before="279"/>
        <w:ind w:right="117" w:firstLine="708"/>
        <w:rPr>
          <w:sz w:val="15"/>
        </w:rPr>
      </w:pPr>
      <w:r>
        <w:t>Diversos estudios evidencian la prevalencia de la VIF en el país. Según una investigación del Instituto Milenio para la Investigación de Imperfecciones de Mercado y Políticas Públicas (MIPP) de la Universidad</w:t>
      </w:r>
      <w:r>
        <w:rPr>
          <w:spacing w:val="40"/>
        </w:rPr>
        <w:t xml:space="preserve"> </w:t>
      </w:r>
      <w:r>
        <w:t>de Chile, aproximadamente una de cada cuatro mujeres fue víctima de violencia intrafamiliar en 2022. Además, la Red Chilena contra la Violencia hacia las Mujeres registró 51 femicidios durante 2023, mientras que el Servicio Nacional de la Mujer y la Equidad de Género (SernamEG)</w:t>
      </w:r>
      <w:r>
        <w:rPr>
          <w:spacing w:val="40"/>
        </w:rPr>
        <w:t xml:space="preserve"> </w:t>
      </w:r>
      <w:r>
        <w:t>consignó 43 en el mismo período.</w:t>
      </w:r>
      <w:hyperlink w:anchor="_bookmark0" w:history="1">
        <w:r>
          <w:rPr>
            <w:position w:val="9"/>
            <w:sz w:val="15"/>
          </w:rPr>
          <w:t>1</w:t>
        </w:r>
      </w:hyperlink>
      <w:hyperlink w:anchor="_bookmark1" w:history="1">
        <w:r>
          <w:rPr>
            <w:position w:val="9"/>
            <w:sz w:val="15"/>
          </w:rPr>
          <w:t>2</w:t>
        </w:r>
      </w:hyperlink>
    </w:p>
    <w:p w:rsidR="00A5573F" w:rsidRDefault="00000000">
      <w:pPr>
        <w:pStyle w:val="Ttulo1"/>
        <w:spacing w:before="281"/>
      </w:pPr>
      <w:r>
        <w:t>Efectos</w:t>
      </w:r>
      <w:r>
        <w:rPr>
          <w:spacing w:val="-7"/>
        </w:rPr>
        <w:t xml:space="preserve"> </w:t>
      </w:r>
      <w:r>
        <w:t>en las</w:t>
      </w:r>
      <w:r>
        <w:rPr>
          <w:spacing w:val="-2"/>
        </w:rPr>
        <w:t xml:space="preserve"> </w:t>
      </w:r>
      <w:r>
        <w:t>Víctimas</w:t>
      </w:r>
      <w:r>
        <w:rPr>
          <w:spacing w:val="-2"/>
        </w:rPr>
        <w:t xml:space="preserve"> </w:t>
      </w:r>
      <w:r>
        <w:t>y</w:t>
      </w:r>
      <w:r>
        <w:rPr>
          <w:spacing w:val="-2"/>
        </w:rPr>
        <w:t xml:space="preserve"> </w:t>
      </w:r>
      <w:r>
        <w:t>la</w:t>
      </w:r>
      <w:r>
        <w:rPr>
          <w:spacing w:val="1"/>
        </w:rPr>
        <w:t xml:space="preserve"> </w:t>
      </w:r>
      <w:r>
        <w:rPr>
          <w:spacing w:val="-2"/>
        </w:rPr>
        <w:t>Sociedad</w:t>
      </w:r>
    </w:p>
    <w:p w:rsidR="00A5573F" w:rsidRDefault="00000000">
      <w:pPr>
        <w:pStyle w:val="Textoindependiente"/>
        <w:spacing w:before="279"/>
        <w:ind w:right="119" w:firstLine="708"/>
      </w:pPr>
      <w:r>
        <w:t>Las consecuencias de la VIF son profundas y multidimensionales. Las víctimas pueden experimentar trastornos de salud mental como depresión, ansiedad y estrés postraumático, además de daños físicos que, en casos extremos,</w:t>
      </w:r>
      <w:r>
        <w:rPr>
          <w:spacing w:val="-3"/>
        </w:rPr>
        <w:t xml:space="preserve"> </w:t>
      </w:r>
      <w:r>
        <w:t>conducen</w:t>
      </w:r>
      <w:r>
        <w:rPr>
          <w:spacing w:val="-4"/>
        </w:rPr>
        <w:t xml:space="preserve"> </w:t>
      </w:r>
      <w:r>
        <w:t>a</w:t>
      </w:r>
      <w:r>
        <w:rPr>
          <w:spacing w:val="-4"/>
        </w:rPr>
        <w:t xml:space="preserve"> </w:t>
      </w:r>
      <w:r>
        <w:t>la</w:t>
      </w:r>
      <w:r>
        <w:rPr>
          <w:spacing w:val="-4"/>
        </w:rPr>
        <w:t xml:space="preserve"> </w:t>
      </w:r>
      <w:r>
        <w:t>muerte.</w:t>
      </w:r>
      <w:r>
        <w:rPr>
          <w:spacing w:val="-1"/>
        </w:rPr>
        <w:t xml:space="preserve"> </w:t>
      </w:r>
      <w:r>
        <w:t>Los</w:t>
      </w:r>
      <w:r>
        <w:rPr>
          <w:spacing w:val="-3"/>
        </w:rPr>
        <w:t xml:space="preserve"> </w:t>
      </w:r>
      <w:r>
        <w:t>niños</w:t>
      </w:r>
      <w:r>
        <w:rPr>
          <w:spacing w:val="-1"/>
        </w:rPr>
        <w:t xml:space="preserve"> </w:t>
      </w:r>
      <w:r>
        <w:t>y</w:t>
      </w:r>
      <w:r>
        <w:rPr>
          <w:spacing w:val="-3"/>
        </w:rPr>
        <w:t xml:space="preserve"> </w:t>
      </w:r>
      <w:r>
        <w:t>adolescentes</w:t>
      </w:r>
      <w:r>
        <w:rPr>
          <w:spacing w:val="-1"/>
        </w:rPr>
        <w:t xml:space="preserve"> </w:t>
      </w:r>
      <w:r>
        <w:t>expuestos</w:t>
      </w:r>
      <w:r>
        <w:rPr>
          <w:spacing w:val="-1"/>
        </w:rPr>
        <w:t xml:space="preserve"> </w:t>
      </w:r>
      <w:r>
        <w:t>a</w:t>
      </w:r>
      <w:r>
        <w:rPr>
          <w:spacing w:val="-5"/>
        </w:rPr>
        <w:t xml:space="preserve"> </w:t>
      </w:r>
      <w:r>
        <w:t>este entorno no solo sufren daños directos, sino que también presentan un mayor riesgo de replicar patrones violentos en su vida adulta</w:t>
      </w:r>
      <w:hyperlink w:anchor="_bookmark2" w:history="1">
        <w:r>
          <w:rPr>
            <w:position w:val="9"/>
            <w:sz w:val="15"/>
          </w:rPr>
          <w:t>3</w:t>
        </w:r>
      </w:hyperlink>
      <w:r>
        <w:rPr>
          <w:spacing w:val="35"/>
          <w:position w:val="9"/>
          <w:sz w:val="15"/>
        </w:rPr>
        <w:t xml:space="preserve"> </w:t>
      </w:r>
      <w:hyperlink w:anchor="_bookmark3" w:history="1">
        <w:r>
          <w:rPr>
            <w:position w:val="9"/>
            <w:sz w:val="15"/>
          </w:rPr>
          <w:t>4</w:t>
        </w:r>
      </w:hyperlink>
      <w:r>
        <w:t>.</w:t>
      </w:r>
    </w:p>
    <w:p w:rsidR="00A5573F" w:rsidRDefault="00000000">
      <w:pPr>
        <w:pStyle w:val="Textoindependiente"/>
        <w:spacing w:before="280"/>
        <w:ind w:right="117" w:firstLine="708"/>
      </w:pPr>
      <w:r>
        <w:t>La aplicación de beneficios penales, como los contemplados en el artículo 38 de la Ley N° 18.216, a condenados por VIF puede transmitir un mensaje de impunidad y minimizar la gravedad de estos delitos. Excluir a</w:t>
      </w:r>
      <w:r>
        <w:rPr>
          <w:spacing w:val="40"/>
        </w:rPr>
        <w:t xml:space="preserve"> </w:t>
      </w:r>
      <w:r>
        <w:t>los</w:t>
      </w:r>
      <w:r>
        <w:rPr>
          <w:spacing w:val="11"/>
        </w:rPr>
        <w:t xml:space="preserve"> </w:t>
      </w:r>
      <w:r>
        <w:t>agresores</w:t>
      </w:r>
      <w:r>
        <w:rPr>
          <w:spacing w:val="17"/>
        </w:rPr>
        <w:t xml:space="preserve"> </w:t>
      </w:r>
      <w:r>
        <w:t>de</w:t>
      </w:r>
      <w:r>
        <w:rPr>
          <w:spacing w:val="16"/>
        </w:rPr>
        <w:t xml:space="preserve"> </w:t>
      </w:r>
      <w:r>
        <w:t>VIF</w:t>
      </w:r>
      <w:r>
        <w:rPr>
          <w:spacing w:val="14"/>
        </w:rPr>
        <w:t xml:space="preserve"> </w:t>
      </w:r>
      <w:r>
        <w:t>de</w:t>
      </w:r>
      <w:r>
        <w:rPr>
          <w:spacing w:val="16"/>
        </w:rPr>
        <w:t xml:space="preserve"> </w:t>
      </w:r>
      <w:r>
        <w:t>tales</w:t>
      </w:r>
      <w:r>
        <w:rPr>
          <w:spacing w:val="14"/>
        </w:rPr>
        <w:t xml:space="preserve"> </w:t>
      </w:r>
      <w:r>
        <w:t>beneficios</w:t>
      </w:r>
      <w:r>
        <w:rPr>
          <w:spacing w:val="19"/>
        </w:rPr>
        <w:t xml:space="preserve"> </w:t>
      </w:r>
      <w:r>
        <w:t>refuerza</w:t>
      </w:r>
      <w:r>
        <w:rPr>
          <w:spacing w:val="19"/>
        </w:rPr>
        <w:t xml:space="preserve"> </w:t>
      </w:r>
      <w:r>
        <w:t>el</w:t>
      </w:r>
      <w:r>
        <w:rPr>
          <w:spacing w:val="16"/>
        </w:rPr>
        <w:t xml:space="preserve"> </w:t>
      </w:r>
      <w:r>
        <w:t>compromiso</w:t>
      </w:r>
      <w:r>
        <w:rPr>
          <w:spacing w:val="15"/>
        </w:rPr>
        <w:t xml:space="preserve"> </w:t>
      </w:r>
      <w:r>
        <w:t>del</w:t>
      </w:r>
      <w:r>
        <w:rPr>
          <w:spacing w:val="16"/>
        </w:rPr>
        <w:t xml:space="preserve"> </w:t>
      </w:r>
      <w:r>
        <w:rPr>
          <w:spacing w:val="-2"/>
        </w:rPr>
        <w:t>Estado</w:t>
      </w:r>
    </w:p>
    <w:p w:rsidR="00A5573F" w:rsidRDefault="00A5573F">
      <w:pPr>
        <w:pStyle w:val="Textoindependiente"/>
        <w:ind w:left="0"/>
        <w:jc w:val="left"/>
        <w:rPr>
          <w:sz w:val="20"/>
        </w:rPr>
      </w:pPr>
    </w:p>
    <w:p w:rsidR="00A5573F" w:rsidRDefault="00000000">
      <w:pPr>
        <w:pStyle w:val="Textoindependiente"/>
        <w:spacing w:before="143"/>
        <w:ind w:left="0"/>
        <w:jc w:val="left"/>
        <w:rPr>
          <w:sz w:val="20"/>
        </w:rPr>
      </w:pPr>
      <w:r>
        <w:rPr>
          <w:noProof/>
        </w:rPr>
        <mc:AlternateContent>
          <mc:Choice Requires="wps">
            <w:drawing>
              <wp:anchor distT="0" distB="0" distL="0" distR="0" simplePos="0" relativeHeight="487587840" behindDoc="1" locked="0" layoutInCell="1" allowOverlap="1">
                <wp:simplePos x="0" y="0"/>
                <wp:positionH relativeFrom="page">
                  <wp:posOffset>1080135</wp:posOffset>
                </wp:positionH>
                <wp:positionV relativeFrom="paragraph">
                  <wp:posOffset>262291</wp:posOffset>
                </wp:positionV>
                <wp:extent cx="182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F63D4" id="Graphic 2" o:spid="_x0000_s1026" style="position:absolute;margin-left:85.05pt;margin-top:20.65pt;width:2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GtCwIAAFgEAAAOAAAAZHJzL2Uyb0RvYy54bWysVMFu2zAMvQ/YPwi6L3Zy2AKjTjE06DCg&#10;6Ao0w86KLMfGZFEjldj5+1Fy7GTdbZgPwpNIkY98lO/uh86Kk0FqwZVyucilME5D1bpDKb/vHj+s&#10;paCgXKUsOFPKsyF5v3n/7q73hVlBA7YyKDiIo6L3pWxC8EWWkW5Mp2gB3jg21oCdCrzFQ1ah6jl6&#10;Z7NVnn/MesDKI2hDxKfb0Sg3KX5dGx2+1TWZIGwpmVtIK6Z1H9dsc6eKAyrftPpCQ/0Di061jpPO&#10;obYqKHHE9q9QXasRCOqw0NBlUNetNqkGrmaZv6nmtVHepFq4OeTnNtH/C6ufT6/+BSN18k+gfxJ3&#10;JOs9FbMlbujiM9TYRV8mLobUxfPcRTMEoflwuV6t1zk3W7NtufqUmpypYrqrjxS+GEhx1OmJwqhB&#10;NSHVTEgPboLISkYNbdIwSMEaohSs4X7U0KsQ70VyEYr+SiSedXAyO0jW8IY5U7tarbv1mkuZqmTf&#10;0YNBTMO9GkFKzfi2OOsiizzNBYFtq8fW2kiB8LB/sChOKk5l+mIRfP0PN48Utoqa0S+ZLm7WXUQa&#10;dYkK7aE6v6DoeZRLSb+OCo0U9qvjWYlzPwGcwH4CGOwDpNeRusM5d8MPhV7E9KUMLOszTJOoikmx&#10;WPfsG286+HwMULdRzjRAI6PLhsc3FXh5avF93O6T1/WHsPkNAAD//wMAUEsDBBQABgAIAAAAIQAK&#10;+/zd3gAAAAkBAAAPAAAAZHJzL2Rvd25yZXYueG1sTI/BTsMwEETvSPyDtUjcqBNo2iiNUyEkpEqB&#10;AwV6duPFiYjXUey26d+zPdHjzD7NzpTryfXiiGPoPClIZwkIpMabjqyCr8/XhxxEiJqM7j2hgjMG&#10;WFe3N6UujD/RBx630QoOoVBoBW2MQyFlaFp0Osz8gMS3Hz86HVmOVppRnzjc9fIxSRbS6Y74Q6sH&#10;fGmx+d0enIJ8Wu4o+fbDoj6/bWpT2/dNZpW6v5ueVyAiTvEfhkt9rg4Vd9r7A5kgetbLJGVUwTx9&#10;AsHAPMvZ2F+MDGRVyusF1R8AAAD//wMAUEsBAi0AFAAGAAgAAAAhALaDOJL+AAAA4QEAABMAAAAA&#10;AAAAAAAAAAAAAAAAAFtDb250ZW50X1R5cGVzXS54bWxQSwECLQAUAAYACAAAACEAOP0h/9YAAACU&#10;AQAACwAAAAAAAAAAAAAAAAAvAQAAX3JlbHMvLnJlbHNQSwECLQAUAAYACAAAACEA8d5xrQsCAABY&#10;BAAADgAAAAAAAAAAAAAAAAAuAgAAZHJzL2Uyb0RvYy54bWxQSwECLQAUAAYACAAAACEACvv83d4A&#10;AAAJAQAADwAAAAAAAAAAAAAAAABlBAAAZHJzL2Rvd25yZXYueG1sUEsFBgAAAAAEAAQA8wAAAHAF&#10;AAAAAA==&#10;" path="m,l1828800,e" filled="f" strokeweight="0">
                <v:path arrowok="t"/>
                <w10:wrap type="topAndBottom" anchorx="page"/>
              </v:shape>
            </w:pict>
          </mc:Fallback>
        </mc:AlternateContent>
      </w:r>
    </w:p>
    <w:p w:rsidR="00A5573F" w:rsidRDefault="00000000">
      <w:pPr>
        <w:spacing w:before="159"/>
        <w:ind w:left="101"/>
        <w:rPr>
          <w:sz w:val="15"/>
        </w:rPr>
      </w:pPr>
      <w:r>
        <w:rPr>
          <w:rFonts w:ascii="Segoe Print"/>
          <w:spacing w:val="-2"/>
          <w:sz w:val="15"/>
          <w:vertAlign w:val="superscript"/>
        </w:rPr>
        <w:t>1</w:t>
      </w:r>
      <w:r>
        <w:rPr>
          <w:rFonts w:ascii="Segoe Print"/>
          <w:spacing w:val="28"/>
          <w:sz w:val="15"/>
        </w:rPr>
        <w:t xml:space="preserve">  </w:t>
      </w:r>
      <w:bookmarkStart w:id="1" w:name="_bookmark0"/>
      <w:bookmarkEnd w:id="1"/>
      <w:r>
        <w:rPr>
          <w:spacing w:val="-2"/>
          <w:sz w:val="15"/>
        </w:rPr>
        <w:t>https://</w:t>
      </w:r>
      <w:hyperlink r:id="rId6">
        <w:r>
          <w:rPr>
            <w:spacing w:val="-2"/>
            <w:sz w:val="15"/>
          </w:rPr>
          <w:t>www.nomasviolenciacontramujeres.cl/wp-content/uploads/2024/10/DOSSIER-2024.pdf</w:t>
        </w:r>
      </w:hyperlink>
    </w:p>
    <w:p w:rsidR="00A5573F" w:rsidRDefault="00000000">
      <w:pPr>
        <w:spacing w:before="55"/>
        <w:ind w:left="101"/>
        <w:rPr>
          <w:sz w:val="15"/>
        </w:rPr>
      </w:pPr>
      <w:r>
        <w:rPr>
          <w:rFonts w:ascii="Segoe Print"/>
          <w:spacing w:val="-2"/>
          <w:sz w:val="15"/>
          <w:vertAlign w:val="superscript"/>
        </w:rPr>
        <w:t>2</w:t>
      </w:r>
      <w:r>
        <w:rPr>
          <w:rFonts w:ascii="Segoe Print"/>
          <w:spacing w:val="64"/>
          <w:w w:val="150"/>
          <w:sz w:val="15"/>
        </w:rPr>
        <w:t xml:space="preserve"> </w:t>
      </w:r>
      <w:bookmarkStart w:id="2" w:name="_bookmark1"/>
      <w:bookmarkEnd w:id="2"/>
      <w:r>
        <w:rPr>
          <w:spacing w:val="-2"/>
          <w:sz w:val="15"/>
        </w:rPr>
        <w:t>https://uchile.cl/noticias/204519/aumenta-cifra-de-mujeres-victimas-de-violencia-intrafamiliar</w:t>
      </w:r>
    </w:p>
    <w:p w:rsidR="00A5573F" w:rsidRDefault="00000000">
      <w:pPr>
        <w:spacing w:before="52"/>
        <w:ind w:left="101"/>
        <w:rPr>
          <w:sz w:val="15"/>
        </w:rPr>
      </w:pPr>
      <w:r>
        <w:rPr>
          <w:rFonts w:ascii="Segoe Print"/>
          <w:spacing w:val="-2"/>
          <w:sz w:val="15"/>
          <w:vertAlign w:val="superscript"/>
        </w:rPr>
        <w:t>3</w:t>
      </w:r>
      <w:r>
        <w:rPr>
          <w:rFonts w:ascii="Segoe Print"/>
          <w:spacing w:val="29"/>
          <w:sz w:val="15"/>
        </w:rPr>
        <w:t xml:space="preserve">  </w:t>
      </w:r>
      <w:bookmarkStart w:id="3" w:name="_bookmark2"/>
      <w:bookmarkEnd w:id="3"/>
      <w:r>
        <w:rPr>
          <w:spacing w:val="-2"/>
          <w:sz w:val="15"/>
        </w:rPr>
        <w:t>https://espanol.womenshealth.gov/relationships-and-safety/domestic-violence/effects-domestic-violence-children</w:t>
      </w:r>
    </w:p>
    <w:p w:rsidR="00A5573F" w:rsidRDefault="00000000">
      <w:pPr>
        <w:spacing w:before="15"/>
        <w:ind w:left="101"/>
        <w:rPr>
          <w:sz w:val="15"/>
        </w:rPr>
      </w:pPr>
      <w:r>
        <w:rPr>
          <w:position w:val="5"/>
          <w:sz w:val="9"/>
        </w:rPr>
        <w:t>4</w:t>
      </w:r>
      <w:r>
        <w:rPr>
          <w:spacing w:val="15"/>
          <w:position w:val="5"/>
          <w:sz w:val="9"/>
        </w:rPr>
        <w:t xml:space="preserve"> </w:t>
      </w:r>
      <w:bookmarkStart w:id="4" w:name="_bookmark3"/>
      <w:bookmarkEnd w:id="4"/>
      <w:r>
        <w:rPr>
          <w:spacing w:val="-2"/>
          <w:sz w:val="15"/>
        </w:rPr>
        <w:t>https://</w:t>
      </w:r>
      <w:hyperlink r:id="rId7">
        <w:r>
          <w:rPr>
            <w:spacing w:val="-2"/>
            <w:sz w:val="15"/>
          </w:rPr>
          <w:t>www.pjud.cl/docs/download/38901</w:t>
        </w:r>
      </w:hyperlink>
    </w:p>
    <w:p w:rsidR="00A5573F" w:rsidRDefault="00A5573F">
      <w:pPr>
        <w:rPr>
          <w:sz w:val="15"/>
        </w:rPr>
        <w:sectPr w:rsidR="00A5573F">
          <w:headerReference w:type="default" r:id="rId8"/>
          <w:type w:val="continuous"/>
          <w:pgSz w:w="12240" w:h="15840"/>
          <w:pgMar w:top="1620" w:right="1580" w:bottom="280" w:left="1600" w:header="531" w:footer="0" w:gutter="0"/>
          <w:pgNumType w:start="1"/>
          <w:cols w:space="720"/>
        </w:sectPr>
      </w:pPr>
    </w:p>
    <w:p w:rsidR="00A5573F" w:rsidRDefault="00000000">
      <w:pPr>
        <w:pStyle w:val="Textoindependiente"/>
        <w:spacing w:before="90"/>
        <w:ind w:right="119"/>
      </w:pPr>
      <w:r>
        <w:lastRenderedPageBreak/>
        <w:t>con la protección de las víctimas y subraya la intolerancia hacia cualquier forma de violencia en el núcleo familiar.</w:t>
      </w:r>
    </w:p>
    <w:p w:rsidR="00A5573F" w:rsidRDefault="00000000">
      <w:pPr>
        <w:pStyle w:val="Ttulo1"/>
        <w:ind w:right="119"/>
        <w:jc w:val="both"/>
      </w:pPr>
      <w:r>
        <w:rPr>
          <w:u w:val="thick"/>
        </w:rPr>
        <w:t>Idea Matriz:</w:t>
      </w:r>
      <w:r>
        <w:t xml:space="preserve"> Modificar la Ley 18.216, incorporando la prohibición del beneficio</w:t>
      </w:r>
      <w:r>
        <w:rPr>
          <w:spacing w:val="-1"/>
        </w:rPr>
        <w:t xml:space="preserve"> </w:t>
      </w:r>
      <w:r>
        <w:t>indicado</w:t>
      </w:r>
      <w:r>
        <w:rPr>
          <w:spacing w:val="-1"/>
        </w:rPr>
        <w:t xml:space="preserve"> </w:t>
      </w:r>
      <w:r>
        <w:t>en</w:t>
      </w:r>
      <w:r>
        <w:rPr>
          <w:spacing w:val="-1"/>
        </w:rPr>
        <w:t xml:space="preserve"> </w:t>
      </w:r>
      <w:r>
        <w:t>el</w:t>
      </w:r>
      <w:r>
        <w:rPr>
          <w:spacing w:val="-1"/>
        </w:rPr>
        <w:t xml:space="preserve"> </w:t>
      </w:r>
      <w:r>
        <w:t>articulo</w:t>
      </w:r>
      <w:r>
        <w:rPr>
          <w:spacing w:val="-1"/>
        </w:rPr>
        <w:t xml:space="preserve"> </w:t>
      </w:r>
      <w:r>
        <w:t>38</w:t>
      </w:r>
      <w:r>
        <w:rPr>
          <w:spacing w:val="-1"/>
        </w:rPr>
        <w:t xml:space="preserve"> </w:t>
      </w:r>
      <w:r>
        <w:t>que</w:t>
      </w:r>
      <w:r>
        <w:rPr>
          <w:spacing w:val="-1"/>
        </w:rPr>
        <w:t xml:space="preserve"> </w:t>
      </w:r>
      <w:r>
        <w:t>es</w:t>
      </w:r>
      <w:r>
        <w:rPr>
          <w:spacing w:val="-1"/>
        </w:rPr>
        <w:t xml:space="preserve"> </w:t>
      </w:r>
      <w:r>
        <w:t>no</w:t>
      </w:r>
      <w:r>
        <w:rPr>
          <w:spacing w:val="-1"/>
        </w:rPr>
        <w:t xml:space="preserve"> </w:t>
      </w:r>
      <w:r>
        <w:t>anotar en</w:t>
      </w:r>
      <w:r>
        <w:rPr>
          <w:spacing w:val="-2"/>
        </w:rPr>
        <w:t xml:space="preserve"> </w:t>
      </w:r>
      <w:r>
        <w:t>la hoja</w:t>
      </w:r>
      <w:r>
        <w:rPr>
          <w:spacing w:val="-1"/>
        </w:rPr>
        <w:t xml:space="preserve"> </w:t>
      </w:r>
      <w:r>
        <w:t>de</w:t>
      </w:r>
      <w:r>
        <w:rPr>
          <w:spacing w:val="-1"/>
        </w:rPr>
        <w:t xml:space="preserve"> </w:t>
      </w:r>
      <w:r>
        <w:t>vida</w:t>
      </w:r>
      <w:r>
        <w:rPr>
          <w:spacing w:val="-1"/>
        </w:rPr>
        <w:t xml:space="preserve"> </w:t>
      </w:r>
      <w:r>
        <w:t>del condenado la condena por Violencia Intrafamiliar, aunque tenga irreprochable conducta anterior.</w:t>
      </w:r>
    </w:p>
    <w:p w:rsidR="00A5573F" w:rsidRDefault="00000000">
      <w:pPr>
        <w:spacing w:before="280"/>
        <w:ind w:right="19"/>
        <w:jc w:val="center"/>
        <w:rPr>
          <w:rFonts w:ascii="Times New Roman"/>
          <w:b/>
          <w:sz w:val="24"/>
        </w:rPr>
      </w:pPr>
      <w:bookmarkStart w:id="5" w:name="PROYECTO_DE_LEY"/>
      <w:bookmarkEnd w:id="5"/>
      <w:r>
        <w:rPr>
          <w:rFonts w:ascii="Times New Roman"/>
          <w:b/>
          <w:sz w:val="24"/>
        </w:rPr>
        <w:t>PROYECTO</w:t>
      </w:r>
      <w:r>
        <w:rPr>
          <w:rFonts w:ascii="Times New Roman"/>
          <w:b/>
          <w:spacing w:val="-3"/>
          <w:sz w:val="24"/>
        </w:rPr>
        <w:t xml:space="preserve"> </w:t>
      </w:r>
      <w:r>
        <w:rPr>
          <w:rFonts w:ascii="Times New Roman"/>
          <w:b/>
          <w:sz w:val="24"/>
        </w:rPr>
        <w:t>DE</w:t>
      </w:r>
      <w:r>
        <w:rPr>
          <w:rFonts w:ascii="Times New Roman"/>
          <w:b/>
          <w:spacing w:val="-2"/>
          <w:sz w:val="24"/>
        </w:rPr>
        <w:t xml:space="preserve"> </w:t>
      </w:r>
      <w:r>
        <w:rPr>
          <w:rFonts w:ascii="Times New Roman"/>
          <w:b/>
          <w:spacing w:val="-5"/>
          <w:sz w:val="24"/>
        </w:rPr>
        <w:t>LEY</w:t>
      </w:r>
    </w:p>
    <w:p w:rsidR="00A5573F" w:rsidRDefault="00A5573F">
      <w:pPr>
        <w:pStyle w:val="Textoindependiente"/>
        <w:spacing w:before="4"/>
        <w:ind w:left="0"/>
        <w:jc w:val="left"/>
        <w:rPr>
          <w:rFonts w:ascii="Times New Roman"/>
          <w:b/>
        </w:rPr>
      </w:pPr>
    </w:p>
    <w:p w:rsidR="00A5573F" w:rsidRDefault="00000000">
      <w:pPr>
        <w:pStyle w:val="Textoindependiente"/>
        <w:spacing w:before="1" w:line="278" w:lineRule="auto"/>
        <w:ind w:right="118"/>
      </w:pPr>
      <w:r>
        <w:rPr>
          <w:b/>
        </w:rPr>
        <w:t xml:space="preserve">Artículo único.- </w:t>
      </w:r>
      <w:r>
        <w:t>Modifíquese el artículo 38 de la Ley N° 18.216, que establece penas sustitutivas a las privativas o restrictivas de libertad, de la siguiente manera:</w:t>
      </w:r>
    </w:p>
    <w:p w:rsidR="00A5573F" w:rsidRDefault="00000000">
      <w:pPr>
        <w:pStyle w:val="Textoindependiente"/>
        <w:spacing w:before="159" w:line="276" w:lineRule="auto"/>
        <w:ind w:right="119"/>
      </w:pPr>
      <w:r>
        <w:t>Agrégase el siguiente párrafo al inciso primero, del artículo 38, seguido al punto a parte, pasando a ser un punto seguido lo siguiente:</w:t>
      </w:r>
    </w:p>
    <w:p w:rsidR="00A5573F" w:rsidRDefault="00000000">
      <w:pPr>
        <w:pStyle w:val="Textoindependiente"/>
        <w:spacing w:before="163" w:line="278" w:lineRule="auto"/>
        <w:ind w:right="118"/>
      </w:pPr>
      <w:r>
        <w:t>"Quedan excluidos de la aplicación del presente artículo los delitos tipificados como violencia intrafamiliar según lo establecido en la Ley N° 20.066, sobre Violencia Intrafamiliar, o aquellos que se califiquen como</w:t>
      </w:r>
      <w:r>
        <w:rPr>
          <w:spacing w:val="40"/>
        </w:rPr>
        <w:t xml:space="preserve"> </w:t>
      </w:r>
      <w:r>
        <w:t>tales conforme a la legislación vigente."</w:t>
      </w:r>
    </w:p>
    <w:sectPr w:rsidR="00A5573F">
      <w:pgSz w:w="12240" w:h="15840"/>
      <w:pgMar w:top="1620" w:right="1580" w:bottom="280" w:left="1600" w:header="5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5AF" w:rsidRDefault="002225AF">
      <w:r>
        <w:separator/>
      </w:r>
    </w:p>
  </w:endnote>
  <w:endnote w:type="continuationSeparator" w:id="0">
    <w:p w:rsidR="002225AF" w:rsidRDefault="0022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Print">
    <w:altName w:val="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5AF" w:rsidRDefault="002225AF">
      <w:r>
        <w:separator/>
      </w:r>
    </w:p>
  </w:footnote>
  <w:footnote w:type="continuationSeparator" w:id="0">
    <w:p w:rsidR="002225AF" w:rsidRDefault="00222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73F" w:rsidRDefault="00000000">
    <w:pPr>
      <w:pStyle w:val="Textoindependiente"/>
      <w:spacing w:line="14" w:lineRule="auto"/>
      <w:ind w:left="0"/>
      <w:jc w:val="left"/>
      <w:rPr>
        <w:sz w:val="20"/>
      </w:rPr>
    </w:pPr>
    <w:r>
      <w:rPr>
        <w:noProof/>
      </w:rPr>
      <w:drawing>
        <wp:anchor distT="0" distB="0" distL="0" distR="0" simplePos="0" relativeHeight="487553536" behindDoc="1" locked="0" layoutInCell="1" allowOverlap="1">
          <wp:simplePos x="0" y="0"/>
          <wp:positionH relativeFrom="page">
            <wp:posOffset>3556508</wp:posOffset>
          </wp:positionH>
          <wp:positionV relativeFrom="page">
            <wp:posOffset>336946</wp:posOffset>
          </wp:positionV>
          <wp:extent cx="685461" cy="6604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5461" cy="66042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573F"/>
    <w:rsid w:val="002225AF"/>
    <w:rsid w:val="0078708B"/>
    <w:rsid w:val="00A5573F"/>
    <w:rsid w:val="00AB0F7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1A7B0-529B-4F57-BE0E-ADB66FF9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s-ES"/>
    </w:rPr>
  </w:style>
  <w:style w:type="paragraph" w:styleId="Ttulo1">
    <w:name w:val="heading 1"/>
    <w:basedOn w:val="Normal"/>
    <w:uiPriority w:val="9"/>
    <w:qFormat/>
    <w:pPr>
      <w:spacing w:before="280"/>
      <w:ind w:left="10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jud.cl/docs/download/389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masviolenciacontramujeres.cl/wp-content/uploads/2024/10/DOSSIER-2024.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2922</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Rodriguez Sierra</dc:creator>
  <dc:description/>
  <cp:lastModifiedBy>Guillermo Diaz Vallejos</cp:lastModifiedBy>
  <cp:revision>1</cp:revision>
  <dcterms:created xsi:type="dcterms:W3CDTF">2025-04-09T20:59:00Z</dcterms:created>
  <dcterms:modified xsi:type="dcterms:W3CDTF">2025-05-05T22:42:00Z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WPS Writer</vt:lpwstr>
  </property>
  <property fmtid="{D5CDD505-2E9C-101B-9397-08002B2CF9AE}" pid="4" name="LastSaved">
    <vt:filetime>2025-04-09T00:00:00Z</vt:filetime>
  </property>
  <property fmtid="{D5CDD505-2E9C-101B-9397-08002B2CF9AE}" pid="5" name="SourceModified">
    <vt:lpwstr>D:20250409121543-04'00'</vt:lpwstr>
  </property>
</Properties>
</file>