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660A" w:rsidRDefault="00000000">
      <w:pPr>
        <w:pStyle w:val="Textoindependiente"/>
        <w:ind w:left="358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64059" cy="950976"/>
            <wp:effectExtent l="0" t="0" r="0" b="0"/>
            <wp:docPr id="1" name="Image 1" descr="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tipo  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4059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60A" w:rsidRDefault="0050660A">
      <w:pPr>
        <w:pStyle w:val="Textoindependiente"/>
        <w:rPr>
          <w:rFonts w:ascii="Times New Roman"/>
          <w:sz w:val="24"/>
        </w:rPr>
      </w:pPr>
    </w:p>
    <w:p w:rsidR="0050660A" w:rsidRDefault="0050660A">
      <w:pPr>
        <w:pStyle w:val="Textoindependiente"/>
        <w:spacing w:before="93"/>
        <w:rPr>
          <w:rFonts w:ascii="Times New Roman"/>
          <w:sz w:val="24"/>
        </w:rPr>
      </w:pPr>
    </w:p>
    <w:p w:rsidR="0050660A" w:rsidRDefault="00000000">
      <w:pPr>
        <w:spacing w:line="360" w:lineRule="auto"/>
        <w:ind w:left="102" w:right="116"/>
        <w:jc w:val="both"/>
        <w:rPr>
          <w:b/>
          <w:sz w:val="24"/>
        </w:rPr>
      </w:pPr>
      <w:r>
        <w:rPr>
          <w:b/>
          <w:w w:val="110"/>
          <w:sz w:val="24"/>
        </w:rPr>
        <w:t>PROYECTO DE LEY QUE MODIFICA EL DFL 1 QUE FIJA EL TEXTO REFUNDIDO, COORDINADO Y SISTEMATIZADO DE LA LEY Nº 18.695, ORGÁNICA CONSTITUCIONAL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MUNICIPALIDADES,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PARA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FORTALECER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LAS FUNCIONES FISCALIZADORAS DEL CONCEJO FRENTE AL ESTADO DE LAS CAUSAS JUDICIALES DE LA MUNICIPALIDAD</w:t>
      </w:r>
    </w:p>
    <w:p w:rsidR="0050660A" w:rsidRDefault="00000000">
      <w:pPr>
        <w:pStyle w:val="Ttulo1"/>
        <w:spacing w:before="162"/>
        <w:rPr>
          <w:b w:val="0"/>
        </w:rPr>
      </w:pPr>
      <w:r>
        <w:rPr>
          <w:spacing w:val="-2"/>
          <w:w w:val="110"/>
        </w:rPr>
        <w:t>VISTOS</w:t>
      </w:r>
      <w:r>
        <w:rPr>
          <w:b w:val="0"/>
          <w:spacing w:val="-2"/>
          <w:w w:val="110"/>
        </w:rPr>
        <w:t>:</w:t>
      </w:r>
    </w:p>
    <w:p w:rsidR="0050660A" w:rsidRDefault="0050660A">
      <w:pPr>
        <w:pStyle w:val="Textoindependiente"/>
        <w:spacing w:before="25"/>
      </w:pPr>
    </w:p>
    <w:p w:rsidR="0050660A" w:rsidRDefault="00000000">
      <w:pPr>
        <w:pStyle w:val="Textoindependiente"/>
        <w:spacing w:line="360" w:lineRule="auto"/>
        <w:ind w:left="102" w:right="120"/>
        <w:jc w:val="both"/>
      </w:pPr>
      <w:r>
        <w:rPr>
          <w:w w:val="110"/>
        </w:rPr>
        <w:t xml:space="preserve">Por lo dispuesto en el artículo 63° de la Constitución Política de la República; en la Ley N°18.918 Orgánica del Congreso Nacional y en el Reglamento de la H. Cámara de </w:t>
      </w:r>
      <w:r>
        <w:rPr>
          <w:spacing w:val="-2"/>
          <w:w w:val="110"/>
        </w:rPr>
        <w:t>Diputados.</w:t>
      </w:r>
    </w:p>
    <w:p w:rsidR="0050660A" w:rsidRDefault="0050660A">
      <w:pPr>
        <w:pStyle w:val="Textoindependiente"/>
      </w:pPr>
    </w:p>
    <w:p w:rsidR="0050660A" w:rsidRDefault="0050660A">
      <w:pPr>
        <w:pStyle w:val="Textoindependiente"/>
        <w:spacing w:before="186"/>
      </w:pPr>
    </w:p>
    <w:p w:rsidR="0050660A" w:rsidRDefault="00000000">
      <w:pPr>
        <w:pStyle w:val="Ttulo1"/>
      </w:pPr>
      <w:r>
        <w:rPr>
          <w:spacing w:val="-2"/>
          <w:w w:val="110"/>
        </w:rPr>
        <w:t>FUNDAMENTOS</w:t>
      </w:r>
    </w:p>
    <w:p w:rsidR="0050660A" w:rsidRDefault="0050660A">
      <w:pPr>
        <w:pStyle w:val="Textoindependiente"/>
        <w:spacing w:before="25"/>
        <w:rPr>
          <w:b/>
        </w:rPr>
      </w:pPr>
    </w:p>
    <w:p w:rsidR="0050660A" w:rsidRDefault="00000000">
      <w:pPr>
        <w:pStyle w:val="Textoindependiente"/>
        <w:spacing w:line="360" w:lineRule="auto"/>
        <w:ind w:left="102" w:right="112"/>
        <w:jc w:val="both"/>
      </w:pPr>
      <w:r>
        <w:t>La</w:t>
      </w:r>
      <w:r>
        <w:rPr>
          <w:spacing w:val="32"/>
        </w:rPr>
        <w:t xml:space="preserve"> </w:t>
      </w:r>
      <w:r>
        <w:t>transparencia</w:t>
      </w:r>
      <w:r>
        <w:rPr>
          <w:spacing w:val="26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gestión</w:t>
      </w:r>
      <w:r>
        <w:rPr>
          <w:spacing w:val="32"/>
        </w:rPr>
        <w:t xml:space="preserve"> </w:t>
      </w:r>
      <w:r>
        <w:t>pública</w:t>
      </w:r>
      <w:r>
        <w:rPr>
          <w:spacing w:val="26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pilar</w:t>
      </w:r>
      <w:r>
        <w:rPr>
          <w:spacing w:val="28"/>
        </w:rPr>
        <w:t xml:space="preserve"> </w:t>
      </w:r>
      <w:r>
        <w:t>fundamental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fortalecer</w:t>
      </w:r>
      <w:r>
        <w:rPr>
          <w:spacing w:val="34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 xml:space="preserve">confianza </w:t>
      </w:r>
      <w:r>
        <w:rPr>
          <w:w w:val="110"/>
        </w:rPr>
        <w:t>de la ciudadanía en las instituciones. Las causas judiciales que involucran a la municipalidad</w:t>
      </w:r>
      <w:r>
        <w:rPr>
          <w:spacing w:val="-7"/>
          <w:w w:val="110"/>
        </w:rPr>
        <w:t xml:space="preserve"> </w:t>
      </w:r>
      <w:r>
        <w:rPr>
          <w:w w:val="110"/>
        </w:rPr>
        <w:t>afectan</w:t>
      </w:r>
      <w:r>
        <w:rPr>
          <w:spacing w:val="-9"/>
          <w:w w:val="110"/>
        </w:rPr>
        <w:t xml:space="preserve"> </w:t>
      </w:r>
      <w:r>
        <w:rPr>
          <w:w w:val="110"/>
        </w:rPr>
        <w:t>directamente</w:t>
      </w:r>
      <w:r>
        <w:rPr>
          <w:spacing w:val="-7"/>
          <w:w w:val="110"/>
        </w:rPr>
        <w:t xml:space="preserve"> </w:t>
      </w:r>
      <w:r>
        <w:rPr>
          <w:w w:val="110"/>
        </w:rPr>
        <w:t>los</w:t>
      </w:r>
      <w:r>
        <w:rPr>
          <w:spacing w:val="-7"/>
          <w:w w:val="110"/>
        </w:rPr>
        <w:t xml:space="preserve"> </w:t>
      </w:r>
      <w:r>
        <w:rPr>
          <w:w w:val="110"/>
        </w:rPr>
        <w:t>recursos</w:t>
      </w:r>
      <w:r>
        <w:rPr>
          <w:spacing w:val="-10"/>
          <w:w w:val="110"/>
        </w:rPr>
        <w:t xml:space="preserve"> </w:t>
      </w:r>
      <w:r>
        <w:rPr>
          <w:w w:val="110"/>
        </w:rPr>
        <w:t>públicos</w:t>
      </w:r>
      <w:r>
        <w:rPr>
          <w:spacing w:val="-10"/>
          <w:w w:val="110"/>
        </w:rPr>
        <w:t xml:space="preserve"> </w:t>
      </w:r>
      <w:r>
        <w:rPr>
          <w:w w:val="110"/>
        </w:rPr>
        <w:t>y</w:t>
      </w:r>
      <w:r>
        <w:rPr>
          <w:spacing w:val="-7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>reputación</w:t>
      </w:r>
      <w:r>
        <w:rPr>
          <w:spacing w:val="-10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la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entidad, </w:t>
      </w:r>
      <w:r>
        <w:rPr>
          <w:spacing w:val="-2"/>
          <w:w w:val="110"/>
        </w:rPr>
        <w:t>por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lo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que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necesario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contar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con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mecanismos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que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aseguren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una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adecuada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fiscalización </w:t>
      </w:r>
      <w:r>
        <w:rPr>
          <w:w w:val="110"/>
        </w:rPr>
        <w:t>por parte del concejo municipal.</w:t>
      </w:r>
    </w:p>
    <w:p w:rsidR="0050660A" w:rsidRDefault="00000000">
      <w:pPr>
        <w:pStyle w:val="Textoindependiente"/>
        <w:spacing w:before="160" w:line="360" w:lineRule="auto"/>
        <w:ind w:left="102" w:right="121"/>
        <w:jc w:val="both"/>
      </w:pPr>
      <w:r>
        <w:rPr>
          <w:w w:val="110"/>
        </w:rPr>
        <w:t xml:space="preserve">El concejo municipal, como órgano fiscalizador, debe disponer de la información necesaria y oportuna sobre las causas judiciales que afecten a la municipalidad para evaluar el impacto financiero y operativo. El acceso a esta información permite tomar decisiones informadas y garantizar que los recursos públicos se administren con </w:t>
      </w:r>
      <w:r>
        <w:rPr>
          <w:spacing w:val="-2"/>
          <w:w w:val="110"/>
        </w:rPr>
        <w:t>responsabilidad.</w:t>
      </w:r>
    </w:p>
    <w:p w:rsidR="0050660A" w:rsidRDefault="00000000">
      <w:pPr>
        <w:pStyle w:val="Textoindependiente"/>
        <w:spacing w:before="161" w:line="360" w:lineRule="auto"/>
        <w:ind w:left="102" w:right="119"/>
        <w:jc w:val="both"/>
      </w:pPr>
      <w:r>
        <w:rPr>
          <w:w w:val="110"/>
        </w:rPr>
        <w:t xml:space="preserve">En muchas municipalidades de nuestro país, el Concejo no tiene un acceso claro ni oportuno a la información sobre el estado de las causas judiciales. Esta falta de </w:t>
      </w:r>
      <w:r>
        <w:t xml:space="preserve">información dificulta la evaluación de los riesgos legales y las decisiones de mitigación de </w:t>
      </w:r>
      <w:r>
        <w:rPr>
          <w:spacing w:val="-2"/>
          <w:w w:val="110"/>
        </w:rPr>
        <w:t>impacto.</w:t>
      </w:r>
    </w:p>
    <w:p w:rsidR="0050660A" w:rsidRDefault="0050660A">
      <w:pPr>
        <w:spacing w:line="360" w:lineRule="auto"/>
        <w:jc w:val="both"/>
        <w:sectPr w:rsidR="0050660A">
          <w:type w:val="continuous"/>
          <w:pgSz w:w="11910" w:h="16840"/>
          <w:pgMar w:top="1520" w:right="1580" w:bottom="280" w:left="1600" w:header="720" w:footer="720" w:gutter="0"/>
          <w:cols w:space="720"/>
        </w:sectPr>
      </w:pPr>
    </w:p>
    <w:p w:rsidR="0050660A" w:rsidRDefault="00000000">
      <w:pPr>
        <w:pStyle w:val="Textoindependiente"/>
        <w:spacing w:before="75" w:line="360" w:lineRule="auto"/>
        <w:ind w:left="102" w:right="120"/>
        <w:jc w:val="both"/>
      </w:pPr>
      <w:r>
        <w:lastRenderedPageBreak/>
        <w:t xml:space="preserve">Las demandas judiciales pueden comprometer recursos públicos de manera significativa, </w:t>
      </w:r>
      <w:r>
        <w:rPr>
          <w:w w:val="110"/>
        </w:rPr>
        <w:t xml:space="preserve">generando riesgos financieros que no siempre son visibilizados a tiempo por los </w:t>
      </w:r>
      <w:r>
        <w:t>organismos</w:t>
      </w:r>
      <w:r>
        <w:rPr>
          <w:spacing w:val="39"/>
        </w:rPr>
        <w:t xml:space="preserve"> </w:t>
      </w:r>
      <w:r>
        <w:t>encargados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sin</w:t>
      </w:r>
      <w:r>
        <w:rPr>
          <w:spacing w:val="40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monitoreo</w:t>
      </w:r>
      <w:r>
        <w:rPr>
          <w:spacing w:val="40"/>
        </w:rPr>
        <w:t xml:space="preserve"> </w:t>
      </w:r>
      <w:r>
        <w:t>adecuado,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pierde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oportunidad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 xml:space="preserve">prever </w:t>
      </w:r>
      <w:r>
        <w:rPr>
          <w:w w:val="110"/>
        </w:rPr>
        <w:t>o mitigar consecuencias.</w:t>
      </w:r>
    </w:p>
    <w:p w:rsidR="0050660A" w:rsidRDefault="0050660A">
      <w:pPr>
        <w:pStyle w:val="Textoindependiente"/>
      </w:pPr>
    </w:p>
    <w:p w:rsidR="0050660A" w:rsidRDefault="0050660A">
      <w:pPr>
        <w:pStyle w:val="Textoindependiente"/>
        <w:spacing w:before="186"/>
      </w:pPr>
    </w:p>
    <w:p w:rsidR="0050660A" w:rsidRDefault="00000000">
      <w:pPr>
        <w:pStyle w:val="Ttulo1"/>
        <w:jc w:val="both"/>
      </w:pPr>
      <w:r>
        <w:rPr>
          <w:w w:val="110"/>
        </w:rPr>
        <w:t>OBJETIVO</w:t>
      </w:r>
      <w:r>
        <w:rPr>
          <w:spacing w:val="-9"/>
          <w:w w:val="110"/>
        </w:rPr>
        <w:t xml:space="preserve"> </w:t>
      </w:r>
      <w:r>
        <w:rPr>
          <w:w w:val="110"/>
        </w:rPr>
        <w:t>DEL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PROYECTO</w:t>
      </w:r>
    </w:p>
    <w:p w:rsidR="0050660A" w:rsidRDefault="0050660A">
      <w:pPr>
        <w:pStyle w:val="Textoindependiente"/>
        <w:spacing w:before="25"/>
        <w:rPr>
          <w:b/>
        </w:rPr>
      </w:pPr>
    </w:p>
    <w:p w:rsidR="0050660A" w:rsidRDefault="00000000">
      <w:pPr>
        <w:pStyle w:val="Textoindependiente"/>
        <w:spacing w:line="360" w:lineRule="auto"/>
        <w:ind w:left="102" w:right="118"/>
        <w:jc w:val="both"/>
      </w:pPr>
      <w:r>
        <w:rPr>
          <w:w w:val="110"/>
        </w:rPr>
        <w:t>El proyecto de ley tiene como objetivo garantizar que el concejo municipal reciba de manera</w:t>
      </w:r>
      <w:r>
        <w:rPr>
          <w:spacing w:val="-3"/>
          <w:w w:val="110"/>
        </w:rPr>
        <w:t xml:space="preserve"> </w:t>
      </w:r>
      <w:r>
        <w:rPr>
          <w:w w:val="110"/>
        </w:rPr>
        <w:t>sistemática,</w:t>
      </w:r>
      <w:r>
        <w:rPr>
          <w:spacing w:val="-4"/>
          <w:w w:val="110"/>
        </w:rPr>
        <w:t xml:space="preserve"> </w:t>
      </w:r>
      <w:r>
        <w:rPr>
          <w:w w:val="110"/>
        </w:rPr>
        <w:t>periódica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3"/>
          <w:w w:val="110"/>
        </w:rPr>
        <w:t xml:space="preserve"> </w:t>
      </w:r>
      <w:r>
        <w:rPr>
          <w:w w:val="110"/>
        </w:rPr>
        <w:t>detallada</w:t>
      </w:r>
      <w:r>
        <w:rPr>
          <w:spacing w:val="-3"/>
          <w:w w:val="110"/>
        </w:rPr>
        <w:t xml:space="preserve"> </w:t>
      </w:r>
      <w:r>
        <w:rPr>
          <w:w w:val="110"/>
        </w:rPr>
        <w:t>información</w:t>
      </w:r>
      <w:r>
        <w:rPr>
          <w:spacing w:val="-5"/>
          <w:w w:val="110"/>
        </w:rPr>
        <w:t xml:space="preserve"> </w:t>
      </w:r>
      <w:r>
        <w:rPr>
          <w:w w:val="110"/>
        </w:rPr>
        <w:t>sobre</w:t>
      </w:r>
      <w:r>
        <w:rPr>
          <w:spacing w:val="-3"/>
          <w:w w:val="110"/>
        </w:rPr>
        <w:t xml:space="preserve"> </w:t>
      </w:r>
      <w:r>
        <w:rPr>
          <w:w w:val="110"/>
        </w:rPr>
        <w:t>el</w:t>
      </w:r>
      <w:r>
        <w:rPr>
          <w:spacing w:val="-6"/>
          <w:w w:val="110"/>
        </w:rPr>
        <w:t xml:space="preserve"> </w:t>
      </w:r>
      <w:r>
        <w:rPr>
          <w:w w:val="110"/>
        </w:rPr>
        <w:t>inicio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nuevas</w:t>
      </w:r>
      <w:r>
        <w:rPr>
          <w:spacing w:val="-3"/>
          <w:w w:val="110"/>
        </w:rPr>
        <w:t xml:space="preserve"> </w:t>
      </w:r>
      <w:r>
        <w:rPr>
          <w:w w:val="110"/>
        </w:rPr>
        <w:t>causas judiciales, así como el avance y estado de las causas en curso de parte de la unidad encargada</w:t>
      </w:r>
      <w:r>
        <w:rPr>
          <w:spacing w:val="-8"/>
          <w:w w:val="110"/>
        </w:rPr>
        <w:t xml:space="preserve"> </w:t>
      </w:r>
      <w:r>
        <w:rPr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w w:val="110"/>
        </w:rPr>
        <w:t>control.</w:t>
      </w:r>
      <w:r>
        <w:rPr>
          <w:spacing w:val="-6"/>
          <w:w w:val="110"/>
        </w:rPr>
        <w:t xml:space="preserve"> </w:t>
      </w:r>
      <w:r>
        <w:rPr>
          <w:w w:val="110"/>
        </w:rPr>
        <w:t>Esto</w:t>
      </w:r>
      <w:r>
        <w:rPr>
          <w:spacing w:val="-8"/>
          <w:w w:val="110"/>
        </w:rPr>
        <w:t xml:space="preserve"> </w:t>
      </w:r>
      <w:r>
        <w:rPr>
          <w:w w:val="110"/>
        </w:rPr>
        <w:t>permite</w:t>
      </w:r>
      <w:r>
        <w:rPr>
          <w:spacing w:val="-7"/>
          <w:w w:val="110"/>
        </w:rPr>
        <w:t xml:space="preserve"> </w:t>
      </w:r>
      <w:r>
        <w:rPr>
          <w:w w:val="110"/>
        </w:rPr>
        <w:t>una</w:t>
      </w:r>
      <w:r>
        <w:rPr>
          <w:spacing w:val="-8"/>
          <w:w w:val="110"/>
        </w:rPr>
        <w:t xml:space="preserve"> </w:t>
      </w:r>
      <w:r>
        <w:rPr>
          <w:w w:val="110"/>
        </w:rPr>
        <w:t>mayor</w:t>
      </w:r>
      <w:r>
        <w:rPr>
          <w:spacing w:val="-7"/>
          <w:w w:val="110"/>
        </w:rPr>
        <w:t xml:space="preserve"> </w:t>
      </w:r>
      <w:r>
        <w:rPr>
          <w:w w:val="110"/>
        </w:rPr>
        <w:t>fiscalización</w:t>
      </w:r>
      <w:r>
        <w:rPr>
          <w:spacing w:val="-8"/>
          <w:w w:val="110"/>
        </w:rPr>
        <w:t xml:space="preserve"> </w:t>
      </w:r>
      <w:r>
        <w:rPr>
          <w:w w:val="110"/>
        </w:rPr>
        <w:t>y</w:t>
      </w:r>
      <w:r>
        <w:rPr>
          <w:spacing w:val="-5"/>
          <w:w w:val="110"/>
        </w:rPr>
        <w:t xml:space="preserve"> </w:t>
      </w:r>
      <w:r>
        <w:rPr>
          <w:w w:val="110"/>
        </w:rPr>
        <w:t>control</w:t>
      </w:r>
      <w:r>
        <w:rPr>
          <w:spacing w:val="-8"/>
          <w:w w:val="110"/>
        </w:rPr>
        <w:t xml:space="preserve"> </w:t>
      </w:r>
      <w:r>
        <w:rPr>
          <w:w w:val="110"/>
        </w:rPr>
        <w:t>sobre</w:t>
      </w:r>
      <w:r>
        <w:rPr>
          <w:spacing w:val="-6"/>
          <w:w w:val="110"/>
        </w:rPr>
        <w:t xml:space="preserve"> </w:t>
      </w:r>
      <w:r>
        <w:rPr>
          <w:w w:val="110"/>
        </w:rPr>
        <w:t>los</w:t>
      </w:r>
      <w:r>
        <w:rPr>
          <w:spacing w:val="-7"/>
          <w:w w:val="110"/>
        </w:rPr>
        <w:t xml:space="preserve"> </w:t>
      </w:r>
      <w:r>
        <w:rPr>
          <w:w w:val="110"/>
        </w:rPr>
        <w:t>asuntos legales</w:t>
      </w:r>
      <w:r>
        <w:rPr>
          <w:spacing w:val="-2"/>
          <w:w w:val="110"/>
        </w:rPr>
        <w:t xml:space="preserve"> </w:t>
      </w:r>
      <w:r>
        <w:rPr>
          <w:w w:val="110"/>
        </w:rPr>
        <w:t>que</w:t>
      </w:r>
      <w:r>
        <w:rPr>
          <w:spacing w:val="-2"/>
          <w:w w:val="110"/>
        </w:rPr>
        <w:t xml:space="preserve"> </w:t>
      </w:r>
      <w:r>
        <w:rPr>
          <w:w w:val="110"/>
        </w:rPr>
        <w:t>afectan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municipalidad,</w:t>
      </w:r>
      <w:r>
        <w:rPr>
          <w:spacing w:val="-1"/>
          <w:w w:val="110"/>
        </w:rPr>
        <w:t xml:space="preserve"> </w:t>
      </w:r>
      <w:r>
        <w:rPr>
          <w:w w:val="110"/>
        </w:rPr>
        <w:t>contribuyendo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2"/>
          <w:w w:val="110"/>
        </w:rPr>
        <w:t xml:space="preserve"> </w:t>
      </w:r>
      <w:r>
        <w:rPr>
          <w:w w:val="110"/>
        </w:rPr>
        <w:t>prevención</w:t>
      </w:r>
      <w:r>
        <w:rPr>
          <w:spacing w:val="-2"/>
          <w:w w:val="110"/>
        </w:rPr>
        <w:t xml:space="preserve"> </w:t>
      </w:r>
      <w:r>
        <w:rPr>
          <w:w w:val="110"/>
        </w:rPr>
        <w:t>de</w:t>
      </w:r>
      <w:r>
        <w:rPr>
          <w:spacing w:val="-2"/>
          <w:w w:val="110"/>
        </w:rPr>
        <w:t xml:space="preserve"> </w:t>
      </w:r>
      <w:r>
        <w:rPr>
          <w:w w:val="110"/>
        </w:rPr>
        <w:t>riesgos</w:t>
      </w:r>
      <w:r>
        <w:rPr>
          <w:spacing w:val="-2"/>
          <w:w w:val="110"/>
        </w:rPr>
        <w:t xml:space="preserve"> </w:t>
      </w:r>
      <w:r>
        <w:rPr>
          <w:w w:val="110"/>
        </w:rPr>
        <w:t>y una administración más eficiente de los recursos públicos.</w:t>
      </w:r>
    </w:p>
    <w:p w:rsidR="0050660A" w:rsidRDefault="00000000">
      <w:pPr>
        <w:pStyle w:val="Textoindependiente"/>
        <w:spacing w:before="161" w:line="360" w:lineRule="auto"/>
        <w:ind w:left="102" w:right="123"/>
        <w:jc w:val="both"/>
      </w:pPr>
      <w:r>
        <w:rPr>
          <w:w w:val="110"/>
        </w:rPr>
        <w:t>Para asegurar la efectividad del control, se propone que los informes sean de carácter detallado,</w:t>
      </w:r>
      <w:r>
        <w:rPr>
          <w:spacing w:val="-14"/>
          <w:w w:val="110"/>
        </w:rPr>
        <w:t xml:space="preserve"> </w:t>
      </w:r>
      <w:r>
        <w:rPr>
          <w:w w:val="110"/>
        </w:rPr>
        <w:t>incluyendo</w:t>
      </w:r>
      <w:r>
        <w:rPr>
          <w:spacing w:val="-14"/>
          <w:w w:val="110"/>
        </w:rPr>
        <w:t xml:space="preserve"> </w:t>
      </w:r>
      <w:r>
        <w:rPr>
          <w:w w:val="110"/>
        </w:rPr>
        <w:t>los</w:t>
      </w:r>
      <w:r>
        <w:rPr>
          <w:spacing w:val="-14"/>
          <w:w w:val="110"/>
        </w:rPr>
        <w:t xml:space="preserve"> </w:t>
      </w:r>
      <w:r>
        <w:rPr>
          <w:w w:val="110"/>
        </w:rPr>
        <w:t>aspectos</w:t>
      </w:r>
      <w:r>
        <w:rPr>
          <w:spacing w:val="-13"/>
          <w:w w:val="110"/>
        </w:rPr>
        <w:t xml:space="preserve"> </w:t>
      </w:r>
      <w:r>
        <w:rPr>
          <w:w w:val="110"/>
        </w:rPr>
        <w:t>financieros,</w:t>
      </w:r>
      <w:r>
        <w:rPr>
          <w:spacing w:val="-14"/>
          <w:w w:val="110"/>
        </w:rPr>
        <w:t xml:space="preserve"> </w:t>
      </w:r>
      <w:r>
        <w:rPr>
          <w:w w:val="110"/>
        </w:rPr>
        <w:t>posibles</w:t>
      </w:r>
      <w:r>
        <w:rPr>
          <w:spacing w:val="-14"/>
          <w:w w:val="110"/>
        </w:rPr>
        <w:t xml:space="preserve"> </w:t>
      </w:r>
      <w:r>
        <w:rPr>
          <w:w w:val="110"/>
        </w:rPr>
        <w:t>riesgos</w:t>
      </w:r>
      <w:r>
        <w:rPr>
          <w:spacing w:val="-13"/>
          <w:w w:val="110"/>
        </w:rPr>
        <w:t xml:space="preserve"> </w:t>
      </w:r>
      <w:r>
        <w:rPr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w w:val="110"/>
        </w:rPr>
        <w:t>estrategias</w:t>
      </w:r>
      <w:r>
        <w:rPr>
          <w:spacing w:val="-14"/>
          <w:w w:val="110"/>
        </w:rPr>
        <w:t xml:space="preserve"> </w:t>
      </w:r>
      <w:r>
        <w:rPr>
          <w:w w:val="110"/>
        </w:rPr>
        <w:t>de</w:t>
      </w:r>
      <w:r>
        <w:rPr>
          <w:spacing w:val="-13"/>
          <w:w w:val="110"/>
        </w:rPr>
        <w:t xml:space="preserve"> </w:t>
      </w:r>
      <w:r>
        <w:rPr>
          <w:w w:val="110"/>
        </w:rPr>
        <w:t xml:space="preserve">defensa </w:t>
      </w:r>
      <w:r>
        <w:rPr>
          <w:spacing w:val="-2"/>
          <w:w w:val="110"/>
        </w:rPr>
        <w:t>jurídica.</w:t>
      </w:r>
    </w:p>
    <w:p w:rsidR="0050660A" w:rsidRDefault="0050660A">
      <w:pPr>
        <w:pStyle w:val="Textoindependiente"/>
      </w:pPr>
    </w:p>
    <w:p w:rsidR="0050660A" w:rsidRDefault="0050660A">
      <w:pPr>
        <w:pStyle w:val="Textoindependiente"/>
        <w:spacing w:before="187"/>
      </w:pPr>
    </w:p>
    <w:p w:rsidR="0050660A" w:rsidRDefault="00000000">
      <w:pPr>
        <w:ind w:right="17"/>
        <w:jc w:val="center"/>
        <w:rPr>
          <w:b/>
          <w:sz w:val="24"/>
        </w:rPr>
      </w:pPr>
      <w:r>
        <w:rPr>
          <w:b/>
          <w:w w:val="110"/>
          <w:sz w:val="24"/>
        </w:rPr>
        <w:t>PROYECTO</w:t>
      </w:r>
      <w:r>
        <w:rPr>
          <w:b/>
          <w:spacing w:val="-3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-4"/>
          <w:w w:val="110"/>
          <w:sz w:val="24"/>
        </w:rPr>
        <w:t xml:space="preserve"> </w:t>
      </w:r>
      <w:r>
        <w:rPr>
          <w:b/>
          <w:spacing w:val="-5"/>
          <w:w w:val="110"/>
          <w:sz w:val="24"/>
        </w:rPr>
        <w:t>LEY</w:t>
      </w:r>
    </w:p>
    <w:p w:rsidR="0050660A" w:rsidRDefault="00000000">
      <w:pPr>
        <w:spacing w:before="206" w:line="278" w:lineRule="auto"/>
        <w:ind w:left="102"/>
        <w:rPr>
          <w:sz w:val="24"/>
        </w:rPr>
      </w:pPr>
      <w:r>
        <w:rPr>
          <w:w w:val="110"/>
          <w:sz w:val="24"/>
        </w:rPr>
        <w:t>Incorpórese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siguiente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modificación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DFL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1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fija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texto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 xml:space="preserve">refundido, </w:t>
      </w:r>
      <w:r>
        <w:rPr>
          <w:sz w:val="24"/>
        </w:rPr>
        <w:t>coordinado</w:t>
      </w:r>
      <w:r>
        <w:rPr>
          <w:spacing w:val="36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sistematizado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z w:val="24"/>
        </w:rPr>
        <w:t>Ley</w:t>
      </w:r>
      <w:r>
        <w:rPr>
          <w:spacing w:val="38"/>
          <w:sz w:val="24"/>
        </w:rPr>
        <w:t xml:space="preserve"> </w:t>
      </w:r>
      <w:r>
        <w:rPr>
          <w:sz w:val="24"/>
        </w:rPr>
        <w:t>N°</w:t>
      </w:r>
      <w:r>
        <w:rPr>
          <w:spacing w:val="38"/>
          <w:sz w:val="24"/>
        </w:rPr>
        <w:t xml:space="preserve"> </w:t>
      </w:r>
      <w:r>
        <w:rPr>
          <w:sz w:val="24"/>
        </w:rPr>
        <w:t>18.695,</w:t>
      </w:r>
      <w:r>
        <w:rPr>
          <w:spacing w:val="40"/>
          <w:sz w:val="24"/>
        </w:rPr>
        <w:t xml:space="preserve"> </w:t>
      </w:r>
      <w:r>
        <w:rPr>
          <w:sz w:val="24"/>
        </w:rPr>
        <w:t>Orgánica</w:t>
      </w:r>
      <w:r>
        <w:rPr>
          <w:spacing w:val="36"/>
          <w:sz w:val="24"/>
        </w:rPr>
        <w:t xml:space="preserve"> </w:t>
      </w:r>
      <w:r>
        <w:rPr>
          <w:sz w:val="24"/>
        </w:rPr>
        <w:t>Constitucional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w w:val="110"/>
          <w:sz w:val="24"/>
        </w:rPr>
        <w:t>Municipalidades:</w:t>
      </w:r>
    </w:p>
    <w:p w:rsidR="0050660A" w:rsidRDefault="0050660A">
      <w:pPr>
        <w:pStyle w:val="Textoindependiente"/>
        <w:rPr>
          <w:sz w:val="24"/>
        </w:rPr>
      </w:pPr>
    </w:p>
    <w:p w:rsidR="0050660A" w:rsidRDefault="0050660A">
      <w:pPr>
        <w:pStyle w:val="Textoindependiente"/>
        <w:spacing w:before="72"/>
        <w:rPr>
          <w:sz w:val="24"/>
        </w:rPr>
      </w:pPr>
    </w:p>
    <w:p w:rsidR="0050660A" w:rsidRDefault="00000000">
      <w:pPr>
        <w:ind w:left="102"/>
        <w:rPr>
          <w:sz w:val="24"/>
        </w:rPr>
      </w:pPr>
      <w:r>
        <w:rPr>
          <w:w w:val="105"/>
          <w:sz w:val="24"/>
        </w:rPr>
        <w:t>Incorpórese,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articulo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29°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letra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d),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luego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“;”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siguiente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expresión:</w:t>
      </w:r>
    </w:p>
    <w:p w:rsidR="0050660A" w:rsidRDefault="00000000">
      <w:pPr>
        <w:spacing w:before="207" w:line="278" w:lineRule="auto"/>
        <w:ind w:left="102" w:right="143"/>
        <w:jc w:val="both"/>
        <w:rPr>
          <w:sz w:val="24"/>
        </w:rPr>
      </w:pPr>
      <w:r>
        <w:rPr>
          <w:sz w:val="24"/>
        </w:rPr>
        <w:t>“Además,</w:t>
      </w:r>
      <w:r>
        <w:rPr>
          <w:spacing w:val="40"/>
          <w:sz w:val="24"/>
        </w:rPr>
        <w:t xml:space="preserve"> </w:t>
      </w:r>
      <w:r>
        <w:rPr>
          <w:sz w:val="24"/>
        </w:rPr>
        <w:t>deberá</w:t>
      </w:r>
      <w:r>
        <w:rPr>
          <w:spacing w:val="36"/>
          <w:sz w:val="24"/>
        </w:rPr>
        <w:t xml:space="preserve"> </w:t>
      </w:r>
      <w:r>
        <w:rPr>
          <w:sz w:val="24"/>
        </w:rPr>
        <w:t>informar</w:t>
      </w:r>
      <w:r>
        <w:rPr>
          <w:spacing w:val="36"/>
          <w:sz w:val="24"/>
        </w:rPr>
        <w:t xml:space="preserve"> </w:t>
      </w:r>
      <w:r>
        <w:rPr>
          <w:b/>
          <w:sz w:val="24"/>
        </w:rPr>
        <w:t>bimensualmente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al</w:t>
      </w:r>
      <w:r>
        <w:rPr>
          <w:spacing w:val="36"/>
          <w:sz w:val="24"/>
        </w:rPr>
        <w:t xml:space="preserve"> </w:t>
      </w:r>
      <w:r>
        <w:rPr>
          <w:sz w:val="24"/>
        </w:rPr>
        <w:t>Concejo,</w:t>
      </w:r>
      <w:r>
        <w:rPr>
          <w:spacing w:val="38"/>
          <w:sz w:val="24"/>
        </w:rPr>
        <w:t xml:space="preserve"> </w:t>
      </w:r>
      <w:r>
        <w:rPr>
          <w:sz w:val="24"/>
        </w:rPr>
        <w:t>sobre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estado</w:t>
      </w:r>
      <w:r>
        <w:rPr>
          <w:spacing w:val="38"/>
          <w:sz w:val="24"/>
        </w:rPr>
        <w:t xml:space="preserve"> </w:t>
      </w:r>
      <w:r>
        <w:rPr>
          <w:sz w:val="24"/>
        </w:rPr>
        <w:t>y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avance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juicios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que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involucren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la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Corporación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inicio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nuevas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causas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judiciales en su contra;”</w:t>
      </w:r>
    </w:p>
    <w:p w:rsidR="0050660A" w:rsidRDefault="0050660A">
      <w:pPr>
        <w:pStyle w:val="Textoindependiente"/>
        <w:rPr>
          <w:sz w:val="20"/>
        </w:rPr>
      </w:pPr>
    </w:p>
    <w:p w:rsidR="0050660A" w:rsidRDefault="00000000">
      <w:pPr>
        <w:pStyle w:val="Textoindependiente"/>
        <w:spacing w:before="86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2914429</wp:posOffset>
            </wp:positionH>
            <wp:positionV relativeFrom="paragraph">
              <wp:posOffset>224902</wp:posOffset>
            </wp:positionV>
            <wp:extent cx="1792417" cy="585215"/>
            <wp:effectExtent l="0" t="0" r="0" b="0"/>
            <wp:wrapTopAndBottom/>
            <wp:docPr id="2" name="Image 2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Texto  Descripción generada automá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417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60A" w:rsidRDefault="0050660A">
      <w:pPr>
        <w:pStyle w:val="Textoindependiente"/>
        <w:rPr>
          <w:sz w:val="24"/>
        </w:rPr>
      </w:pPr>
    </w:p>
    <w:p w:rsidR="0050660A" w:rsidRDefault="0050660A">
      <w:pPr>
        <w:pStyle w:val="Textoindependiente"/>
        <w:spacing w:before="38"/>
        <w:rPr>
          <w:sz w:val="24"/>
        </w:rPr>
      </w:pPr>
    </w:p>
    <w:p w:rsidR="0050660A" w:rsidRDefault="00000000">
      <w:pPr>
        <w:ind w:left="2932"/>
        <w:rPr>
          <w:b/>
          <w:sz w:val="24"/>
        </w:rPr>
      </w:pPr>
      <w:r>
        <w:rPr>
          <w:b/>
          <w:w w:val="110"/>
          <w:sz w:val="24"/>
        </w:rPr>
        <w:t>CONSUELO</w:t>
      </w:r>
      <w:r>
        <w:rPr>
          <w:b/>
          <w:spacing w:val="18"/>
          <w:w w:val="110"/>
          <w:sz w:val="24"/>
        </w:rPr>
        <w:t xml:space="preserve"> </w:t>
      </w:r>
      <w:r>
        <w:rPr>
          <w:b/>
          <w:w w:val="110"/>
          <w:sz w:val="24"/>
        </w:rPr>
        <w:t>VELOSO</w:t>
      </w:r>
      <w:r>
        <w:rPr>
          <w:b/>
          <w:spacing w:val="20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ÁVILA</w:t>
      </w:r>
    </w:p>
    <w:p w:rsidR="0050660A" w:rsidRDefault="00000000">
      <w:pPr>
        <w:spacing w:before="45"/>
        <w:ind w:left="2651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DIPUTADA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30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sectPr w:rsidR="0050660A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660A"/>
    <w:rsid w:val="0050660A"/>
    <w:rsid w:val="007E7817"/>
    <w:rsid w:val="00D4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C128A0-D4A1-4566-91B2-768D2BB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Quintana</dc:creator>
  <cp:lastModifiedBy>Guillermo Diaz Vallejos</cp:lastModifiedBy>
  <cp:revision>1</cp:revision>
  <dcterms:created xsi:type="dcterms:W3CDTF">2025-01-14T19:12:00Z</dcterms:created>
  <dcterms:modified xsi:type="dcterms:W3CDTF">2025-03-26T14:54:00Z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para Microsoft 365</vt:lpwstr>
  </property>
</Properties>
</file>