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303E" w:rsidRDefault="00000000">
      <w:pPr>
        <w:pStyle w:val="Textoindependiente"/>
        <w:ind w:left="3744"/>
        <w:rPr>
          <w:rFonts w:ascii="Times New Roman"/>
          <w:sz w:val="20"/>
        </w:rPr>
      </w:pPr>
      <w:r>
        <w:rPr>
          <w:rFonts w:ascii="Times New Roman"/>
          <w:noProof/>
          <w:sz w:val="20"/>
        </w:rPr>
        <w:drawing>
          <wp:inline distT="0" distB="0" distL="0" distR="0">
            <wp:extent cx="1039622" cy="99440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39622" cy="994409"/>
                    </a:xfrm>
                    <a:prstGeom prst="rect">
                      <a:avLst/>
                    </a:prstGeom>
                  </pic:spPr>
                </pic:pic>
              </a:graphicData>
            </a:graphic>
          </wp:inline>
        </w:drawing>
      </w:r>
    </w:p>
    <w:p w:rsidR="005A303E" w:rsidRDefault="00000000">
      <w:pPr>
        <w:pStyle w:val="Ttulo1"/>
        <w:spacing w:before="94"/>
        <w:ind w:right="139"/>
        <w:jc w:val="both"/>
      </w:pPr>
      <w:r>
        <w:t>PROYECTO DE LEY QUE MODIFICA EL DECRETO CON FUERZA DE LEY N° 1, DE 2001,</w:t>
      </w:r>
      <w:r>
        <w:rPr>
          <w:spacing w:val="-2"/>
        </w:rPr>
        <w:t xml:space="preserve"> </w:t>
      </w:r>
      <w:r>
        <w:t>DEL</w:t>
      </w:r>
      <w:r>
        <w:rPr>
          <w:spacing w:val="-3"/>
        </w:rPr>
        <w:t xml:space="preserve"> </w:t>
      </w:r>
      <w:r>
        <w:t>MINISTERIO</w:t>
      </w:r>
      <w:r>
        <w:rPr>
          <w:spacing w:val="-2"/>
        </w:rPr>
        <w:t xml:space="preserve"> </w:t>
      </w:r>
      <w:r>
        <w:t>DE</w:t>
      </w:r>
      <w:r>
        <w:rPr>
          <w:spacing w:val="-3"/>
        </w:rPr>
        <w:t xml:space="preserve"> </w:t>
      </w:r>
      <w:r>
        <w:t>SALUD,</w:t>
      </w:r>
      <w:r>
        <w:rPr>
          <w:spacing w:val="-2"/>
        </w:rPr>
        <w:t xml:space="preserve"> </w:t>
      </w:r>
      <w:r>
        <w:t>QUE</w:t>
      </w:r>
      <w:r>
        <w:rPr>
          <w:spacing w:val="-3"/>
        </w:rPr>
        <w:t xml:space="preserve"> </w:t>
      </w:r>
      <w:r>
        <w:t>FIJA</w:t>
      </w:r>
      <w:r>
        <w:rPr>
          <w:spacing w:val="-2"/>
        </w:rPr>
        <w:t xml:space="preserve"> </w:t>
      </w:r>
      <w:r>
        <w:t>TEXTO</w:t>
      </w:r>
      <w:r>
        <w:rPr>
          <w:spacing w:val="-2"/>
        </w:rPr>
        <w:t xml:space="preserve"> </w:t>
      </w:r>
      <w:r>
        <w:t>REFUNDIDO,</w:t>
      </w:r>
      <w:r>
        <w:rPr>
          <w:spacing w:val="-2"/>
        </w:rPr>
        <w:t xml:space="preserve"> </w:t>
      </w:r>
      <w:r>
        <w:t>COORDINADO</w:t>
      </w:r>
      <w:r>
        <w:rPr>
          <w:spacing w:val="-2"/>
        </w:rPr>
        <w:t xml:space="preserve"> </w:t>
      </w:r>
      <w:r>
        <w:t xml:space="preserve">Y SISTEMATIZADO DE LA LEY N° 15.076, CON EL OBJETIVO DE MEJORAR LA REGULACIÓN DEL PERÍODO ASISTENCIAL OBLIGATORIO DE LOS MÉDICOS </w:t>
      </w:r>
      <w:r>
        <w:rPr>
          <w:spacing w:val="-2"/>
        </w:rPr>
        <w:t>ESPECIALISTAS</w:t>
      </w:r>
    </w:p>
    <w:p w:rsidR="005A303E" w:rsidRDefault="00000000">
      <w:pPr>
        <w:pStyle w:val="Textoindependiente"/>
        <w:spacing w:before="45"/>
        <w:ind w:left="0"/>
        <w:rPr>
          <w:rFonts w:ascii="Cambria"/>
          <w:b/>
          <w:sz w:val="20"/>
        </w:rPr>
      </w:pPr>
      <w:r>
        <w:rPr>
          <w:noProof/>
        </w:rPr>
        <mc:AlternateContent>
          <mc:Choice Requires="wps">
            <w:drawing>
              <wp:anchor distT="0" distB="0" distL="0" distR="0" simplePos="0" relativeHeight="487587840" behindDoc="1" locked="0" layoutInCell="1" allowOverlap="1">
                <wp:simplePos x="0" y="0"/>
                <wp:positionH relativeFrom="page">
                  <wp:posOffset>1060703</wp:posOffset>
                </wp:positionH>
                <wp:positionV relativeFrom="paragraph">
                  <wp:posOffset>193271</wp:posOffset>
                </wp:positionV>
                <wp:extent cx="5648325"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18415"/>
                        </a:xfrm>
                        <a:custGeom>
                          <a:avLst/>
                          <a:gdLst/>
                          <a:ahLst/>
                          <a:cxnLst/>
                          <a:rect l="l" t="t" r="r" b="b"/>
                          <a:pathLst>
                            <a:path w="5648325" h="18415">
                              <a:moveTo>
                                <a:pt x="5647944" y="0"/>
                              </a:moveTo>
                              <a:lnTo>
                                <a:pt x="0" y="0"/>
                              </a:lnTo>
                              <a:lnTo>
                                <a:pt x="0" y="18288"/>
                              </a:lnTo>
                              <a:lnTo>
                                <a:pt x="5647944" y="18288"/>
                              </a:lnTo>
                              <a:lnTo>
                                <a:pt x="56479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7D663A" id="Graphic 2" o:spid="_x0000_s1026" style="position:absolute;margin-left:83.5pt;margin-top:15.2pt;width:444.7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483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" path="m5647944,l,,,18288r5647944,l5647944,xe" fillcolor="black" stroked="f">
                <v:path arrowok="t"/>
                <w10:wrap type="topAndBottom" anchorx="page"/>
              </v:shape>
            </w:pict>
          </mc:Fallback>
        </mc:AlternateContent>
      </w:r>
    </w:p>
    <w:p w:rsidR="005A303E" w:rsidRDefault="005A303E">
      <w:pPr>
        <w:pStyle w:val="Textoindependiente"/>
        <w:spacing w:before="8"/>
        <w:ind w:left="0"/>
        <w:rPr>
          <w:rFonts w:ascii="Cambria"/>
          <w:b/>
        </w:rPr>
      </w:pPr>
    </w:p>
    <w:p w:rsidR="005A303E" w:rsidRDefault="00000000">
      <w:pPr>
        <w:ind w:left="139"/>
        <w:rPr>
          <w:b/>
          <w:sz w:val="24"/>
        </w:rPr>
      </w:pPr>
      <w:r>
        <w:rPr>
          <w:b/>
          <w:spacing w:val="-2"/>
          <w:w w:val="115"/>
          <w:sz w:val="24"/>
        </w:rPr>
        <w:t>CONSIDERANDOS:</w:t>
      </w:r>
    </w:p>
    <w:p w:rsidR="005A303E" w:rsidRDefault="005A303E">
      <w:pPr>
        <w:pStyle w:val="Textoindependiente"/>
        <w:ind w:left="0"/>
        <w:rPr>
          <w:b/>
        </w:rPr>
      </w:pPr>
    </w:p>
    <w:p w:rsidR="005A303E" w:rsidRDefault="00000000">
      <w:pPr>
        <w:pStyle w:val="Prrafodelista"/>
        <w:numPr>
          <w:ilvl w:val="0"/>
          <w:numId w:val="1"/>
        </w:numPr>
        <w:tabs>
          <w:tab w:val="left" w:pos="565"/>
        </w:tabs>
        <w:jc w:val="both"/>
        <w:rPr>
          <w:sz w:val="24"/>
        </w:rPr>
      </w:pPr>
      <w:r>
        <w:rPr>
          <w:w w:val="110"/>
          <w:sz w:val="24"/>
        </w:rPr>
        <w:t>Se</w:t>
      </w:r>
      <w:r>
        <w:rPr>
          <w:spacing w:val="-11"/>
          <w:w w:val="110"/>
          <w:sz w:val="24"/>
        </w:rPr>
        <w:t xml:space="preserve"> </w:t>
      </w:r>
      <w:r>
        <w:rPr>
          <w:w w:val="110"/>
          <w:sz w:val="24"/>
        </w:rPr>
        <w:t>han</w:t>
      </w:r>
      <w:r>
        <w:rPr>
          <w:spacing w:val="-11"/>
          <w:w w:val="110"/>
          <w:sz w:val="24"/>
        </w:rPr>
        <w:t xml:space="preserve"> </w:t>
      </w:r>
      <w:r>
        <w:rPr>
          <w:w w:val="110"/>
          <w:sz w:val="24"/>
        </w:rPr>
        <w:t>realizado</w:t>
      </w:r>
      <w:r>
        <w:rPr>
          <w:spacing w:val="-11"/>
          <w:w w:val="110"/>
          <w:sz w:val="24"/>
        </w:rPr>
        <w:t xml:space="preserve"> </w:t>
      </w:r>
      <w:r>
        <w:rPr>
          <w:w w:val="110"/>
          <w:sz w:val="24"/>
        </w:rPr>
        <w:t>múltiples</w:t>
      </w:r>
      <w:r>
        <w:rPr>
          <w:spacing w:val="-11"/>
          <w:w w:val="110"/>
          <w:sz w:val="24"/>
        </w:rPr>
        <w:t xml:space="preserve"> </w:t>
      </w:r>
      <w:r>
        <w:rPr>
          <w:w w:val="110"/>
          <w:sz w:val="24"/>
        </w:rPr>
        <w:t>modiﬁcaciones</w:t>
      </w:r>
      <w:r>
        <w:rPr>
          <w:spacing w:val="-11"/>
          <w:w w:val="110"/>
          <w:sz w:val="24"/>
        </w:rPr>
        <w:t xml:space="preserve"> </w:t>
      </w:r>
      <w:r>
        <w:rPr>
          <w:w w:val="110"/>
          <w:sz w:val="24"/>
        </w:rPr>
        <w:t>al</w:t>
      </w:r>
      <w:r>
        <w:rPr>
          <w:spacing w:val="-11"/>
          <w:w w:val="110"/>
          <w:sz w:val="24"/>
        </w:rPr>
        <w:t xml:space="preserve"> </w:t>
      </w:r>
      <w:r>
        <w:rPr>
          <w:w w:val="110"/>
          <w:sz w:val="24"/>
        </w:rPr>
        <w:t>Artículo</w:t>
      </w:r>
      <w:r>
        <w:rPr>
          <w:spacing w:val="-11"/>
          <w:w w:val="110"/>
          <w:sz w:val="24"/>
        </w:rPr>
        <w:t xml:space="preserve"> </w:t>
      </w:r>
      <w:r>
        <w:rPr>
          <w:w w:val="110"/>
          <w:sz w:val="24"/>
        </w:rPr>
        <w:t>43</w:t>
      </w:r>
      <w:r>
        <w:rPr>
          <w:spacing w:val="-11"/>
          <w:w w:val="110"/>
          <w:sz w:val="24"/>
        </w:rPr>
        <w:t xml:space="preserve"> </w:t>
      </w:r>
      <w:r>
        <w:rPr>
          <w:w w:val="110"/>
          <w:sz w:val="24"/>
        </w:rPr>
        <w:t>del</w:t>
      </w:r>
      <w:r>
        <w:rPr>
          <w:spacing w:val="-11"/>
          <w:w w:val="110"/>
          <w:sz w:val="24"/>
        </w:rPr>
        <w:t xml:space="preserve"> </w:t>
      </w:r>
      <w:r>
        <w:rPr>
          <w:w w:val="110"/>
          <w:sz w:val="24"/>
        </w:rPr>
        <w:t>Decreto</w:t>
      </w:r>
      <w:r>
        <w:rPr>
          <w:spacing w:val="-11"/>
          <w:w w:val="110"/>
          <w:sz w:val="24"/>
        </w:rPr>
        <w:t xml:space="preserve"> </w:t>
      </w:r>
      <w:r>
        <w:rPr>
          <w:w w:val="110"/>
          <w:sz w:val="24"/>
        </w:rPr>
        <w:t>con</w:t>
      </w:r>
      <w:r>
        <w:rPr>
          <w:spacing w:val="-11"/>
          <w:w w:val="110"/>
          <w:sz w:val="24"/>
        </w:rPr>
        <w:t xml:space="preserve"> </w:t>
      </w:r>
      <w:r>
        <w:rPr>
          <w:w w:val="110"/>
          <w:sz w:val="24"/>
        </w:rPr>
        <w:t xml:space="preserve">Fuerza </w:t>
      </w:r>
      <w:r>
        <w:rPr>
          <w:sz w:val="24"/>
        </w:rPr>
        <w:t xml:space="preserve">de Ley N° 1, de 2001, del Ministerio de Salud, a ﬁn de perfeccionar el programa de </w:t>
      </w:r>
      <w:r>
        <w:rPr>
          <w:w w:val="110"/>
          <w:sz w:val="24"/>
        </w:rPr>
        <w:t>formación de especialistas y subespecialista de los médico cirujanos, cirujano dentistas y químico farmacéuticos.</w:t>
      </w:r>
    </w:p>
    <w:p w:rsidR="005A303E" w:rsidRDefault="00000000">
      <w:pPr>
        <w:pStyle w:val="Prrafodelista"/>
        <w:numPr>
          <w:ilvl w:val="0"/>
          <w:numId w:val="1"/>
        </w:numPr>
        <w:tabs>
          <w:tab w:val="left" w:pos="565"/>
        </w:tabs>
        <w:jc w:val="both"/>
        <w:rPr>
          <w:sz w:val="24"/>
        </w:rPr>
      </w:pPr>
      <w:r>
        <w:rPr>
          <w:w w:val="105"/>
          <w:sz w:val="24"/>
        </w:rPr>
        <w:t>Adicionalmente, el Decreto Supremo N° 507, de 1991, del Ministerio de Salud, ha sido modiﬁcado en reiteradas ocasiones para perfeccionar el programa de formación de especialistas y subespecialistas en concordancia con las modiﬁcaciones legales, pero también en vista de la política pública</w:t>
      </w:r>
      <w:r>
        <w:rPr>
          <w:spacing w:val="80"/>
          <w:w w:val="150"/>
          <w:sz w:val="24"/>
        </w:rPr>
        <w:t xml:space="preserve"> </w:t>
      </w:r>
      <w:r>
        <w:rPr>
          <w:w w:val="105"/>
          <w:sz w:val="24"/>
        </w:rPr>
        <w:t>implementada por el Ministerio de Salud para resolver brechas de especialistas y subespecialistas en diversas zonas de nuestro país.</w:t>
      </w:r>
    </w:p>
    <w:p w:rsidR="005A303E" w:rsidRDefault="00000000">
      <w:pPr>
        <w:pStyle w:val="Prrafodelista"/>
        <w:numPr>
          <w:ilvl w:val="0"/>
          <w:numId w:val="1"/>
        </w:numPr>
        <w:tabs>
          <w:tab w:val="left" w:pos="565"/>
        </w:tabs>
        <w:jc w:val="both"/>
        <w:rPr>
          <w:sz w:val="24"/>
        </w:rPr>
      </w:pPr>
      <w:r>
        <w:rPr>
          <w:w w:val="105"/>
          <w:sz w:val="24"/>
        </w:rPr>
        <w:t>Algunas de las modiﬁcaciones más relevantes al Decreto Supremo ya individualizado han sido la que creó el Período Asistencial Obligatorio (PAO) en el Artículo 17° y la garantía equivalente al total de los gastos que se originen con motivo de la ejecución del programa del Artículo 23.</w:t>
      </w:r>
    </w:p>
    <w:p w:rsidR="005A303E" w:rsidRDefault="00000000">
      <w:pPr>
        <w:pStyle w:val="Prrafodelista"/>
        <w:numPr>
          <w:ilvl w:val="0"/>
          <w:numId w:val="1"/>
        </w:numPr>
        <w:tabs>
          <w:tab w:val="left" w:pos="565"/>
        </w:tabs>
        <w:jc w:val="both"/>
        <w:rPr>
          <w:sz w:val="24"/>
        </w:rPr>
      </w:pPr>
      <w:r>
        <w:rPr>
          <w:w w:val="110"/>
          <w:sz w:val="24"/>
        </w:rPr>
        <w:t>Sin embargo, estas normativas de rango administrativo han sido insuﬁcientes para garantizar la realización efectiva del Período Asistencial Obligatorio en la totalidad de los casos y, con ello, lograr cerrar brechas de especialistas y subespecialistas en diversas zonas de nuestro país.</w:t>
      </w:r>
    </w:p>
    <w:p w:rsidR="005A303E" w:rsidRDefault="00000000">
      <w:pPr>
        <w:pStyle w:val="Prrafodelista"/>
        <w:numPr>
          <w:ilvl w:val="0"/>
          <w:numId w:val="1"/>
        </w:numPr>
        <w:tabs>
          <w:tab w:val="left" w:pos="565"/>
        </w:tabs>
        <w:jc w:val="both"/>
        <w:rPr>
          <w:sz w:val="24"/>
        </w:rPr>
      </w:pPr>
      <w:r>
        <w:rPr>
          <w:w w:val="110"/>
          <w:sz w:val="24"/>
        </w:rPr>
        <w:t xml:space="preserve">A pesar de que el número de especialistas y subespecialistas que renuncian al </w:t>
      </w:r>
      <w:r>
        <w:rPr>
          <w:sz w:val="24"/>
        </w:rPr>
        <w:t xml:space="preserve">Período Asistencial Obligatorio es bajo respecto al total formado en cada período, </w:t>
      </w:r>
      <w:r>
        <w:rPr>
          <w:w w:val="110"/>
          <w:sz w:val="24"/>
        </w:rPr>
        <w:t>estas</w:t>
      </w:r>
      <w:r>
        <w:rPr>
          <w:spacing w:val="-15"/>
          <w:w w:val="110"/>
          <w:sz w:val="24"/>
        </w:rPr>
        <w:t xml:space="preserve"> </w:t>
      </w:r>
      <w:r>
        <w:rPr>
          <w:w w:val="110"/>
          <w:sz w:val="24"/>
        </w:rPr>
        <w:t>renuncias</w:t>
      </w:r>
      <w:r>
        <w:rPr>
          <w:spacing w:val="-15"/>
          <w:w w:val="110"/>
          <w:sz w:val="24"/>
        </w:rPr>
        <w:t xml:space="preserve"> </w:t>
      </w:r>
      <w:r>
        <w:rPr>
          <w:w w:val="110"/>
          <w:sz w:val="24"/>
        </w:rPr>
        <w:t>se</w:t>
      </w:r>
      <w:r>
        <w:rPr>
          <w:spacing w:val="-15"/>
          <w:w w:val="110"/>
          <w:sz w:val="24"/>
        </w:rPr>
        <w:t xml:space="preserve"> </w:t>
      </w:r>
      <w:r>
        <w:rPr>
          <w:w w:val="110"/>
          <w:sz w:val="24"/>
        </w:rPr>
        <w:t>producen</w:t>
      </w:r>
      <w:r>
        <w:rPr>
          <w:spacing w:val="-15"/>
          <w:w w:val="110"/>
          <w:sz w:val="24"/>
        </w:rPr>
        <w:t xml:space="preserve"> </w:t>
      </w:r>
      <w:r>
        <w:rPr>
          <w:w w:val="110"/>
          <w:sz w:val="24"/>
        </w:rPr>
        <w:t>en</w:t>
      </w:r>
      <w:r>
        <w:rPr>
          <w:spacing w:val="-15"/>
          <w:w w:val="110"/>
          <w:sz w:val="24"/>
        </w:rPr>
        <w:t xml:space="preserve"> </w:t>
      </w:r>
      <w:r>
        <w:rPr>
          <w:w w:val="110"/>
          <w:sz w:val="24"/>
        </w:rPr>
        <w:t>especialidades</w:t>
      </w:r>
      <w:r>
        <w:rPr>
          <w:spacing w:val="-15"/>
          <w:w w:val="110"/>
          <w:sz w:val="24"/>
        </w:rPr>
        <w:t xml:space="preserve"> </w:t>
      </w:r>
      <w:r>
        <w:rPr>
          <w:w w:val="110"/>
          <w:sz w:val="24"/>
        </w:rPr>
        <w:t>y</w:t>
      </w:r>
      <w:r>
        <w:rPr>
          <w:spacing w:val="-15"/>
          <w:w w:val="110"/>
          <w:sz w:val="24"/>
        </w:rPr>
        <w:t xml:space="preserve"> </w:t>
      </w:r>
      <w:r>
        <w:rPr>
          <w:w w:val="110"/>
          <w:sz w:val="24"/>
        </w:rPr>
        <w:t>subespecialidades</w:t>
      </w:r>
      <w:r>
        <w:rPr>
          <w:spacing w:val="-15"/>
          <w:w w:val="110"/>
          <w:sz w:val="24"/>
        </w:rPr>
        <w:t xml:space="preserve"> </w:t>
      </w:r>
      <w:r>
        <w:rPr>
          <w:w w:val="110"/>
          <w:sz w:val="24"/>
        </w:rPr>
        <w:t>con</w:t>
      </w:r>
      <w:r>
        <w:rPr>
          <w:spacing w:val="-15"/>
          <w:w w:val="110"/>
          <w:sz w:val="24"/>
        </w:rPr>
        <w:t xml:space="preserve"> </w:t>
      </w:r>
      <w:r>
        <w:rPr>
          <w:w w:val="110"/>
          <w:sz w:val="24"/>
        </w:rPr>
        <w:t>brechas signiﬁcativas</w:t>
      </w:r>
      <w:r>
        <w:rPr>
          <w:spacing w:val="-15"/>
          <w:w w:val="110"/>
          <w:sz w:val="24"/>
        </w:rPr>
        <w:t xml:space="preserve"> </w:t>
      </w:r>
      <w:r>
        <w:rPr>
          <w:w w:val="110"/>
          <w:sz w:val="24"/>
        </w:rPr>
        <w:t>y</w:t>
      </w:r>
      <w:r>
        <w:rPr>
          <w:spacing w:val="-15"/>
          <w:w w:val="110"/>
          <w:sz w:val="24"/>
        </w:rPr>
        <w:t xml:space="preserve"> </w:t>
      </w:r>
      <w:r>
        <w:rPr>
          <w:w w:val="110"/>
          <w:sz w:val="24"/>
        </w:rPr>
        <w:t>en</w:t>
      </w:r>
      <w:r>
        <w:rPr>
          <w:spacing w:val="-15"/>
          <w:w w:val="110"/>
          <w:sz w:val="24"/>
        </w:rPr>
        <w:t xml:space="preserve"> </w:t>
      </w:r>
      <w:r>
        <w:rPr>
          <w:w w:val="110"/>
          <w:sz w:val="24"/>
        </w:rPr>
        <w:t>territorios</w:t>
      </w:r>
      <w:r>
        <w:rPr>
          <w:spacing w:val="-15"/>
          <w:w w:val="110"/>
          <w:sz w:val="24"/>
        </w:rPr>
        <w:t xml:space="preserve"> </w:t>
      </w:r>
      <w:r>
        <w:rPr>
          <w:w w:val="110"/>
          <w:sz w:val="24"/>
        </w:rPr>
        <w:t>alejados</w:t>
      </w:r>
      <w:r>
        <w:rPr>
          <w:spacing w:val="-15"/>
          <w:w w:val="110"/>
          <w:sz w:val="24"/>
        </w:rPr>
        <w:t xml:space="preserve"> </w:t>
      </w:r>
      <w:r>
        <w:rPr>
          <w:w w:val="110"/>
          <w:sz w:val="24"/>
        </w:rPr>
        <w:t>de</w:t>
      </w:r>
      <w:r>
        <w:rPr>
          <w:spacing w:val="-15"/>
          <w:w w:val="110"/>
          <w:sz w:val="24"/>
        </w:rPr>
        <w:t xml:space="preserve"> </w:t>
      </w:r>
      <w:r>
        <w:rPr>
          <w:w w:val="110"/>
          <w:sz w:val="24"/>
        </w:rPr>
        <w:t>los</w:t>
      </w:r>
      <w:r>
        <w:rPr>
          <w:spacing w:val="-15"/>
          <w:w w:val="110"/>
          <w:sz w:val="24"/>
        </w:rPr>
        <w:t xml:space="preserve"> </w:t>
      </w:r>
      <w:r>
        <w:rPr>
          <w:w w:val="110"/>
          <w:sz w:val="24"/>
        </w:rPr>
        <w:t>núcleos</w:t>
      </w:r>
      <w:r>
        <w:rPr>
          <w:spacing w:val="-15"/>
          <w:w w:val="110"/>
          <w:sz w:val="24"/>
        </w:rPr>
        <w:t xml:space="preserve"> </w:t>
      </w:r>
      <w:r>
        <w:rPr>
          <w:w w:val="110"/>
          <w:sz w:val="24"/>
        </w:rPr>
        <w:t>urbanos</w:t>
      </w:r>
      <w:r>
        <w:rPr>
          <w:spacing w:val="-15"/>
          <w:w w:val="110"/>
          <w:sz w:val="24"/>
        </w:rPr>
        <w:t xml:space="preserve"> </w:t>
      </w:r>
      <w:r>
        <w:rPr>
          <w:w w:val="110"/>
          <w:sz w:val="24"/>
        </w:rPr>
        <w:t>de</w:t>
      </w:r>
      <w:r>
        <w:rPr>
          <w:spacing w:val="-15"/>
          <w:w w:val="110"/>
          <w:sz w:val="24"/>
        </w:rPr>
        <w:t xml:space="preserve"> </w:t>
      </w:r>
      <w:r>
        <w:rPr>
          <w:w w:val="110"/>
          <w:sz w:val="24"/>
        </w:rPr>
        <w:t>nuestro</w:t>
      </w:r>
      <w:r>
        <w:rPr>
          <w:spacing w:val="-15"/>
          <w:w w:val="110"/>
          <w:sz w:val="24"/>
        </w:rPr>
        <w:t xml:space="preserve"> </w:t>
      </w:r>
      <w:r>
        <w:rPr>
          <w:w w:val="110"/>
          <w:sz w:val="24"/>
        </w:rPr>
        <w:t>país.</w:t>
      </w:r>
    </w:p>
    <w:p w:rsidR="005A303E" w:rsidRDefault="00000000">
      <w:pPr>
        <w:pStyle w:val="Prrafodelista"/>
        <w:numPr>
          <w:ilvl w:val="0"/>
          <w:numId w:val="1"/>
        </w:numPr>
        <w:tabs>
          <w:tab w:val="left" w:pos="565"/>
        </w:tabs>
        <w:spacing w:before="1"/>
        <w:jc w:val="both"/>
        <w:rPr>
          <w:sz w:val="24"/>
        </w:rPr>
      </w:pPr>
      <w:r>
        <w:rPr>
          <w:w w:val="105"/>
          <w:sz w:val="24"/>
        </w:rPr>
        <w:t>Quienes renuncian al período asistencial obligatorio lo realizan pagando la garantía, recibiendo el pago de la garantía por otro tipo de instituciones – generalmente interesadas en que quede liberado para trabajar en un prestador privado– o no pagando la garantía que debe ser perseguida en tribunales.</w:t>
      </w:r>
    </w:p>
    <w:p w:rsidR="005A303E" w:rsidRDefault="00000000">
      <w:pPr>
        <w:pStyle w:val="Prrafodelista"/>
        <w:numPr>
          <w:ilvl w:val="0"/>
          <w:numId w:val="1"/>
        </w:numPr>
        <w:tabs>
          <w:tab w:val="left" w:pos="565"/>
        </w:tabs>
        <w:jc w:val="both"/>
        <w:rPr>
          <w:sz w:val="24"/>
        </w:rPr>
      </w:pPr>
      <w:r>
        <w:rPr>
          <w:w w:val="105"/>
          <w:sz w:val="24"/>
        </w:rPr>
        <w:t>Adicionalmente, la garantía equivalente al total de los gastos que se originen con motivo de la ejecución del programa no lleva a la realización del Período Asistencial</w:t>
      </w:r>
      <w:r>
        <w:rPr>
          <w:spacing w:val="39"/>
          <w:w w:val="105"/>
          <w:sz w:val="24"/>
        </w:rPr>
        <w:t xml:space="preserve">  </w:t>
      </w:r>
      <w:r>
        <w:rPr>
          <w:w w:val="105"/>
          <w:sz w:val="24"/>
        </w:rPr>
        <w:t>Obligatorio</w:t>
      </w:r>
      <w:r>
        <w:rPr>
          <w:spacing w:val="39"/>
          <w:w w:val="105"/>
          <w:sz w:val="24"/>
        </w:rPr>
        <w:t xml:space="preserve">  </w:t>
      </w:r>
      <w:r>
        <w:rPr>
          <w:w w:val="105"/>
          <w:sz w:val="24"/>
        </w:rPr>
        <w:t>en</w:t>
      </w:r>
      <w:r>
        <w:rPr>
          <w:spacing w:val="39"/>
          <w:w w:val="105"/>
          <w:sz w:val="24"/>
        </w:rPr>
        <w:t xml:space="preserve">  </w:t>
      </w:r>
      <w:r>
        <w:rPr>
          <w:w w:val="105"/>
          <w:sz w:val="24"/>
        </w:rPr>
        <w:t>vista</w:t>
      </w:r>
      <w:r>
        <w:rPr>
          <w:spacing w:val="39"/>
          <w:w w:val="105"/>
          <w:sz w:val="24"/>
        </w:rPr>
        <w:t xml:space="preserve">  </w:t>
      </w:r>
      <w:r>
        <w:rPr>
          <w:w w:val="105"/>
          <w:sz w:val="24"/>
        </w:rPr>
        <w:t>de</w:t>
      </w:r>
      <w:r>
        <w:rPr>
          <w:spacing w:val="39"/>
          <w:w w:val="105"/>
          <w:sz w:val="24"/>
        </w:rPr>
        <w:t xml:space="preserve">  </w:t>
      </w:r>
      <w:r>
        <w:rPr>
          <w:w w:val="105"/>
          <w:sz w:val="24"/>
        </w:rPr>
        <w:t>los</w:t>
      </w:r>
      <w:r>
        <w:rPr>
          <w:spacing w:val="39"/>
          <w:w w:val="105"/>
          <w:sz w:val="24"/>
        </w:rPr>
        <w:t xml:space="preserve">  </w:t>
      </w:r>
      <w:r>
        <w:rPr>
          <w:w w:val="105"/>
          <w:sz w:val="24"/>
        </w:rPr>
        <w:t>ingresos</w:t>
      </w:r>
      <w:r>
        <w:rPr>
          <w:spacing w:val="39"/>
          <w:w w:val="105"/>
          <w:sz w:val="24"/>
        </w:rPr>
        <w:t xml:space="preserve">  </w:t>
      </w:r>
      <w:r>
        <w:rPr>
          <w:w w:val="105"/>
          <w:sz w:val="24"/>
        </w:rPr>
        <w:t>económicos</w:t>
      </w:r>
      <w:r>
        <w:rPr>
          <w:spacing w:val="39"/>
          <w:w w:val="105"/>
          <w:sz w:val="24"/>
        </w:rPr>
        <w:t xml:space="preserve">  </w:t>
      </w:r>
      <w:r>
        <w:rPr>
          <w:w w:val="105"/>
          <w:sz w:val="24"/>
        </w:rPr>
        <w:t>de</w:t>
      </w:r>
      <w:r>
        <w:rPr>
          <w:spacing w:val="39"/>
          <w:w w:val="105"/>
          <w:sz w:val="24"/>
        </w:rPr>
        <w:t xml:space="preserve">  </w:t>
      </w:r>
      <w:r>
        <w:rPr>
          <w:w w:val="105"/>
          <w:sz w:val="24"/>
        </w:rPr>
        <w:t>algunas</w:t>
      </w:r>
    </w:p>
    <w:p w:rsidR="005A303E" w:rsidRDefault="005A303E">
      <w:pPr>
        <w:jc w:val="both"/>
        <w:rPr>
          <w:sz w:val="24"/>
        </w:rPr>
        <w:sectPr w:rsidR="005A303E">
          <w:type w:val="continuous"/>
          <w:pgSz w:w="12240" w:h="15840"/>
          <w:pgMar w:top="1520" w:right="1560" w:bottom="280" w:left="1560" w:header="720" w:footer="720" w:gutter="0"/>
          <w:cols w:space="720"/>
        </w:sectPr>
      </w:pPr>
    </w:p>
    <w:p w:rsidR="005A303E" w:rsidRDefault="00000000">
      <w:pPr>
        <w:pStyle w:val="Textoindependiente"/>
        <w:spacing w:before="73"/>
        <w:ind w:right="140"/>
        <w:jc w:val="both"/>
      </w:pPr>
      <w:r>
        <w:rPr>
          <w:w w:val="110"/>
        </w:rPr>
        <w:lastRenderedPageBreak/>
        <w:t xml:space="preserve">especialidades y subespecialidades en el sector privado de salud. Lo anterior, lleva incluso a que algunos prestadores institucionales privados compren la garantía a ﬁn de que el especialista o subespecialista trabaje en su recinto de </w:t>
      </w:r>
      <w:r>
        <w:rPr>
          <w:spacing w:val="-2"/>
          <w:w w:val="110"/>
        </w:rPr>
        <w:t>salud.</w:t>
      </w:r>
    </w:p>
    <w:p w:rsidR="005A303E" w:rsidRDefault="00000000">
      <w:pPr>
        <w:pStyle w:val="Prrafodelista"/>
        <w:numPr>
          <w:ilvl w:val="0"/>
          <w:numId w:val="1"/>
        </w:numPr>
        <w:tabs>
          <w:tab w:val="left" w:pos="565"/>
        </w:tabs>
        <w:jc w:val="both"/>
        <w:rPr>
          <w:sz w:val="24"/>
        </w:rPr>
      </w:pPr>
      <w:r>
        <w:rPr>
          <w:w w:val="105"/>
          <w:sz w:val="24"/>
        </w:rPr>
        <w:t>Uno de los problemas que frecuentemente sucede, y que este proyecto también busca resolver, es cuando dos especialistas contraen matrimonio o acuerdo de unión civil durante su programa de formación y deben ser destinados a Servicios de Salud diferentes. Es por esto, que el Proyecto de Ley busca resolver este problema generando la obligación de que ambos profesionales deban realizar su Período Asistencial Obligatorio en el mismo Servicio de Salud.</w:t>
      </w:r>
    </w:p>
    <w:p w:rsidR="005A303E" w:rsidRDefault="005A303E">
      <w:pPr>
        <w:pStyle w:val="Textoindependiente"/>
        <w:spacing w:before="3"/>
        <w:ind w:left="0"/>
      </w:pPr>
    </w:p>
    <w:p w:rsidR="005A303E" w:rsidRDefault="00000000">
      <w:pPr>
        <w:pStyle w:val="Ttulo1"/>
        <w:ind w:right="142"/>
        <w:jc w:val="both"/>
      </w:pPr>
      <w:r>
        <w:t>POR LOS MOTIVOS EXPUESTOS LOS DIPUTADOS Y DIPUTADAS FIRMANTES VENIMOS EN PRESENTAR EL SIGUIENTE PROYECTO DE LEY:</w:t>
      </w:r>
    </w:p>
    <w:p w:rsidR="005A303E" w:rsidRDefault="005A303E">
      <w:pPr>
        <w:pStyle w:val="Textoindependiente"/>
        <w:spacing w:before="10"/>
        <w:ind w:left="0"/>
        <w:rPr>
          <w:rFonts w:ascii="Cambria"/>
          <w:b/>
        </w:rPr>
      </w:pPr>
    </w:p>
    <w:p w:rsidR="005A303E" w:rsidRDefault="00000000">
      <w:pPr>
        <w:pStyle w:val="Textoindependiente"/>
        <w:ind w:left="139" w:right="140"/>
        <w:jc w:val="both"/>
      </w:pPr>
      <w:r>
        <w:rPr>
          <w:b/>
          <w:w w:val="105"/>
        </w:rPr>
        <w:t xml:space="preserve">ARTÍCULO ÚNICO.- </w:t>
      </w:r>
      <w:r>
        <w:rPr>
          <w:w w:val="105"/>
        </w:rPr>
        <w:t>Incorpórese al Decreto con Fuerza de Ley N° 1, de 2001, del Ministerio de Salud, que ﬁja texto refundido, coordinado y sistematizado de la Ley N° 15.076, un nuevo Artículo 43 bis del siguiente tenor:</w:t>
      </w:r>
    </w:p>
    <w:p w:rsidR="005A303E" w:rsidRDefault="00000000">
      <w:pPr>
        <w:pStyle w:val="Textoindependiente"/>
        <w:spacing w:before="292"/>
        <w:ind w:right="140"/>
        <w:jc w:val="both"/>
      </w:pPr>
      <w:r>
        <w:rPr>
          <w:w w:val="105"/>
        </w:rPr>
        <w:t>“Artículo 43 bis.- Todo médico cirujano, cirujano dentista o químico farmacéutico que curse un programa de especialidad o subespecialidad ﬁnanciado con</w:t>
      </w:r>
      <w:r>
        <w:rPr>
          <w:spacing w:val="80"/>
          <w:w w:val="105"/>
        </w:rPr>
        <w:t xml:space="preserve"> </w:t>
      </w:r>
      <w:r>
        <w:rPr>
          <w:w w:val="105"/>
        </w:rPr>
        <w:t>recursos ﬁscales de acuerdo con el Artículo 43 de esta Ley deberá realizar un período asistencial obligatorio en el Servicio de Salud que le haya ﬁnanciado por un lapso igual al doble de la duración del programa de formación.</w:t>
      </w:r>
    </w:p>
    <w:p w:rsidR="005A303E" w:rsidRDefault="00000000">
      <w:pPr>
        <w:pStyle w:val="Textoindependiente"/>
        <w:spacing w:before="292"/>
        <w:ind w:right="140"/>
        <w:jc w:val="both"/>
      </w:pPr>
      <w:r>
        <w:rPr>
          <w:w w:val="110"/>
        </w:rPr>
        <w:t xml:space="preserve">El médico cirujano, cirujano dentista o químico farmacéutico que no realice el período asistencial obligatorio no podrá recibir el título de especialista o subespecialista por la universidad en que haya cursado el programa de </w:t>
      </w:r>
      <w:r>
        <w:t>formación</w:t>
      </w:r>
      <w:r>
        <w:rPr>
          <w:spacing w:val="40"/>
        </w:rPr>
        <w:t xml:space="preserve"> </w:t>
      </w:r>
      <w:r>
        <w:t>ni</w:t>
      </w:r>
      <w:r>
        <w:rPr>
          <w:spacing w:val="40"/>
        </w:rPr>
        <w:t xml:space="preserve"> </w:t>
      </w:r>
      <w:r>
        <w:t>ser</w:t>
      </w:r>
      <w:r>
        <w:rPr>
          <w:spacing w:val="40"/>
        </w:rPr>
        <w:t xml:space="preserve"> </w:t>
      </w:r>
      <w:r>
        <w:t>incorporado</w:t>
      </w:r>
      <w:r>
        <w:rPr>
          <w:spacing w:val="40"/>
        </w:rPr>
        <w:t xml:space="preserve"> </w:t>
      </w:r>
      <w:r>
        <w:t>en</w:t>
      </w:r>
      <w:r>
        <w:rPr>
          <w:spacing w:val="40"/>
        </w:rPr>
        <w:t xml:space="preserve"> </w:t>
      </w:r>
      <w:r>
        <w:t>el</w:t>
      </w:r>
      <w:r>
        <w:rPr>
          <w:spacing w:val="40"/>
        </w:rPr>
        <w:t xml:space="preserve"> </w:t>
      </w:r>
      <w:r>
        <w:t>Registro</w:t>
      </w:r>
      <w:r>
        <w:rPr>
          <w:spacing w:val="40"/>
        </w:rPr>
        <w:t xml:space="preserve"> </w:t>
      </w:r>
      <w:r>
        <w:t>Nacional</w:t>
      </w:r>
      <w:r>
        <w:rPr>
          <w:spacing w:val="40"/>
        </w:rPr>
        <w:t xml:space="preserve"> </w:t>
      </w:r>
      <w:r>
        <w:t>de</w:t>
      </w:r>
      <w:r>
        <w:rPr>
          <w:spacing w:val="40"/>
        </w:rPr>
        <w:t xml:space="preserve"> </w:t>
      </w:r>
      <w:r>
        <w:t>Prestadores</w:t>
      </w:r>
      <w:r>
        <w:rPr>
          <w:spacing w:val="40"/>
        </w:rPr>
        <w:t xml:space="preserve"> </w:t>
      </w:r>
      <w:r>
        <w:t xml:space="preserve">Individuales </w:t>
      </w:r>
      <w:r>
        <w:rPr>
          <w:w w:val="110"/>
        </w:rPr>
        <w:t>con dicha especialidad o subespecialidad, aunque haya pagado la garantía equivalente</w:t>
      </w:r>
      <w:r>
        <w:rPr>
          <w:spacing w:val="-12"/>
          <w:w w:val="110"/>
        </w:rPr>
        <w:t xml:space="preserve"> </w:t>
      </w:r>
      <w:r>
        <w:rPr>
          <w:w w:val="110"/>
        </w:rPr>
        <w:t>al</w:t>
      </w:r>
      <w:r>
        <w:rPr>
          <w:spacing w:val="-12"/>
          <w:w w:val="110"/>
        </w:rPr>
        <w:t xml:space="preserve"> </w:t>
      </w:r>
      <w:r>
        <w:rPr>
          <w:w w:val="110"/>
        </w:rPr>
        <w:t>total</w:t>
      </w:r>
      <w:r>
        <w:rPr>
          <w:spacing w:val="-12"/>
          <w:w w:val="110"/>
        </w:rPr>
        <w:t xml:space="preserve"> </w:t>
      </w:r>
      <w:r>
        <w:rPr>
          <w:w w:val="110"/>
        </w:rPr>
        <w:t>de</w:t>
      </w:r>
      <w:r>
        <w:rPr>
          <w:spacing w:val="-12"/>
          <w:w w:val="110"/>
        </w:rPr>
        <w:t xml:space="preserve"> </w:t>
      </w:r>
      <w:r>
        <w:rPr>
          <w:w w:val="110"/>
        </w:rPr>
        <w:t>los</w:t>
      </w:r>
      <w:r>
        <w:rPr>
          <w:spacing w:val="-12"/>
          <w:w w:val="110"/>
        </w:rPr>
        <w:t xml:space="preserve"> </w:t>
      </w:r>
      <w:r>
        <w:rPr>
          <w:w w:val="110"/>
        </w:rPr>
        <w:t>gastos</w:t>
      </w:r>
      <w:r>
        <w:rPr>
          <w:spacing w:val="-12"/>
          <w:w w:val="110"/>
        </w:rPr>
        <w:t xml:space="preserve"> </w:t>
      </w:r>
      <w:r>
        <w:rPr>
          <w:w w:val="110"/>
        </w:rPr>
        <w:t>que</w:t>
      </w:r>
      <w:r>
        <w:rPr>
          <w:spacing w:val="-12"/>
          <w:w w:val="110"/>
        </w:rPr>
        <w:t xml:space="preserve"> </w:t>
      </w:r>
      <w:r>
        <w:rPr>
          <w:w w:val="110"/>
        </w:rPr>
        <w:t>se</w:t>
      </w:r>
      <w:r>
        <w:rPr>
          <w:spacing w:val="-12"/>
          <w:w w:val="110"/>
        </w:rPr>
        <w:t xml:space="preserve"> </w:t>
      </w:r>
      <w:r>
        <w:rPr>
          <w:w w:val="110"/>
        </w:rPr>
        <w:t>originen</w:t>
      </w:r>
      <w:r>
        <w:rPr>
          <w:spacing w:val="-12"/>
          <w:w w:val="110"/>
        </w:rPr>
        <w:t xml:space="preserve"> </w:t>
      </w:r>
      <w:r>
        <w:rPr>
          <w:w w:val="110"/>
        </w:rPr>
        <w:t>con</w:t>
      </w:r>
      <w:r>
        <w:rPr>
          <w:spacing w:val="-12"/>
          <w:w w:val="110"/>
        </w:rPr>
        <w:t xml:space="preserve"> </w:t>
      </w:r>
      <w:r>
        <w:rPr>
          <w:w w:val="110"/>
        </w:rPr>
        <w:t>motivo</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ejecución</w:t>
      </w:r>
      <w:r>
        <w:rPr>
          <w:spacing w:val="-12"/>
          <w:w w:val="110"/>
        </w:rPr>
        <w:t xml:space="preserve"> </w:t>
      </w:r>
      <w:r>
        <w:rPr>
          <w:w w:val="110"/>
        </w:rPr>
        <w:t xml:space="preserve">del </w:t>
      </w:r>
      <w:r>
        <w:rPr>
          <w:spacing w:val="-2"/>
          <w:w w:val="110"/>
        </w:rPr>
        <w:t>programa.</w:t>
      </w:r>
    </w:p>
    <w:p w:rsidR="005A303E" w:rsidRDefault="00000000">
      <w:pPr>
        <w:pStyle w:val="Textoindependiente"/>
        <w:spacing w:before="292"/>
        <w:ind w:right="140"/>
        <w:jc w:val="both"/>
      </w:pPr>
      <w:r>
        <w:rPr>
          <w:w w:val="105"/>
        </w:rPr>
        <w:t>En caso de renunciar al período asistencial obligatorio con posterioridad al inicio de este, el Servicio de Salud, a través de la Subsecretaría de Redes Asistenciales, deberá informar a la Superintendencia de Salud y a la universidad donde haya cursado el programa de formación a ﬁn de que sea eliminado del Registro Nacional de Prestadores Individuales y sea revocado el título de especialista o subespecialista,</w:t>
      </w:r>
      <w:r>
        <w:rPr>
          <w:spacing w:val="40"/>
          <w:w w:val="105"/>
        </w:rPr>
        <w:t xml:space="preserve"> </w:t>
      </w:r>
      <w:r>
        <w:rPr>
          <w:w w:val="105"/>
        </w:rPr>
        <w:t>aunque</w:t>
      </w:r>
      <w:r>
        <w:rPr>
          <w:spacing w:val="40"/>
          <w:w w:val="105"/>
        </w:rPr>
        <w:t xml:space="preserve"> </w:t>
      </w:r>
      <w:r>
        <w:rPr>
          <w:w w:val="105"/>
        </w:rPr>
        <w:t>haya</w:t>
      </w:r>
      <w:r>
        <w:rPr>
          <w:spacing w:val="40"/>
          <w:w w:val="105"/>
        </w:rPr>
        <w:t xml:space="preserve"> </w:t>
      </w:r>
      <w:r>
        <w:rPr>
          <w:w w:val="105"/>
        </w:rPr>
        <w:t>pagado</w:t>
      </w:r>
      <w:r>
        <w:rPr>
          <w:spacing w:val="40"/>
          <w:w w:val="105"/>
        </w:rPr>
        <w:t xml:space="preserve"> </w:t>
      </w:r>
      <w:r>
        <w:rPr>
          <w:w w:val="105"/>
        </w:rPr>
        <w:t>la</w:t>
      </w:r>
      <w:r>
        <w:rPr>
          <w:spacing w:val="40"/>
          <w:w w:val="105"/>
        </w:rPr>
        <w:t xml:space="preserve"> </w:t>
      </w:r>
      <w:r>
        <w:rPr>
          <w:w w:val="105"/>
        </w:rPr>
        <w:t>garantía</w:t>
      </w:r>
      <w:r>
        <w:rPr>
          <w:spacing w:val="40"/>
          <w:w w:val="105"/>
        </w:rPr>
        <w:t xml:space="preserve"> </w:t>
      </w:r>
      <w:r>
        <w:rPr>
          <w:w w:val="105"/>
        </w:rPr>
        <w:t>equivalente</w:t>
      </w:r>
      <w:r>
        <w:rPr>
          <w:spacing w:val="40"/>
          <w:w w:val="105"/>
        </w:rPr>
        <w:t xml:space="preserve"> </w:t>
      </w:r>
      <w:r>
        <w:rPr>
          <w:w w:val="105"/>
        </w:rPr>
        <w:t>al</w:t>
      </w:r>
      <w:r>
        <w:rPr>
          <w:spacing w:val="40"/>
          <w:w w:val="105"/>
        </w:rPr>
        <w:t xml:space="preserve"> </w:t>
      </w:r>
      <w:r>
        <w:rPr>
          <w:w w:val="105"/>
        </w:rPr>
        <w:t>total</w:t>
      </w:r>
      <w:r>
        <w:rPr>
          <w:spacing w:val="40"/>
          <w:w w:val="105"/>
        </w:rPr>
        <w:t xml:space="preserve"> </w:t>
      </w:r>
      <w:r>
        <w:rPr>
          <w:w w:val="105"/>
        </w:rPr>
        <w:t>de</w:t>
      </w:r>
      <w:r>
        <w:rPr>
          <w:spacing w:val="40"/>
          <w:w w:val="105"/>
        </w:rPr>
        <w:t xml:space="preserve"> </w:t>
      </w:r>
      <w:r>
        <w:rPr>
          <w:w w:val="105"/>
        </w:rPr>
        <w:t>los gastos que se originen con motivo de la ejecución del programa.</w:t>
      </w:r>
    </w:p>
    <w:p w:rsidR="005A303E" w:rsidRDefault="005A303E">
      <w:pPr>
        <w:pStyle w:val="Textoindependiente"/>
        <w:spacing w:before="3"/>
        <w:ind w:left="0"/>
      </w:pPr>
    </w:p>
    <w:p w:rsidR="005A303E" w:rsidRDefault="00000000">
      <w:pPr>
        <w:pStyle w:val="Textoindependiente"/>
        <w:ind w:right="140"/>
        <w:jc w:val="both"/>
      </w:pPr>
      <w:r>
        <w:rPr>
          <w:w w:val="105"/>
        </w:rPr>
        <w:t>Todo aquel haya renunciado al período asistencial obligatorio tendrá derecho a retomarlo y con ello recibir el título de especialista o subespecialista y ser incorporado al Registro Nacional de Prestadores Individuales.</w:t>
      </w:r>
    </w:p>
    <w:p w:rsidR="005A303E" w:rsidRDefault="005A303E">
      <w:pPr>
        <w:jc w:val="both"/>
        <w:sectPr w:rsidR="005A303E">
          <w:pgSz w:w="12240" w:h="15840"/>
          <w:pgMar w:top="1340" w:right="1560" w:bottom="280" w:left="1560" w:header="720" w:footer="720" w:gutter="0"/>
          <w:cols w:space="720"/>
        </w:sectPr>
      </w:pPr>
    </w:p>
    <w:p w:rsidR="005A303E" w:rsidRDefault="00000000">
      <w:pPr>
        <w:pStyle w:val="Textoindependiente"/>
        <w:spacing w:before="73"/>
        <w:ind w:right="140"/>
        <w:jc w:val="both"/>
      </w:pPr>
      <w:r>
        <w:rPr>
          <w:w w:val="105"/>
        </w:rPr>
        <w:lastRenderedPageBreak/>
        <w:t>Artículo 43 ter.- Cuando dos especialistas que hayan contraído matrimonio o un acuerdo de unión civil deban realizar su Período Asistencial Obligatorio, deberán ser destinados al mismo Servicio de Salud.”</w:t>
      </w:r>
    </w:p>
    <w:p w:rsidR="005A303E" w:rsidRDefault="005A303E">
      <w:pPr>
        <w:pStyle w:val="Textoindependiente"/>
        <w:spacing w:before="4"/>
        <w:ind w:left="0"/>
      </w:pPr>
    </w:p>
    <w:p w:rsidR="005A303E" w:rsidRDefault="00000000">
      <w:pPr>
        <w:pStyle w:val="Textoindependiente"/>
        <w:ind w:left="139"/>
        <w:rPr>
          <w:rFonts w:ascii="Cambria"/>
        </w:rPr>
      </w:pPr>
      <w:r>
        <w:rPr>
          <w:rFonts w:ascii="Cambria"/>
          <w:spacing w:val="-2"/>
        </w:rPr>
        <w:t>Fraternalmente,</w:t>
      </w:r>
    </w:p>
    <w:p w:rsidR="005A303E" w:rsidRDefault="005A303E">
      <w:pPr>
        <w:pStyle w:val="Textoindependiente"/>
        <w:ind w:left="0"/>
        <w:rPr>
          <w:rFonts w:ascii="Cambria"/>
          <w:sz w:val="20"/>
        </w:rPr>
      </w:pPr>
    </w:p>
    <w:p w:rsidR="005A303E" w:rsidRDefault="005A303E">
      <w:pPr>
        <w:pStyle w:val="Textoindependiente"/>
        <w:ind w:left="0"/>
        <w:rPr>
          <w:rFonts w:ascii="Cambria"/>
          <w:sz w:val="20"/>
        </w:rPr>
      </w:pPr>
    </w:p>
    <w:p w:rsidR="005A303E" w:rsidRDefault="005A303E">
      <w:pPr>
        <w:pStyle w:val="Textoindependiente"/>
        <w:ind w:left="0"/>
        <w:rPr>
          <w:rFonts w:ascii="Cambria"/>
          <w:sz w:val="20"/>
        </w:rPr>
      </w:pPr>
    </w:p>
    <w:p w:rsidR="005A303E" w:rsidRDefault="005A303E">
      <w:pPr>
        <w:pStyle w:val="Textoindependiente"/>
        <w:ind w:left="0"/>
        <w:rPr>
          <w:rFonts w:ascii="Cambria"/>
          <w:sz w:val="20"/>
        </w:rPr>
      </w:pPr>
    </w:p>
    <w:p w:rsidR="005A303E" w:rsidRDefault="005A303E">
      <w:pPr>
        <w:pStyle w:val="Textoindependiente"/>
        <w:spacing w:before="213"/>
        <w:ind w:left="0"/>
        <w:rPr>
          <w:rFonts w:ascii="Cambria"/>
          <w:sz w:val="20"/>
        </w:rPr>
      </w:pPr>
    </w:p>
    <w:p w:rsidR="005A303E" w:rsidRDefault="005A303E">
      <w:pPr>
        <w:rPr>
          <w:rFonts w:ascii="Cambria"/>
          <w:sz w:val="20"/>
        </w:rPr>
        <w:sectPr w:rsidR="005A303E">
          <w:pgSz w:w="12240" w:h="15840"/>
          <w:pgMar w:top="1340" w:right="1560" w:bottom="280" w:left="1560" w:header="720" w:footer="720" w:gutter="0"/>
          <w:cols w:space="720"/>
        </w:sectPr>
      </w:pPr>
    </w:p>
    <w:p w:rsidR="005A303E" w:rsidRDefault="00000000">
      <w:pPr>
        <w:pStyle w:val="Ttulo1"/>
        <w:spacing w:before="100" w:line="280" w:lineRule="exact"/>
        <w:ind w:left="954"/>
      </w:pPr>
      <w:r>
        <w:rPr>
          <w:spacing w:val="-2"/>
        </w:rPr>
        <w:t>AGUSTIN</w:t>
      </w:r>
      <w:r>
        <w:rPr>
          <w:spacing w:val="-1"/>
        </w:rPr>
        <w:t xml:space="preserve"> </w:t>
      </w:r>
      <w:r>
        <w:rPr>
          <w:spacing w:val="-2"/>
        </w:rPr>
        <w:t>ROMERO</w:t>
      </w:r>
      <w:r>
        <w:t xml:space="preserve"> </w:t>
      </w:r>
      <w:r>
        <w:rPr>
          <w:spacing w:val="-2"/>
        </w:rPr>
        <w:t>LEIVA</w:t>
      </w:r>
    </w:p>
    <w:p w:rsidR="005A303E" w:rsidRDefault="00000000">
      <w:pPr>
        <w:pStyle w:val="Textoindependiente"/>
        <w:spacing w:line="280" w:lineRule="exact"/>
        <w:ind w:left="902"/>
        <w:rPr>
          <w:rFonts w:ascii="Cambria" w:hAnsi="Cambria"/>
        </w:rPr>
      </w:pPr>
      <w:r>
        <w:rPr>
          <w:rFonts w:ascii="Cambria" w:hAnsi="Cambria"/>
        </w:rPr>
        <w:t>H.</w:t>
      </w:r>
      <w:r>
        <w:rPr>
          <w:rFonts w:ascii="Cambria" w:hAnsi="Cambria"/>
          <w:spacing w:val="-2"/>
        </w:rPr>
        <w:t xml:space="preserve"> </w:t>
      </w:r>
      <w:r>
        <w:rPr>
          <w:rFonts w:ascii="Cambria" w:hAnsi="Cambria"/>
        </w:rPr>
        <w:t>Diputado</w:t>
      </w:r>
      <w:r>
        <w:rPr>
          <w:rFonts w:ascii="Cambria" w:hAnsi="Cambria"/>
          <w:spacing w:val="-1"/>
        </w:rPr>
        <w:t xml:space="preserve"> </w:t>
      </w:r>
      <w:r>
        <w:rPr>
          <w:rFonts w:ascii="Cambria" w:hAnsi="Cambria"/>
        </w:rPr>
        <w:t>de</w:t>
      </w:r>
      <w:r>
        <w:rPr>
          <w:rFonts w:ascii="Cambria" w:hAnsi="Cambria"/>
          <w:spacing w:val="-1"/>
        </w:rPr>
        <w:t xml:space="preserve"> </w:t>
      </w:r>
      <w:r>
        <w:rPr>
          <w:rFonts w:ascii="Cambria" w:hAnsi="Cambria"/>
        </w:rPr>
        <w:t>la</w:t>
      </w:r>
      <w:r>
        <w:rPr>
          <w:rFonts w:ascii="Cambria" w:hAnsi="Cambria"/>
          <w:spacing w:val="-1"/>
        </w:rPr>
        <w:t xml:space="preserve"> </w:t>
      </w:r>
      <w:r>
        <w:rPr>
          <w:rFonts w:ascii="Cambria" w:hAnsi="Cambria"/>
          <w:spacing w:val="-2"/>
        </w:rPr>
        <w:t>República</w:t>
      </w:r>
    </w:p>
    <w:p w:rsidR="005A303E" w:rsidRDefault="00000000">
      <w:pPr>
        <w:pStyle w:val="Ttulo1"/>
        <w:spacing w:before="100" w:line="280" w:lineRule="exact"/>
        <w:ind w:left="902"/>
      </w:pPr>
      <w:r>
        <w:rPr>
          <w:b w:val="0"/>
        </w:rPr>
        <w:br w:type="column"/>
      </w:r>
      <w:r>
        <w:t>TOMÁS</w:t>
      </w:r>
      <w:r>
        <w:rPr>
          <w:spacing w:val="-13"/>
        </w:rPr>
        <w:t xml:space="preserve"> </w:t>
      </w:r>
      <w:r>
        <w:t>LAGOMARSINO</w:t>
      </w:r>
      <w:r>
        <w:rPr>
          <w:spacing w:val="-12"/>
        </w:rPr>
        <w:t xml:space="preserve"> </w:t>
      </w:r>
      <w:r>
        <w:rPr>
          <w:spacing w:val="-2"/>
        </w:rPr>
        <w:t>GUZMÁN</w:t>
      </w:r>
    </w:p>
    <w:p w:rsidR="005A303E" w:rsidRDefault="00000000">
      <w:pPr>
        <w:pStyle w:val="Textoindependiente"/>
        <w:spacing w:line="280" w:lineRule="exact"/>
        <w:ind w:left="1258"/>
        <w:rPr>
          <w:rFonts w:ascii="Cambria" w:hAnsi="Cambria"/>
        </w:rPr>
      </w:pPr>
      <w:r>
        <w:rPr>
          <w:rFonts w:ascii="Cambria" w:hAnsi="Cambria"/>
        </w:rPr>
        <w:t>H.</w:t>
      </w:r>
      <w:r>
        <w:rPr>
          <w:rFonts w:ascii="Cambria" w:hAnsi="Cambria"/>
          <w:spacing w:val="-2"/>
        </w:rPr>
        <w:t xml:space="preserve"> </w:t>
      </w:r>
      <w:r>
        <w:rPr>
          <w:rFonts w:ascii="Cambria" w:hAnsi="Cambria"/>
        </w:rPr>
        <w:t>Diputado</w:t>
      </w:r>
      <w:r>
        <w:rPr>
          <w:rFonts w:ascii="Cambria" w:hAnsi="Cambria"/>
          <w:spacing w:val="-1"/>
        </w:rPr>
        <w:t xml:space="preserve"> </w:t>
      </w:r>
      <w:r>
        <w:rPr>
          <w:rFonts w:ascii="Cambria" w:hAnsi="Cambria"/>
        </w:rPr>
        <w:t>de</w:t>
      </w:r>
      <w:r>
        <w:rPr>
          <w:rFonts w:ascii="Cambria" w:hAnsi="Cambria"/>
          <w:spacing w:val="-1"/>
        </w:rPr>
        <w:t xml:space="preserve"> </w:t>
      </w:r>
      <w:r>
        <w:rPr>
          <w:rFonts w:ascii="Cambria" w:hAnsi="Cambria"/>
        </w:rPr>
        <w:t>la</w:t>
      </w:r>
      <w:r>
        <w:rPr>
          <w:rFonts w:ascii="Cambria" w:hAnsi="Cambria"/>
          <w:spacing w:val="-1"/>
        </w:rPr>
        <w:t xml:space="preserve"> </w:t>
      </w:r>
      <w:r>
        <w:rPr>
          <w:rFonts w:ascii="Cambria" w:hAnsi="Cambria"/>
          <w:spacing w:val="-2"/>
        </w:rPr>
        <w:t>República</w:t>
      </w:r>
    </w:p>
    <w:sectPr w:rsidR="005A303E">
      <w:type w:val="continuous"/>
      <w:pgSz w:w="12240" w:h="15840"/>
      <w:pgMar w:top="1520" w:right="1560" w:bottom="280" w:left="1560" w:header="720" w:footer="720" w:gutter="0"/>
      <w:cols w:num="2" w:space="720" w:equalWidth="0">
        <w:col w:w="3765" w:space="367"/>
        <w:col w:w="498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93F69"/>
    <w:multiLevelType w:val="hybridMultilevel"/>
    <w:tmpl w:val="A6E42140"/>
    <w:lvl w:ilvl="0" w:tplc="1D64CF04">
      <w:start w:val="1"/>
      <w:numFmt w:val="decimal"/>
      <w:lvlText w:val="%1."/>
      <w:lvlJc w:val="left"/>
      <w:pPr>
        <w:ind w:left="565" w:hanging="426"/>
        <w:jc w:val="left"/>
      </w:pPr>
      <w:rPr>
        <w:rFonts w:ascii="Calibri" w:eastAsia="Calibri" w:hAnsi="Calibri" w:cs="Calibri" w:hint="default"/>
        <w:b w:val="0"/>
        <w:bCs w:val="0"/>
        <w:i w:val="0"/>
        <w:iCs w:val="0"/>
        <w:spacing w:val="0"/>
        <w:w w:val="107"/>
        <w:sz w:val="24"/>
        <w:szCs w:val="24"/>
        <w:lang w:val="es-ES" w:eastAsia="en-US" w:bidi="ar-SA"/>
      </w:rPr>
    </w:lvl>
    <w:lvl w:ilvl="1" w:tplc="5E126D4C">
      <w:numFmt w:val="bullet"/>
      <w:lvlText w:val="•"/>
      <w:lvlJc w:val="left"/>
      <w:pPr>
        <w:ind w:left="1416" w:hanging="426"/>
      </w:pPr>
      <w:rPr>
        <w:rFonts w:hint="default"/>
        <w:lang w:val="es-ES" w:eastAsia="en-US" w:bidi="ar-SA"/>
      </w:rPr>
    </w:lvl>
    <w:lvl w:ilvl="2" w:tplc="5CDA9A70">
      <w:numFmt w:val="bullet"/>
      <w:lvlText w:val="•"/>
      <w:lvlJc w:val="left"/>
      <w:pPr>
        <w:ind w:left="2272" w:hanging="426"/>
      </w:pPr>
      <w:rPr>
        <w:rFonts w:hint="default"/>
        <w:lang w:val="es-ES" w:eastAsia="en-US" w:bidi="ar-SA"/>
      </w:rPr>
    </w:lvl>
    <w:lvl w:ilvl="3" w:tplc="3C421AD0">
      <w:numFmt w:val="bullet"/>
      <w:lvlText w:val="•"/>
      <w:lvlJc w:val="left"/>
      <w:pPr>
        <w:ind w:left="3128" w:hanging="426"/>
      </w:pPr>
      <w:rPr>
        <w:rFonts w:hint="default"/>
        <w:lang w:val="es-ES" w:eastAsia="en-US" w:bidi="ar-SA"/>
      </w:rPr>
    </w:lvl>
    <w:lvl w:ilvl="4" w:tplc="E1FC4272">
      <w:numFmt w:val="bullet"/>
      <w:lvlText w:val="•"/>
      <w:lvlJc w:val="left"/>
      <w:pPr>
        <w:ind w:left="3984" w:hanging="426"/>
      </w:pPr>
      <w:rPr>
        <w:rFonts w:hint="default"/>
        <w:lang w:val="es-ES" w:eastAsia="en-US" w:bidi="ar-SA"/>
      </w:rPr>
    </w:lvl>
    <w:lvl w:ilvl="5" w:tplc="5FE0889C">
      <w:numFmt w:val="bullet"/>
      <w:lvlText w:val="•"/>
      <w:lvlJc w:val="left"/>
      <w:pPr>
        <w:ind w:left="4840" w:hanging="426"/>
      </w:pPr>
      <w:rPr>
        <w:rFonts w:hint="default"/>
        <w:lang w:val="es-ES" w:eastAsia="en-US" w:bidi="ar-SA"/>
      </w:rPr>
    </w:lvl>
    <w:lvl w:ilvl="6" w:tplc="482E8F32">
      <w:numFmt w:val="bullet"/>
      <w:lvlText w:val="•"/>
      <w:lvlJc w:val="left"/>
      <w:pPr>
        <w:ind w:left="5696" w:hanging="426"/>
      </w:pPr>
      <w:rPr>
        <w:rFonts w:hint="default"/>
        <w:lang w:val="es-ES" w:eastAsia="en-US" w:bidi="ar-SA"/>
      </w:rPr>
    </w:lvl>
    <w:lvl w:ilvl="7" w:tplc="15EEB6A8">
      <w:numFmt w:val="bullet"/>
      <w:lvlText w:val="•"/>
      <w:lvlJc w:val="left"/>
      <w:pPr>
        <w:ind w:left="6552" w:hanging="426"/>
      </w:pPr>
      <w:rPr>
        <w:rFonts w:hint="default"/>
        <w:lang w:val="es-ES" w:eastAsia="en-US" w:bidi="ar-SA"/>
      </w:rPr>
    </w:lvl>
    <w:lvl w:ilvl="8" w:tplc="EFF6638C">
      <w:numFmt w:val="bullet"/>
      <w:lvlText w:val="•"/>
      <w:lvlJc w:val="left"/>
      <w:pPr>
        <w:ind w:left="7408" w:hanging="426"/>
      </w:pPr>
      <w:rPr>
        <w:rFonts w:hint="default"/>
        <w:lang w:val="es-ES" w:eastAsia="en-US" w:bidi="ar-SA"/>
      </w:rPr>
    </w:lvl>
  </w:abstractNum>
  <w:num w:numId="1" w16cid:durableId="1815566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A303E"/>
    <w:rsid w:val="00556A5D"/>
    <w:rsid w:val="005A303E"/>
    <w:rsid w:val="005B24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4E88D-BE7F-4B64-89EE-13CD110C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39"/>
      <w:outlineLvl w:val="0"/>
    </w:pPr>
    <w:rPr>
      <w:rFonts w:ascii="Cambria" w:eastAsia="Cambria" w:hAnsi="Cambria" w:cs="Cambri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65"/>
    </w:pPr>
    <w:rPr>
      <w:sz w:val="24"/>
      <w:szCs w:val="24"/>
    </w:rPr>
  </w:style>
  <w:style w:type="paragraph" w:styleId="Prrafodelista">
    <w:name w:val="List Paragraph"/>
    <w:basedOn w:val="Normal"/>
    <w:uiPriority w:val="1"/>
    <w:qFormat/>
    <w:pPr>
      <w:ind w:left="565" w:right="140" w:hanging="4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4567</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2025-03-18T21:39:00Z</dcterms:created>
  <dcterms:modified xsi:type="dcterms:W3CDTF">2025-03-24T21:22:00Z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LastSaved">
    <vt:filetime>2025-03-18T00:00:00Z</vt:filetime>
  </property>
  <property fmtid="{D5CDD505-2E9C-101B-9397-08002B2CF9AE}" pid="4" name="Producer">
    <vt:lpwstr>macOS Versión 15.3.1 (Compilación 24D70) Quartz PDFContext</vt:lpwstr>
  </property>
</Properties>
</file>