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376" w:rsidRDefault="00000000">
      <w:pPr>
        <w:pStyle w:val="Ttulo1"/>
        <w:tabs>
          <w:tab w:val="left" w:pos="8959"/>
        </w:tabs>
        <w:spacing w:before="77"/>
        <w:ind w:left="121" w:right="98" w:firstLine="0"/>
        <w:jc w:val="both"/>
      </w:pPr>
      <w:r>
        <w:t>PROYECTO DE LEY QUE</w:t>
      </w:r>
      <w:r>
        <w:rPr>
          <w:spacing w:val="-7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TELEFÓNICA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WEB DIRECTA Y EXCLUSIVA PARA PACIENTES ELECTRODEPENDIENTES</w:t>
      </w:r>
      <w:r>
        <w:rPr>
          <w:spacing w:val="40"/>
        </w:rPr>
        <w:t xml:space="preserve"> </w:t>
      </w:r>
      <w:r>
        <w:t xml:space="preserve">POR </w:t>
      </w:r>
      <w:r>
        <w:rPr>
          <w:u w:val="thick"/>
        </w:rPr>
        <w:t>PARTE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-6"/>
          <w:u w:val="thick"/>
        </w:rPr>
        <w:t xml:space="preserve"> </w:t>
      </w:r>
      <w:r>
        <w:rPr>
          <w:u w:val="thick"/>
        </w:rPr>
        <w:t>CONCESIONARIAS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ELECTRICIDAD</w:t>
      </w:r>
      <w:r>
        <w:rPr>
          <w:u w:val="thick"/>
        </w:rPr>
        <w:tab/>
      </w:r>
    </w:p>
    <w:p w:rsidR="002E6376" w:rsidRDefault="002E6376">
      <w:pPr>
        <w:pStyle w:val="Textoindependiente"/>
        <w:rPr>
          <w:b/>
        </w:rPr>
      </w:pPr>
    </w:p>
    <w:p w:rsidR="002E6376" w:rsidRDefault="002E6376">
      <w:pPr>
        <w:pStyle w:val="Textoindependiente"/>
        <w:rPr>
          <w:b/>
        </w:rPr>
      </w:pPr>
    </w:p>
    <w:p w:rsidR="002E6376" w:rsidRDefault="002E6376">
      <w:pPr>
        <w:pStyle w:val="Textoindependiente"/>
        <w:spacing w:before="45"/>
        <w:rPr>
          <w:b/>
        </w:rPr>
      </w:pPr>
    </w:p>
    <w:p w:rsidR="002E6376" w:rsidRDefault="00000000">
      <w:pPr>
        <w:pStyle w:val="Prrafodelista"/>
        <w:numPr>
          <w:ilvl w:val="0"/>
          <w:numId w:val="1"/>
        </w:numPr>
        <w:tabs>
          <w:tab w:val="left" w:pos="1200"/>
        </w:tabs>
        <w:spacing w:before="0"/>
        <w:ind w:left="1200" w:right="0" w:hanging="719"/>
        <w:rPr>
          <w:b/>
          <w:sz w:val="24"/>
        </w:rPr>
      </w:pPr>
      <w:r>
        <w:rPr>
          <w:b/>
          <w:spacing w:val="-2"/>
          <w:sz w:val="24"/>
        </w:rPr>
        <w:t>CONSIDERANDO</w:t>
      </w:r>
    </w:p>
    <w:p w:rsidR="002E6376" w:rsidRDefault="002E6376">
      <w:pPr>
        <w:pStyle w:val="Textoindependiente"/>
        <w:rPr>
          <w:b/>
        </w:rPr>
      </w:pPr>
    </w:p>
    <w:p w:rsidR="002E6376" w:rsidRDefault="002E6376">
      <w:pPr>
        <w:pStyle w:val="Textoindependiente"/>
        <w:rPr>
          <w:b/>
        </w:rPr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before="0" w:line="360" w:lineRule="auto"/>
        <w:ind w:right="100"/>
        <w:jc w:val="both"/>
        <w:rPr>
          <w:sz w:val="24"/>
        </w:rPr>
      </w:pPr>
      <w:r>
        <w:rPr>
          <w:sz w:val="24"/>
        </w:rPr>
        <w:t>El día 25 de febrero se generó un apagón total en el país, que tuvo al 95% de la población sin suministro eléctrico por más de 6 horas, en algunos casos hasta 12 horas. El posterior análisis del apagón ha demostrado que existe un problema sistémico en cuanto al sistema eléctrico, donde la Superintendencia de Electricidad</w:t>
      </w:r>
      <w:r>
        <w:rPr>
          <w:spacing w:val="40"/>
          <w:sz w:val="24"/>
        </w:rPr>
        <w:t xml:space="preserve"> </w:t>
      </w:r>
      <w:r>
        <w:rPr>
          <w:sz w:val="24"/>
        </w:rPr>
        <w:t>y Combustibles encargada de fiscalizar, no fiscaliza, el Coordinador Eléctrico Nacional, encargado de</w:t>
      </w:r>
      <w:r>
        <w:rPr>
          <w:spacing w:val="-4"/>
          <w:sz w:val="24"/>
        </w:rPr>
        <w:t xml:space="preserve"> </w:t>
      </w:r>
      <w:r>
        <w:rPr>
          <w:sz w:val="24"/>
        </w:rPr>
        <w:t>coordinar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operación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eléctrico,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ancho con problemas técnicos graves, y las empresas de transmisión, que demostraron negligencia en la operación, como también en la mantención, pudiendo haber evitado el colapso que provocó el apagón.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Como sabemos, el Sistema Eléctrico Nacional (SEN) en Chile es el encargado de generar, transmitir y distribuir la electricidad a la mayor parte del país. Su funcionamiento se basa en tres segmentos principales: generación, transmisión y distribución. Las empresas generadoras producen electricidad a partir de distintas fuentes, como las energías renovables (solar, eólica, hidroeléctrica, geotérmica y biomasa) y las energías no renovables:</w:t>
      </w:r>
      <w:r>
        <w:rPr>
          <w:spacing w:val="-4"/>
          <w:sz w:val="24"/>
        </w:rPr>
        <w:t xml:space="preserve"> </w:t>
      </w:r>
      <w:r>
        <w:rPr>
          <w:sz w:val="24"/>
        </w:rPr>
        <w:t>termoeléctrica</w:t>
      </w:r>
      <w:r>
        <w:rPr>
          <w:spacing w:val="-4"/>
          <w:sz w:val="24"/>
        </w:rPr>
        <w:t xml:space="preserve"> </w:t>
      </w:r>
      <w:r>
        <w:rPr>
          <w:sz w:val="24"/>
        </w:rPr>
        <w:t>(carbón,</w:t>
      </w:r>
      <w:r>
        <w:rPr>
          <w:spacing w:val="-4"/>
          <w:sz w:val="24"/>
        </w:rPr>
        <w:t xml:space="preserve"> </w:t>
      </w:r>
      <w:r>
        <w:rPr>
          <w:sz w:val="24"/>
        </w:rPr>
        <w:t>gas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diésel). La electricidad generada se transporta a través de líneas de alta tensión hasta los centros de consumo. El sistema de transmisión está compuesto por redes troncales, subtransmisión y sistemas de transmisión dedicados, y finalmente, las empresas distribuidoras llevan la electricidad desde las subestaciones a los consumidores finales (hogares, industrias y comercios).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>En nuestro país, desde el 09 de septiembre de 2022, la Ley N°21.304, conocida como la “Ley Lucas Riquelme”, regula el suministro eléctrico para personas electrodependientes,</w:t>
      </w:r>
      <w:r>
        <w:rPr>
          <w:spacing w:val="80"/>
          <w:sz w:val="24"/>
        </w:rPr>
        <w:t xml:space="preserve"> </w:t>
      </w:r>
      <w:r>
        <w:rPr>
          <w:sz w:val="24"/>
        </w:rPr>
        <w:t>indica</w:t>
      </w:r>
      <w:r>
        <w:rPr>
          <w:spacing w:val="80"/>
          <w:sz w:val="24"/>
        </w:rPr>
        <w:t xml:space="preserve"> </w:t>
      </w:r>
      <w:r>
        <w:rPr>
          <w:sz w:val="24"/>
        </w:rPr>
        <w:t>que,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interrupciones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imprevistas,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las</w:t>
      </w:r>
    </w:p>
    <w:p w:rsidR="002E6376" w:rsidRDefault="002E6376">
      <w:pPr>
        <w:spacing w:line="360" w:lineRule="auto"/>
        <w:jc w:val="both"/>
        <w:rPr>
          <w:sz w:val="24"/>
        </w:rPr>
        <w:sectPr w:rsidR="002E6376">
          <w:type w:val="continuous"/>
          <w:pgSz w:w="12240" w:h="15840"/>
          <w:pgMar w:top="1340" w:right="1600" w:bottom="280" w:left="1580" w:header="720" w:footer="720" w:gutter="0"/>
          <w:cols w:space="720"/>
        </w:sectPr>
      </w:pPr>
    </w:p>
    <w:p w:rsidR="002E6376" w:rsidRDefault="00000000">
      <w:pPr>
        <w:spacing w:before="77" w:line="360" w:lineRule="auto"/>
        <w:ind w:left="841" w:right="102"/>
        <w:jc w:val="both"/>
        <w:rPr>
          <w:sz w:val="24"/>
        </w:rPr>
      </w:pPr>
      <w:r>
        <w:rPr>
          <w:b/>
          <w:sz w:val="24"/>
        </w:rPr>
        <w:lastRenderedPageBreak/>
        <w:t>empresas distribuidoras están obligadas a priorizar el restablecimiento del servicio para las familias electrodependientes</w:t>
      </w:r>
      <w:r>
        <w:rPr>
          <w:sz w:val="24"/>
        </w:rPr>
        <w:t>, por lo que, si bien las distribuidoras no tienen ninguna responsabilidad en el apagón, si la tienen,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vez ocurrido el apagón, con más de 10 mil familias en Chile, que son los electrodependientes que están inscritas en las Superintendencia de Electricidad y </w:t>
      </w:r>
      <w:r>
        <w:rPr>
          <w:spacing w:val="-2"/>
          <w:sz w:val="24"/>
        </w:rPr>
        <w:t>Combustibles.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362" w:lineRule="auto"/>
        <w:ind w:right="100"/>
        <w:jc w:val="both"/>
        <w:rPr>
          <w:sz w:val="24"/>
        </w:rPr>
      </w:pPr>
      <w:r>
        <w:rPr>
          <w:sz w:val="24"/>
        </w:rPr>
        <w:t xml:space="preserve">El DFL N° 4 que fija texto refundido, coordinado y sistematizado del Decreto con Fuerza de Ley Nº 1, de Minería, de 1982, Ley General de Servicios Eléctricos, en materia de energía eléctrica señala en su Artículo 207-1 que </w:t>
      </w:r>
      <w:r>
        <w:rPr>
          <w:i/>
          <w:sz w:val="24"/>
        </w:rPr>
        <w:t>“Son personas electrodependientes aquellas que para el tratamiento de la patología que padecen se encuentran en condición de hospitalización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domiciliaria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necesitan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permanecer conectadas físicamente, de forma continua o transitoria, a un dispositivo de uso médico, ya sea para su respiración, alimentación, termorregulación, entre otros, que requieren suministro eléctrico para su funcionamiento, para compensar la pérdida de una función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fundamental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cuerpo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estarían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vital o de secuela funcional severa grave”</w:t>
      </w:r>
      <w:r>
        <w:rPr>
          <w:sz w:val="24"/>
        </w:rPr>
        <w:t>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Muchas de estas personas tienen</w:t>
      </w:r>
      <w:r>
        <w:rPr>
          <w:spacing w:val="-3"/>
          <w:sz w:val="24"/>
        </w:rPr>
        <w:t xml:space="preserve"> </w:t>
      </w:r>
      <w:r>
        <w:rPr>
          <w:sz w:val="24"/>
        </w:rPr>
        <w:t>movilidad</w:t>
      </w:r>
    </w:p>
    <w:p w:rsidR="002E6376" w:rsidRDefault="00000000">
      <w:pPr>
        <w:pStyle w:val="Textoindependiente"/>
        <w:spacing w:before="51" w:line="360" w:lineRule="auto"/>
        <w:ind w:left="841" w:right="101"/>
        <w:jc w:val="both"/>
      </w:pPr>
      <w:r>
        <w:t>reducida o condiciones que dificultan la búsqueda de alternativas en caso de emergencia, lo que incrementa su vulnerabilidad. El acceso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eléctrica</w:t>
      </w:r>
      <w:r>
        <w:rPr>
          <w:spacing w:val="-3"/>
        </w:rPr>
        <w:t xml:space="preserve"> </w:t>
      </w:r>
      <w:r>
        <w:t>es un servicio esencial para la vida cotidiana, pero para los pacientes electrodependientes domiciliarios, es una cuestión de vida o</w:t>
      </w:r>
      <w:r>
        <w:rPr>
          <w:spacing w:val="-4"/>
        </w:rPr>
        <w:t xml:space="preserve"> </w:t>
      </w:r>
      <w:r>
        <w:t>muerte.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personas requieren de equipos médicos que funcionan con electricidad para mantener su</w:t>
      </w:r>
      <w:r>
        <w:rPr>
          <w:spacing w:val="40"/>
        </w:rPr>
        <w:t xml:space="preserve"> </w:t>
      </w:r>
      <w:r>
        <w:t>salud y, en muchos casos, su supervivencia. Por esta razón, las empresas de distribución eléctrica tienen la responsabilidad ética y legal de garantizar un suministro continuo y prioritario para estos usuarios.</w:t>
      </w:r>
    </w:p>
    <w:p w:rsidR="002E6376" w:rsidRDefault="002E6376">
      <w:pPr>
        <w:pStyle w:val="Textoindependiente"/>
        <w:spacing w:before="138"/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before="0" w:line="360" w:lineRule="auto"/>
        <w:jc w:val="both"/>
        <w:rPr>
          <w:i/>
          <w:sz w:val="24"/>
        </w:rPr>
      </w:pPr>
      <w:r>
        <w:rPr>
          <w:sz w:val="24"/>
        </w:rPr>
        <w:t>Luego del reciente apagón, del 25 de febrero según informaban los medios de comunicación,</w:t>
      </w:r>
      <w:r>
        <w:rPr>
          <w:spacing w:val="-3"/>
          <w:sz w:val="24"/>
        </w:rPr>
        <w:t xml:space="preserve"> </w:t>
      </w:r>
      <w:r>
        <w:rPr>
          <w:sz w:val="24"/>
        </w:rPr>
        <w:t>hubo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fallecidos</w:t>
      </w:r>
      <w:r>
        <w:rPr>
          <w:spacing w:val="-3"/>
          <w:sz w:val="24"/>
        </w:rPr>
        <w:t xml:space="preserve"> </w:t>
      </w:r>
      <w:r>
        <w:rPr>
          <w:sz w:val="24"/>
        </w:rPr>
        <w:t>electrodependientes.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encendió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 alarmas del Ministerio de Salud, quienes, al otro día, el 26 de febrero, y en declaraciones de la Ministra de Salud, Ximena Aguilera, pudieron dar cuenta que </w:t>
      </w:r>
      <w:r>
        <w:rPr>
          <w:i/>
          <w:sz w:val="24"/>
        </w:rPr>
        <w:t>“</w:t>
      </w:r>
      <w:r>
        <w:rPr>
          <w:i/>
          <w:color w:val="131313"/>
          <w:sz w:val="24"/>
        </w:rPr>
        <w:t>Dos de los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fallecidos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no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eran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electrodependientes,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y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sus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decesos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están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asociados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a</w:t>
      </w:r>
    </w:p>
    <w:p w:rsidR="002E6376" w:rsidRDefault="002E6376">
      <w:pPr>
        <w:spacing w:line="360" w:lineRule="auto"/>
        <w:jc w:val="both"/>
        <w:rPr>
          <w:sz w:val="24"/>
        </w:rPr>
        <w:sectPr w:rsidR="002E6376">
          <w:pgSz w:w="12240" w:h="15840"/>
          <w:pgMar w:top="1340" w:right="1600" w:bottom="280" w:left="1580" w:header="720" w:footer="720" w:gutter="0"/>
          <w:cols w:space="720"/>
        </w:sectPr>
      </w:pPr>
    </w:p>
    <w:p w:rsidR="002E6376" w:rsidRDefault="00000000">
      <w:pPr>
        <w:spacing w:before="77" w:line="360" w:lineRule="auto"/>
        <w:ind w:left="841" w:right="105"/>
        <w:jc w:val="both"/>
        <w:rPr>
          <w:i/>
          <w:sz w:val="24"/>
        </w:rPr>
      </w:pPr>
      <w:r>
        <w:rPr>
          <w:i/>
          <w:color w:val="131313"/>
          <w:sz w:val="24"/>
        </w:rPr>
        <w:lastRenderedPageBreak/>
        <w:t>patologías de base (residentes de San Pedro de la Paz y Recoleta). La tercera persona, residente de Iquique, correspondía a un paciente electrodependiente con hospitalización domiciliaria en condición grave que,</w:t>
      </w:r>
      <w:r>
        <w:rPr>
          <w:i/>
          <w:color w:val="131313"/>
          <w:spacing w:val="-3"/>
          <w:sz w:val="24"/>
        </w:rPr>
        <w:t xml:space="preserve"> </w:t>
      </w:r>
      <w:r>
        <w:rPr>
          <w:i/>
          <w:color w:val="131313"/>
          <w:sz w:val="24"/>
        </w:rPr>
        <w:t>según lo reportado por el Servicio de Salud, mantuvo la autonomía del soporte eléctrico de manera permanente hasta su fallecimiento</w:t>
      </w:r>
      <w:r>
        <w:rPr>
          <w:i/>
          <w:sz w:val="24"/>
        </w:rPr>
        <w:t>”.</w:t>
      </w:r>
      <w:r>
        <w:rPr>
          <w:i/>
          <w:sz w:val="24"/>
          <w:vertAlign w:val="superscript"/>
        </w:rPr>
        <w:t>1</w:t>
      </w:r>
    </w:p>
    <w:p w:rsidR="002E6376" w:rsidRDefault="00000000">
      <w:pPr>
        <w:pStyle w:val="Textoindependiente"/>
        <w:spacing w:before="276" w:line="360" w:lineRule="auto"/>
        <w:ind w:left="841" w:right="99"/>
        <w:jc w:val="both"/>
      </w:pPr>
      <w:r>
        <w:t>El tema, es que el problema no terminó ahí, pues medios de comunicación comenzaron a tomar contacto con familias electrodependientes, particularmente el equipo de investigación de radio Biobío</w:t>
      </w:r>
      <w:r>
        <w:rPr>
          <w:vertAlign w:val="superscript"/>
        </w:rPr>
        <w:t>2</w:t>
      </w:r>
      <w:r>
        <w:t>, donde pudieron comprobar a través de diversos ejemplos, como las distribuidoras no prestaron la atención necesaria, y</w:t>
      </w:r>
      <w:r>
        <w:rPr>
          <w:spacing w:val="40"/>
        </w:rPr>
        <w:t xml:space="preserve"> </w:t>
      </w:r>
      <w:r>
        <w:t>peor aún, simplemente no contestaban a las consultas de las familias electrodependientes. Estas familias electrodependientes resolvieron sus problemas gracias al apoyo de sus familiares y vecinos, quienes</w:t>
      </w:r>
      <w:r>
        <w:rPr>
          <w:spacing w:val="-3"/>
        </w:rPr>
        <w:t xml:space="preserve"> </w:t>
      </w:r>
      <w:r>
        <w:t>proporcionaron</w:t>
      </w:r>
      <w:r>
        <w:rPr>
          <w:spacing w:val="-3"/>
        </w:rPr>
        <w:t xml:space="preserve"> </w:t>
      </w:r>
      <w:r>
        <w:t>generadores</w:t>
      </w:r>
      <w:r>
        <w:rPr>
          <w:spacing w:val="-3"/>
        </w:rPr>
        <w:t xml:space="preserve"> </w:t>
      </w:r>
      <w:r>
        <w:t>o llevaron a los electrodependientes a centros asistenciales.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360" w:lineRule="auto"/>
        <w:jc w:val="both"/>
        <w:rPr>
          <w:sz w:val="24"/>
        </w:rPr>
      </w:pPr>
      <w:r>
        <w:rPr>
          <w:sz w:val="24"/>
        </w:rPr>
        <w:t>Con el objetivo de asegurar una comunicación efectiva entre las familias electrodependientes, se anunciará el</w:t>
      </w:r>
      <w:r>
        <w:rPr>
          <w:spacing w:val="-3"/>
          <w:sz w:val="24"/>
        </w:rPr>
        <w:t xml:space="preserve"> </w:t>
      </w:r>
      <w:r>
        <w:rPr>
          <w:sz w:val="24"/>
        </w:rPr>
        <w:t>ingreso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PDL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próxima</w:t>
      </w:r>
      <w:r>
        <w:rPr>
          <w:spacing w:val="-3"/>
          <w:sz w:val="24"/>
        </w:rPr>
        <w:t xml:space="preserve"> </w:t>
      </w:r>
      <w:r>
        <w:rPr>
          <w:sz w:val="24"/>
        </w:rPr>
        <w:t>semana</w:t>
      </w:r>
      <w:r>
        <w:rPr>
          <w:spacing w:val="-3"/>
          <w:sz w:val="24"/>
        </w:rPr>
        <w:t xml:space="preserve"> </w:t>
      </w:r>
      <w:r>
        <w:rPr>
          <w:sz w:val="24"/>
        </w:rPr>
        <w:t>que obligue a las distribuidoras a tener una línea directa de comunicación con las familias electrodependientes, para asegurar que estas puedan ser atendidas efectivamente de manera prioritaria, cumpliendo efectivamente con la ley lucas, y</w:t>
      </w:r>
      <w:r>
        <w:rPr>
          <w:spacing w:val="40"/>
          <w:sz w:val="24"/>
        </w:rPr>
        <w:t xml:space="preserve"> </w:t>
      </w:r>
      <w:r>
        <w:rPr>
          <w:sz w:val="24"/>
        </w:rPr>
        <w:t>de esa manera poder brindarles ayuda 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oportuna.</w:t>
      </w:r>
      <w:r>
        <w:rPr>
          <w:spacing w:val="-3"/>
          <w:sz w:val="24"/>
        </w:rPr>
        <w:t xml:space="preserve"> </w:t>
      </w:r>
      <w:r>
        <w:rPr>
          <w:sz w:val="24"/>
        </w:rPr>
        <w:t>Garantizar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suministro eléctrico a pacientes electrodependientes no solo es una obligación técnica y legal</w:t>
      </w:r>
      <w:r>
        <w:rPr>
          <w:spacing w:val="40"/>
          <w:sz w:val="24"/>
        </w:rPr>
        <w:t xml:space="preserve"> </w:t>
      </w:r>
      <w:r>
        <w:rPr>
          <w:sz w:val="24"/>
        </w:rPr>
        <w:t>de las empresas de distribución eléctrica, sino también un deber humanitario. La implementación de</w:t>
      </w:r>
      <w:r>
        <w:rPr>
          <w:spacing w:val="-3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asegurar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bienestar</w:t>
      </w:r>
      <w:r>
        <w:rPr>
          <w:spacing w:val="-3"/>
          <w:sz w:val="24"/>
        </w:rPr>
        <w:t xml:space="preserve"> </w:t>
      </w:r>
      <w:r>
        <w:rPr>
          <w:sz w:val="24"/>
        </w:rPr>
        <w:t>fortalece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confianza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servicio eléctrico y refuerza el compromiso 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comunidad. En este sentido, la atención preferente a estos pacientes no debe verse como una opción, sino como una prioridad innegociable.</w:t>
      </w:r>
    </w:p>
    <w:p w:rsidR="002E6376" w:rsidRDefault="00000000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148208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24C0" id="Graphic 1" o:spid="_x0000_s1026" style="position:absolute;margin-left:84.75pt;margin-top:11.6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hjcM&#10;+N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2E6376" w:rsidRDefault="00000000">
      <w:pPr>
        <w:spacing w:before="105"/>
        <w:ind w:left="121"/>
        <w:rPr>
          <w:sz w:val="12"/>
        </w:rPr>
      </w:pPr>
      <w:r>
        <w:rPr>
          <w:spacing w:val="-10"/>
          <w:sz w:val="12"/>
        </w:rPr>
        <w:t>1</w:t>
      </w:r>
    </w:p>
    <w:p w:rsidR="002E6376" w:rsidRDefault="00000000">
      <w:pPr>
        <w:spacing w:before="93"/>
        <w:ind w:left="121" w:right="190"/>
        <w:rPr>
          <w:sz w:val="20"/>
        </w:rPr>
      </w:pPr>
      <w:hyperlink r:id="rId5">
        <w:r>
          <w:rPr>
            <w:color w:val="457886"/>
            <w:spacing w:val="-2"/>
            <w:sz w:val="20"/>
            <w:u w:val="thick" w:color="457886"/>
          </w:rPr>
          <w:t>https://www.latercera.com/nacional/noticia/minsal-descarta-responsabilidad-del-corte-de-luz-en-el-fallecimie</w:t>
        </w:r>
      </w:hyperlink>
      <w:r>
        <w:rPr>
          <w:color w:val="457886"/>
          <w:spacing w:val="-2"/>
          <w:sz w:val="20"/>
        </w:rPr>
        <w:t xml:space="preserve"> </w:t>
      </w:r>
      <w:hyperlink r:id="rId6">
        <w:r>
          <w:rPr>
            <w:color w:val="457886"/>
            <w:spacing w:val="-2"/>
            <w:sz w:val="20"/>
            <w:u w:val="thick" w:color="457886"/>
          </w:rPr>
          <w:t>nto-de-las-tres-personas-electrodependientes/4YJN6WE2VRAZ5NWJKTOPFPTG2U/</w:t>
        </w:r>
      </w:hyperlink>
    </w:p>
    <w:p w:rsidR="002E6376" w:rsidRDefault="00000000">
      <w:pPr>
        <w:spacing w:line="137" w:lineRule="exact"/>
        <w:ind w:left="121"/>
        <w:rPr>
          <w:sz w:val="12"/>
        </w:rPr>
      </w:pPr>
      <w:r>
        <w:rPr>
          <w:spacing w:val="-10"/>
          <w:sz w:val="12"/>
        </w:rPr>
        <w:t>2</w:t>
      </w:r>
    </w:p>
    <w:p w:rsidR="002E6376" w:rsidRDefault="00000000">
      <w:pPr>
        <w:spacing w:before="93"/>
        <w:ind w:left="121"/>
        <w:rPr>
          <w:sz w:val="20"/>
        </w:rPr>
      </w:pPr>
      <w:hyperlink r:id="rId7">
        <w:r>
          <w:rPr>
            <w:color w:val="457886"/>
            <w:spacing w:val="-2"/>
            <w:sz w:val="20"/>
            <w:u w:val="thick" w:color="457886"/>
          </w:rPr>
          <w:t>https://www.biobiochile.cl/especial/bbcl-investiga/noticias/de-pasillo/2025/03/01/si-no-fuese-por-mis-vecinos</w:t>
        </w:r>
      </w:hyperlink>
    </w:p>
    <w:p w:rsidR="002E6376" w:rsidRDefault="00000000">
      <w:pPr>
        <w:ind w:left="121"/>
        <w:rPr>
          <w:sz w:val="20"/>
        </w:rPr>
      </w:pPr>
      <w:hyperlink r:id="rId8">
        <w:r>
          <w:rPr>
            <w:color w:val="457886"/>
            <w:spacing w:val="-2"/>
            <w:sz w:val="20"/>
            <w:u w:val="thick" w:color="457886"/>
          </w:rPr>
          <w:t>-mi-mujer-habria-muerto-ayer-electrodependientes-y-falta-de-ayuda.shtml</w:t>
        </w:r>
      </w:hyperlink>
    </w:p>
    <w:p w:rsidR="002E6376" w:rsidRDefault="002E6376">
      <w:pPr>
        <w:rPr>
          <w:sz w:val="20"/>
        </w:rPr>
        <w:sectPr w:rsidR="002E6376">
          <w:pgSz w:w="12240" w:h="15840"/>
          <w:pgMar w:top="1340" w:right="1600" w:bottom="280" w:left="1580" w:header="720" w:footer="720" w:gutter="0"/>
          <w:cols w:space="720"/>
        </w:sectPr>
      </w:pPr>
    </w:p>
    <w:p w:rsidR="002E6376" w:rsidRDefault="00000000">
      <w:pPr>
        <w:pStyle w:val="Textoindependiente"/>
        <w:spacing w:before="71" w:line="360" w:lineRule="auto"/>
        <w:ind w:left="121" w:firstLine="705"/>
      </w:pPr>
      <w:r>
        <w:lastRenderedPageBreak/>
        <w:t>Es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consideración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</w:t>
      </w:r>
      <w:r>
        <w:rPr>
          <w:spacing w:val="80"/>
        </w:rPr>
        <w:t xml:space="preserve"> </w:t>
      </w:r>
      <w:r>
        <w:t>anterior,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t>diputados</w:t>
      </w:r>
      <w:r>
        <w:rPr>
          <w:spacing w:val="71"/>
        </w:rPr>
        <w:t xml:space="preserve"> </w:t>
      </w:r>
      <w:r>
        <w:t>abajo</w:t>
      </w:r>
      <w:r>
        <w:rPr>
          <w:spacing w:val="71"/>
        </w:rPr>
        <w:t xml:space="preserve"> </w:t>
      </w:r>
      <w:r>
        <w:t>firmantes proponemos a consideración el siguiente Proyecto de Ley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pStyle w:val="Ttulo1"/>
        <w:numPr>
          <w:ilvl w:val="0"/>
          <w:numId w:val="1"/>
        </w:numPr>
        <w:tabs>
          <w:tab w:val="left" w:pos="1200"/>
        </w:tabs>
        <w:spacing w:before="1"/>
        <w:ind w:left="1200" w:hanging="719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2E6376" w:rsidRDefault="002E6376">
      <w:pPr>
        <w:pStyle w:val="Textoindependiente"/>
        <w:spacing w:before="275"/>
        <w:rPr>
          <w:b/>
        </w:rPr>
      </w:pPr>
    </w:p>
    <w:p w:rsidR="002E6376" w:rsidRDefault="00000000">
      <w:pPr>
        <w:pStyle w:val="Textoindependiente"/>
        <w:spacing w:before="1" w:line="360" w:lineRule="auto"/>
        <w:ind w:left="121" w:right="104"/>
        <w:jc w:val="both"/>
      </w:pPr>
      <w:r>
        <w:t>Artículo Único. – Modifíquese el DFL N° 4 que fija texto refundido, coordinado y sistematizado del Decreto con Fuerza de Ley Nº 1, de Minería, de 1982, Ley General de Servicios Eléctricos, en materia de energía eléctrica, en el siguiente sentido: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pStyle w:val="Prrafodelista"/>
        <w:numPr>
          <w:ilvl w:val="1"/>
          <w:numId w:val="1"/>
        </w:numPr>
        <w:tabs>
          <w:tab w:val="left" w:pos="1186"/>
        </w:tabs>
        <w:spacing w:line="360" w:lineRule="auto"/>
        <w:ind w:left="1186" w:right="112"/>
        <w:rPr>
          <w:sz w:val="24"/>
        </w:rPr>
      </w:pPr>
      <w:r>
        <w:rPr>
          <w:sz w:val="24"/>
        </w:rPr>
        <w:t>Incorpórese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artículo</w:t>
      </w:r>
      <w:r>
        <w:rPr>
          <w:spacing w:val="26"/>
          <w:sz w:val="24"/>
        </w:rPr>
        <w:t xml:space="preserve"> </w:t>
      </w:r>
      <w:r>
        <w:rPr>
          <w:sz w:val="24"/>
        </w:rPr>
        <w:t>207- 4 un nuevo inciso segundo, pasando el actual a ser tercero y así sucesivamente, del siguiente tenor:</w:t>
      </w:r>
    </w:p>
    <w:p w:rsidR="002E6376" w:rsidRDefault="002E6376">
      <w:pPr>
        <w:pStyle w:val="Textoindependiente"/>
        <w:spacing w:before="137"/>
      </w:pPr>
    </w:p>
    <w:p w:rsidR="002E6376" w:rsidRDefault="00000000">
      <w:pPr>
        <w:spacing w:before="1" w:line="360" w:lineRule="auto"/>
        <w:ind w:left="121" w:right="99"/>
        <w:jc w:val="both"/>
        <w:rPr>
          <w:i/>
          <w:sz w:val="24"/>
        </w:rPr>
      </w:pPr>
      <w:r>
        <w:rPr>
          <w:i/>
          <w:sz w:val="24"/>
        </w:rPr>
        <w:t>“Cada empresa concesionaria deberá habilitar, de manera permanente, una línea telefónica y un portal en su plataforma web con el propósito de atender directa y exclusivamente a pacientes electrodependientes inscritos debidamente en el registro establecido en el artículo 207-2 de este mismo cuerpo legal. La no disponibilización de dichos canales de comunicación para pacientes electrodependientes, se considerará una infracción gravísima, sujeta a las sanciones que disponga la Superintendencia de Electricidad y Combustibles.”</w:t>
      </w: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rPr>
          <w:i/>
        </w:rPr>
      </w:pPr>
    </w:p>
    <w:p w:rsidR="002E6376" w:rsidRDefault="002E6376">
      <w:pPr>
        <w:pStyle w:val="Textoindependiente"/>
        <w:spacing w:before="275"/>
        <w:rPr>
          <w:i/>
        </w:rPr>
      </w:pPr>
    </w:p>
    <w:p w:rsidR="002E6376" w:rsidRDefault="00000000">
      <w:pPr>
        <w:pStyle w:val="Textoindependiente"/>
        <w:spacing w:before="1"/>
        <w:ind w:left="2859" w:right="1484" w:hanging="180"/>
      </w:pPr>
      <w:r>
        <w:t>MARISELA</w:t>
      </w:r>
      <w:r>
        <w:rPr>
          <w:spacing w:val="-15"/>
        </w:rPr>
        <w:t xml:space="preserve"> </w:t>
      </w:r>
      <w:r>
        <w:t>SANTIBÁÑEZ</w:t>
      </w:r>
      <w:r>
        <w:rPr>
          <w:spacing w:val="-15"/>
        </w:rPr>
        <w:t xml:space="preserve"> </w:t>
      </w:r>
      <w:r>
        <w:t>NOVOA DIPUTADA DE LA REPÚBLICA</w:t>
      </w:r>
    </w:p>
    <w:sectPr w:rsidR="002E6376">
      <w:pgSz w:w="12240" w:h="15840"/>
      <w:pgMar w:top="176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53CFF"/>
    <w:multiLevelType w:val="hybridMultilevel"/>
    <w:tmpl w:val="83EEB900"/>
    <w:lvl w:ilvl="0" w:tplc="B3C4FF5E">
      <w:start w:val="1"/>
      <w:numFmt w:val="upperRoman"/>
      <w:lvlText w:val="%1."/>
      <w:lvlJc w:val="left"/>
      <w:pPr>
        <w:ind w:left="120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904C70">
      <w:start w:val="1"/>
      <w:numFmt w:val="decimal"/>
      <w:lvlText w:val="%2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F2EDF4A">
      <w:numFmt w:val="bullet"/>
      <w:lvlText w:val="•"/>
      <w:lvlJc w:val="left"/>
      <w:pPr>
        <w:ind w:left="1200" w:hanging="360"/>
      </w:pPr>
      <w:rPr>
        <w:rFonts w:hint="default"/>
        <w:lang w:val="es-ES" w:eastAsia="en-US" w:bidi="ar-SA"/>
      </w:rPr>
    </w:lvl>
    <w:lvl w:ilvl="3" w:tplc="DE947626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4" w:tplc="20DA962C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5" w:tplc="B23EA3DA">
      <w:numFmt w:val="bullet"/>
      <w:lvlText w:val="•"/>
      <w:lvlJc w:val="left"/>
      <w:pPr>
        <w:ind w:left="4147" w:hanging="360"/>
      </w:pPr>
      <w:rPr>
        <w:rFonts w:hint="default"/>
        <w:lang w:val="es-ES" w:eastAsia="en-US" w:bidi="ar-SA"/>
      </w:rPr>
    </w:lvl>
    <w:lvl w:ilvl="6" w:tplc="66A0613E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7" w:tplc="0A0A865C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8" w:tplc="15607FE8"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num w:numId="1" w16cid:durableId="162616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376"/>
    <w:rsid w:val="000217C0"/>
    <w:rsid w:val="002E6376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D90D8-DAAB-4BAE-84C3-FBC8B18B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00" w:hanging="7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41" w:right="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biochile.cl/especial/bbcl-investiga/noticias/de-pasillo/2025/03/01/si-no-fuese-por-mis-vecinos-mi-mujer-habria-muerto-ayer-electrodependientes-y-falta-de-ayuda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biochile.cl/especial/bbcl-investiga/noticias/de-pasillo/2025/03/01/si-no-fuese-por-mis-vecinos-mi-mujer-habria-muerto-ayer-electrodependientes-y-falta-de-ayud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ercera.com/nacional/noticia/minsal-descarta-responsabilidad-del-corte-de-luz-en-el-fallecimiento-de-las-tres-personas-electrodependientes/4YJN6WE2VRAZ5NWJKTOPFPTG2U/" TargetMode="External"/><Relationship Id="rId5" Type="http://schemas.openxmlformats.org/officeDocument/2006/relationships/hyperlink" Target="https://www.latercera.com/nacional/noticia/minsal-descarta-responsabilidad-del-corte-de-luz-en-el-fallecimiento-de-las-tres-personas-electrodependientes/4YJN6WE2VRAZ5NWJKTOPFPTG2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ESTABLECE ATENCIÓN TELEFONICA A PACIENTES ELECTRODEPENDIENTES .docx</dc:title>
  <cp:lastModifiedBy>Guillermo Diaz Vallejos</cp:lastModifiedBy>
  <cp:revision>1</cp:revision>
  <dcterms:created xsi:type="dcterms:W3CDTF">2025-03-12T19:09:00Z</dcterms:created>
  <dcterms:modified xsi:type="dcterms:W3CDTF">2025-03-24T21:21:00Z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2025-03-12T00:00:00Z</vt:filetime>
  </property>
</Properties>
</file>