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2EBDE" w14:textId="0870437A" w:rsidR="00B70428" w:rsidRPr="009957F0" w:rsidRDefault="009957F0" w:rsidP="009957F0">
      <w:pPr>
        <w:jc w:val="center"/>
        <w:rPr>
          <w:rFonts w:ascii="Palatino Linotype" w:hAnsi="Palatino Linotype"/>
          <w:b/>
          <w:bCs/>
          <w:sz w:val="24"/>
          <w:szCs w:val="24"/>
        </w:rPr>
      </w:pPr>
      <w:r w:rsidRPr="009957F0">
        <w:rPr>
          <w:rFonts w:ascii="Palatino Linotype" w:hAnsi="Palatino Linotype"/>
          <w:b/>
          <w:bCs/>
          <w:sz w:val="24"/>
          <w:szCs w:val="24"/>
        </w:rPr>
        <w:t xml:space="preserve">PROYECTO DE LEY QUE </w:t>
      </w:r>
      <w:r w:rsidR="006C5B7E">
        <w:rPr>
          <w:rFonts w:ascii="Palatino Linotype" w:hAnsi="Palatino Linotype"/>
          <w:b/>
          <w:bCs/>
          <w:sz w:val="24"/>
          <w:szCs w:val="24"/>
        </w:rPr>
        <w:t>IGUALA EL TRATAMIENTO AL CONSUMIDOR POR PARTE DE LAS EMPRESAS DE TRANSPORTE DE PASAJEROS</w:t>
      </w:r>
    </w:p>
    <w:p w14:paraId="3539E562" w14:textId="77777777" w:rsidR="00E73005" w:rsidRPr="00E73005" w:rsidRDefault="00E73005" w:rsidP="00821325">
      <w:pPr>
        <w:spacing w:after="0" w:line="276" w:lineRule="auto"/>
        <w:jc w:val="both"/>
        <w:rPr>
          <w:rFonts w:ascii="Palatino Linotype" w:hAnsi="Palatino Linotype" w:cstheme="minorHAnsi"/>
          <w:sz w:val="24"/>
          <w:szCs w:val="24"/>
        </w:rPr>
      </w:pPr>
    </w:p>
    <w:p w14:paraId="59203E38" w14:textId="567C634F" w:rsidR="00C41C8F" w:rsidRDefault="006C5B7E" w:rsidP="00821325">
      <w:pPr>
        <w:pStyle w:val="Prrafodelista"/>
        <w:numPr>
          <w:ilvl w:val="0"/>
          <w:numId w:val="8"/>
        </w:numPr>
        <w:spacing w:after="0" w:line="276" w:lineRule="auto"/>
        <w:jc w:val="both"/>
        <w:rPr>
          <w:rFonts w:ascii="Palatino Linotype" w:hAnsi="Palatino Linotype" w:cstheme="minorHAnsi"/>
          <w:b/>
          <w:bCs/>
          <w:sz w:val="24"/>
          <w:szCs w:val="24"/>
        </w:rPr>
      </w:pPr>
      <w:r>
        <w:rPr>
          <w:rFonts w:ascii="Palatino Linotype" w:hAnsi="Palatino Linotype" w:cstheme="minorHAnsi"/>
          <w:b/>
          <w:bCs/>
          <w:sz w:val="24"/>
          <w:szCs w:val="24"/>
        </w:rPr>
        <w:t>Antecedentes</w:t>
      </w:r>
    </w:p>
    <w:p w14:paraId="3678D0A0" w14:textId="77777777" w:rsidR="006C5B7E" w:rsidRDefault="006C5B7E" w:rsidP="006C5B7E">
      <w:pPr>
        <w:spacing w:after="0" w:line="276" w:lineRule="auto"/>
        <w:jc w:val="both"/>
        <w:rPr>
          <w:rFonts w:ascii="Palatino Linotype" w:hAnsi="Palatino Linotype" w:cstheme="minorHAnsi"/>
          <w:b/>
          <w:bCs/>
          <w:sz w:val="24"/>
          <w:szCs w:val="24"/>
        </w:rPr>
      </w:pPr>
    </w:p>
    <w:p w14:paraId="252438D4" w14:textId="77777777" w:rsidR="006C5B7E" w:rsidRDefault="006C5B7E" w:rsidP="006C5B7E">
      <w:pPr>
        <w:spacing w:after="0" w:line="276" w:lineRule="auto"/>
        <w:jc w:val="both"/>
        <w:rPr>
          <w:rFonts w:ascii="Palatino Linotype" w:hAnsi="Palatino Linotype" w:cstheme="minorHAnsi"/>
          <w:sz w:val="24"/>
          <w:szCs w:val="24"/>
        </w:rPr>
      </w:pPr>
      <w:r w:rsidRPr="006C5B7E">
        <w:rPr>
          <w:rFonts w:ascii="Palatino Linotype" w:hAnsi="Palatino Linotype" w:cstheme="minorHAnsi"/>
          <w:sz w:val="24"/>
          <w:szCs w:val="24"/>
        </w:rPr>
        <w:t>El artículo 23 del DFL 3 de 2019, del Ministerio de Economía, Fomento y Turismo, que fija el texto refundido, coordinado y sistematizado de la Ley N°19.496, que establece normas sobre protección de los derechos de los consumidores</w:t>
      </w:r>
      <w:r>
        <w:rPr>
          <w:rFonts w:ascii="Palatino Linotype" w:hAnsi="Palatino Linotype" w:cstheme="minorHAnsi"/>
          <w:sz w:val="24"/>
          <w:szCs w:val="24"/>
        </w:rPr>
        <w:t>, establece que comete infracción el proveedor que, en la venta de un bien o en la prestación de un servicio, actuando con negligencia, causa menoscabo al consumidor debido a fallas o deficiencias en la calidad, cantidad, identidad, sustancia, procedencia, seguridad, peso o medida del respectivo bien o servicio.</w:t>
      </w:r>
    </w:p>
    <w:p w14:paraId="4776EE8D" w14:textId="77777777" w:rsidR="006C5B7E" w:rsidRDefault="006C5B7E" w:rsidP="006C5B7E">
      <w:pPr>
        <w:spacing w:after="0" w:line="276" w:lineRule="auto"/>
        <w:jc w:val="both"/>
        <w:rPr>
          <w:rFonts w:ascii="Palatino Linotype" w:hAnsi="Palatino Linotype" w:cstheme="minorHAnsi"/>
          <w:sz w:val="24"/>
          <w:szCs w:val="24"/>
        </w:rPr>
      </w:pPr>
    </w:p>
    <w:p w14:paraId="6A02692A" w14:textId="77777777" w:rsidR="006C5B7E" w:rsidRDefault="006C5B7E" w:rsidP="006C5B7E">
      <w:pPr>
        <w:spacing w:after="0" w:line="276" w:lineRule="auto"/>
        <w:jc w:val="both"/>
        <w:rPr>
          <w:rFonts w:ascii="Palatino Linotype" w:hAnsi="Palatino Linotype" w:cstheme="minorHAnsi"/>
          <w:b/>
          <w:bCs/>
          <w:sz w:val="24"/>
          <w:szCs w:val="24"/>
        </w:rPr>
      </w:pPr>
      <w:r>
        <w:rPr>
          <w:rFonts w:ascii="Palatino Linotype" w:hAnsi="Palatino Linotype" w:cstheme="minorHAnsi"/>
          <w:sz w:val="24"/>
          <w:szCs w:val="24"/>
        </w:rPr>
        <w:t xml:space="preserve">En el inciso segundo del mismo artículo se establece la multa de hasta 2.250 UTM para los organizadores de espectáculos públicos, incluidos los artísticos y deportivos, que pongan en venta una cantidad de localidades que supere la capacidad del respectivo recinto. </w:t>
      </w:r>
      <w:r>
        <w:rPr>
          <w:rFonts w:ascii="Palatino Linotype" w:hAnsi="Palatino Linotype" w:cstheme="minorHAnsi"/>
          <w:b/>
          <w:bCs/>
          <w:sz w:val="24"/>
          <w:szCs w:val="24"/>
        </w:rPr>
        <w:t xml:space="preserve">Igual sanción se aplicará a la venta de sobrecupos en los servicios de transporte de pasajeros, </w:t>
      </w:r>
      <w:r w:rsidRPr="006C5B7E">
        <w:rPr>
          <w:rFonts w:ascii="Palatino Linotype" w:hAnsi="Palatino Linotype" w:cstheme="minorHAnsi"/>
          <w:b/>
          <w:bCs/>
          <w:sz w:val="24"/>
          <w:szCs w:val="24"/>
          <w:u w:val="single"/>
        </w:rPr>
        <w:t>con excepción del transporte aéreo.</w:t>
      </w:r>
      <w:r>
        <w:rPr>
          <w:rFonts w:ascii="Palatino Linotype" w:hAnsi="Palatino Linotype" w:cstheme="minorHAnsi"/>
          <w:b/>
          <w:bCs/>
          <w:sz w:val="24"/>
          <w:szCs w:val="24"/>
        </w:rPr>
        <w:t xml:space="preserve"> </w:t>
      </w:r>
    </w:p>
    <w:p w14:paraId="7CB4E15E" w14:textId="77777777" w:rsidR="006C5B7E" w:rsidRDefault="006C5B7E" w:rsidP="006C5B7E">
      <w:pPr>
        <w:spacing w:after="0" w:line="276" w:lineRule="auto"/>
        <w:jc w:val="both"/>
        <w:rPr>
          <w:rFonts w:ascii="Palatino Linotype" w:hAnsi="Palatino Linotype" w:cstheme="minorHAnsi"/>
          <w:b/>
          <w:bCs/>
          <w:sz w:val="24"/>
          <w:szCs w:val="24"/>
        </w:rPr>
      </w:pPr>
    </w:p>
    <w:p w14:paraId="4A34CE04" w14:textId="2F4C35FA" w:rsidR="006C5B7E" w:rsidRDefault="006C5B7E" w:rsidP="006C5B7E">
      <w:pPr>
        <w:spacing w:after="0" w:line="276" w:lineRule="auto"/>
        <w:jc w:val="both"/>
        <w:rPr>
          <w:rFonts w:ascii="Palatino Linotype" w:hAnsi="Palatino Linotype" w:cstheme="minorHAnsi"/>
          <w:sz w:val="24"/>
          <w:szCs w:val="24"/>
        </w:rPr>
      </w:pPr>
      <w:r w:rsidRPr="006C5B7E">
        <w:rPr>
          <w:rFonts w:ascii="Palatino Linotype" w:hAnsi="Palatino Linotype" w:cstheme="minorHAnsi"/>
          <w:sz w:val="24"/>
          <w:szCs w:val="24"/>
        </w:rPr>
        <w:t xml:space="preserve">De la sola lectura del artículo en discusión, queda de manifiesto un trato diferenciado y más beneficioso para líneas aéreas </w:t>
      </w:r>
      <w:r>
        <w:rPr>
          <w:rFonts w:ascii="Palatino Linotype" w:hAnsi="Palatino Linotype" w:cstheme="minorHAnsi"/>
          <w:sz w:val="24"/>
          <w:szCs w:val="24"/>
        </w:rPr>
        <w:t xml:space="preserve">respecto de otros medios de transportes de pasajeros, como podrían ser barcazas, cruceros o buses interurbanos. La sola exclusión del transporte aéreo permite lo que para otros medios de transporte está prohibido, contando los primeros con una ventaja: poder generar sobrecupos en las ventas de pasajes aéreos, con lo que en definitiva aumentan los ingresos de la empresa, resultando perjudicados los consumidores que la misma aerolínea </w:t>
      </w:r>
      <w:r w:rsidR="000514B9">
        <w:rPr>
          <w:rFonts w:ascii="Palatino Linotype" w:hAnsi="Palatino Linotype" w:cstheme="minorHAnsi"/>
          <w:sz w:val="24"/>
          <w:szCs w:val="24"/>
        </w:rPr>
        <w:t>escoja según</w:t>
      </w:r>
      <w:r>
        <w:rPr>
          <w:rFonts w:ascii="Palatino Linotype" w:hAnsi="Palatino Linotype" w:cstheme="minorHAnsi"/>
          <w:sz w:val="24"/>
          <w:szCs w:val="24"/>
        </w:rPr>
        <w:t xml:space="preserve"> en sus procedimientos internos. </w:t>
      </w:r>
    </w:p>
    <w:p w14:paraId="2CD435F5" w14:textId="77777777" w:rsidR="006C5B7E" w:rsidRDefault="006C5B7E" w:rsidP="006C5B7E">
      <w:pPr>
        <w:spacing w:after="0" w:line="276" w:lineRule="auto"/>
        <w:jc w:val="both"/>
        <w:rPr>
          <w:rFonts w:ascii="Palatino Linotype" w:hAnsi="Palatino Linotype" w:cstheme="minorHAnsi"/>
          <w:sz w:val="24"/>
          <w:szCs w:val="24"/>
        </w:rPr>
      </w:pPr>
    </w:p>
    <w:p w14:paraId="38D948AB" w14:textId="10BCAB5D" w:rsidR="008D737D" w:rsidRDefault="006C5B7E" w:rsidP="006C5B7E">
      <w:pPr>
        <w:spacing w:after="0" w:line="276" w:lineRule="auto"/>
        <w:jc w:val="both"/>
        <w:rPr>
          <w:rFonts w:ascii="Palatino Linotype" w:hAnsi="Palatino Linotype" w:cstheme="minorHAnsi"/>
          <w:sz w:val="24"/>
          <w:szCs w:val="24"/>
        </w:rPr>
      </w:pPr>
      <w:r>
        <w:rPr>
          <w:rFonts w:ascii="Palatino Linotype" w:hAnsi="Palatino Linotype" w:cstheme="minorHAnsi"/>
          <w:sz w:val="24"/>
          <w:szCs w:val="24"/>
        </w:rPr>
        <w:t>Lo anterior reviste de gran relevancia ya que, con la venta</w:t>
      </w:r>
      <w:r w:rsidR="008D737D">
        <w:rPr>
          <w:rFonts w:ascii="Palatino Linotype" w:hAnsi="Palatino Linotype" w:cstheme="minorHAnsi"/>
          <w:sz w:val="24"/>
          <w:szCs w:val="24"/>
        </w:rPr>
        <w:t xml:space="preserve"> de pasajes por sobre la cantidad de asientos, existirá un sobrecupo de personas que no podrán viajar. La manera en que se determina quienes son los que no subirán al avión son inciertos: </w:t>
      </w:r>
      <w:r w:rsidR="008D737D">
        <w:rPr>
          <w:rFonts w:ascii="Palatino Linotype" w:hAnsi="Palatino Linotype" w:cstheme="minorHAnsi"/>
          <w:sz w:val="24"/>
          <w:szCs w:val="24"/>
        </w:rPr>
        <w:lastRenderedPageBreak/>
        <w:t>podrían ser los últimos en llegar al counter o a dejar las maletas para que sean guardados en bodega del avión, o quienes intenten realizar el check-in cuando no quedan más plazas disponibles</w:t>
      </w:r>
      <w:r w:rsidR="000514B9">
        <w:rPr>
          <w:rFonts w:ascii="Palatino Linotype" w:hAnsi="Palatino Linotype" w:cstheme="minorHAnsi"/>
          <w:sz w:val="24"/>
          <w:szCs w:val="24"/>
        </w:rPr>
        <w:t>, aún llegando a la hora señalada</w:t>
      </w:r>
      <w:r w:rsidR="008D737D">
        <w:rPr>
          <w:rFonts w:ascii="Palatino Linotype" w:hAnsi="Palatino Linotype" w:cstheme="minorHAnsi"/>
          <w:sz w:val="24"/>
          <w:szCs w:val="24"/>
        </w:rPr>
        <w:t xml:space="preserve">. Es más, existen casos en que, incluso si un pasajero compra un boleto con escasas horas de antelación, al momento de intentar embarcarse es dejado fuera del vuelo por no ser posible </w:t>
      </w:r>
      <w:r w:rsidR="00FB2855">
        <w:rPr>
          <w:rFonts w:ascii="Palatino Linotype" w:hAnsi="Palatino Linotype" w:cstheme="minorHAnsi"/>
          <w:sz w:val="24"/>
          <w:szCs w:val="24"/>
        </w:rPr>
        <w:t>realizar su check-in,</w:t>
      </w:r>
      <w:r w:rsidR="008D737D">
        <w:rPr>
          <w:rFonts w:ascii="Palatino Linotype" w:hAnsi="Palatino Linotype" w:cstheme="minorHAnsi"/>
          <w:sz w:val="24"/>
          <w:szCs w:val="24"/>
        </w:rPr>
        <w:t xml:space="preserve"> al encontrarse todos los asientos con pasajeros asignados. De esta forma, la situación adquiere ribetes de mala fe manifiesta, ya que incluso existiendo sistemas informáticos que permiten llevar un conteo actualizado de pasajeros, las empresas en cuestión venden pasajes más allá de sus capacidades.</w:t>
      </w:r>
    </w:p>
    <w:p w14:paraId="3C6873FC" w14:textId="77777777" w:rsidR="008D737D" w:rsidRDefault="008D737D" w:rsidP="006C5B7E">
      <w:pPr>
        <w:spacing w:after="0" w:line="276" w:lineRule="auto"/>
        <w:jc w:val="both"/>
        <w:rPr>
          <w:rFonts w:ascii="Palatino Linotype" w:hAnsi="Palatino Linotype" w:cstheme="minorHAnsi"/>
          <w:sz w:val="24"/>
          <w:szCs w:val="24"/>
        </w:rPr>
      </w:pPr>
    </w:p>
    <w:p w14:paraId="7D7A2D55" w14:textId="77777777" w:rsidR="00FB2855" w:rsidRDefault="008D737D" w:rsidP="006C5B7E">
      <w:pPr>
        <w:spacing w:after="0" w:line="276" w:lineRule="auto"/>
        <w:jc w:val="both"/>
        <w:rPr>
          <w:rFonts w:ascii="Palatino Linotype" w:hAnsi="Palatino Linotype" w:cstheme="minorHAnsi"/>
          <w:sz w:val="24"/>
          <w:szCs w:val="24"/>
        </w:rPr>
      </w:pPr>
      <w:r>
        <w:rPr>
          <w:rFonts w:ascii="Palatino Linotype" w:hAnsi="Palatino Linotype" w:cstheme="minorHAnsi"/>
          <w:sz w:val="24"/>
          <w:szCs w:val="24"/>
        </w:rPr>
        <w:t>Analizando el asunto desde otro punto de vista, cuando una empresa ofrece sus servicios requiere</w:t>
      </w:r>
      <w:r w:rsidR="00FB2855">
        <w:rPr>
          <w:rFonts w:ascii="Palatino Linotype" w:hAnsi="Palatino Linotype" w:cstheme="minorHAnsi"/>
          <w:sz w:val="24"/>
          <w:szCs w:val="24"/>
        </w:rPr>
        <w:t>, para subsistir,</w:t>
      </w:r>
      <w:r>
        <w:rPr>
          <w:rFonts w:ascii="Palatino Linotype" w:hAnsi="Palatino Linotype" w:cstheme="minorHAnsi"/>
          <w:sz w:val="24"/>
          <w:szCs w:val="24"/>
        </w:rPr>
        <w:t xml:space="preserve"> al menos financiar sus costos. Entendemos que, en el caso de los buses interurbanos, el precio de todos los boletos que se venden para un trayecto de un bus debe costear el gasto del mismo trayecto de ese bus</w:t>
      </w:r>
      <w:r w:rsidR="000514B9">
        <w:rPr>
          <w:rFonts w:ascii="Palatino Linotype" w:hAnsi="Palatino Linotype" w:cstheme="minorHAnsi"/>
          <w:sz w:val="24"/>
          <w:szCs w:val="24"/>
        </w:rPr>
        <w:t>, o al menos los ingresos que se generen en una vuelta o periodo completo deben costear los gastos de la misma vuelta o periodo completo.</w:t>
      </w:r>
      <w:r>
        <w:rPr>
          <w:rFonts w:ascii="Palatino Linotype" w:hAnsi="Palatino Linotype" w:cstheme="minorHAnsi"/>
          <w:sz w:val="24"/>
          <w:szCs w:val="24"/>
        </w:rPr>
        <w:t xml:space="preserve"> Atendidas las condiciones del boleto, es posible acordar que no se devolverá el importe pagado en caso </w:t>
      </w:r>
      <w:r w:rsidR="00FB2855">
        <w:rPr>
          <w:rFonts w:ascii="Palatino Linotype" w:hAnsi="Palatino Linotype" w:cstheme="minorHAnsi"/>
          <w:sz w:val="24"/>
          <w:szCs w:val="24"/>
        </w:rPr>
        <w:t xml:space="preserve">de que el pasajero no viaje y no de aviso de su inasistencia con </w:t>
      </w:r>
      <w:r>
        <w:rPr>
          <w:rFonts w:ascii="Palatino Linotype" w:hAnsi="Palatino Linotype" w:cstheme="minorHAnsi"/>
          <w:sz w:val="24"/>
          <w:szCs w:val="24"/>
        </w:rPr>
        <w:t xml:space="preserve">una antelación dada, </w:t>
      </w:r>
      <w:r w:rsidR="00FB2855">
        <w:rPr>
          <w:rFonts w:ascii="Palatino Linotype" w:hAnsi="Palatino Linotype" w:cstheme="minorHAnsi"/>
          <w:sz w:val="24"/>
          <w:szCs w:val="24"/>
        </w:rPr>
        <w:t>ya que la empresa perdió de vender dicho cupo a otra persona, encontrándose disponible para quien lo adquirió previamente y que tiene el derecho a utilizarlo</w:t>
      </w:r>
      <w:r>
        <w:rPr>
          <w:rFonts w:ascii="Palatino Linotype" w:hAnsi="Palatino Linotype" w:cstheme="minorHAnsi"/>
          <w:sz w:val="24"/>
          <w:szCs w:val="24"/>
        </w:rPr>
        <w:t>.</w:t>
      </w:r>
      <w:r w:rsidR="000514B9">
        <w:rPr>
          <w:rFonts w:ascii="Palatino Linotype" w:hAnsi="Palatino Linotype" w:cstheme="minorHAnsi"/>
          <w:sz w:val="24"/>
          <w:szCs w:val="24"/>
        </w:rPr>
        <w:t xml:space="preserve"> De esta forma, si un bus interurbano tiene un 100% de los pasajes vendidos para un trayecto pero ningún pasajero llega a embarcarse, el viaje o trayecto se encontrará igualmente financiado, no resultando en un perjuicio para la empresa. </w:t>
      </w:r>
    </w:p>
    <w:p w14:paraId="11CBC7BA" w14:textId="77777777" w:rsidR="00FB2855" w:rsidRDefault="00FB2855" w:rsidP="006C5B7E">
      <w:pPr>
        <w:spacing w:after="0" w:line="276" w:lineRule="auto"/>
        <w:jc w:val="both"/>
        <w:rPr>
          <w:rFonts w:ascii="Palatino Linotype" w:hAnsi="Palatino Linotype" w:cstheme="minorHAnsi"/>
          <w:sz w:val="24"/>
          <w:szCs w:val="24"/>
        </w:rPr>
      </w:pPr>
    </w:p>
    <w:p w14:paraId="5679C9DD" w14:textId="60DBF74D" w:rsidR="008D737D" w:rsidRDefault="000514B9" w:rsidP="006C5B7E">
      <w:pPr>
        <w:spacing w:after="0" w:line="276" w:lineRule="auto"/>
        <w:jc w:val="both"/>
        <w:rPr>
          <w:rFonts w:ascii="Palatino Linotype" w:hAnsi="Palatino Linotype" w:cstheme="minorHAnsi"/>
          <w:sz w:val="24"/>
          <w:szCs w:val="24"/>
        </w:rPr>
      </w:pPr>
      <w:r>
        <w:rPr>
          <w:rFonts w:ascii="Palatino Linotype" w:hAnsi="Palatino Linotype" w:cstheme="minorHAnsi"/>
          <w:sz w:val="24"/>
          <w:szCs w:val="24"/>
        </w:rPr>
        <w:t>Sin embargo, en el marco legal que rige a las aerolíneas, está permitido que, a pesar de haber pagado por el pasaje y no haber subido al avión, el asiento puede revenderse. Estamos frente a un caso en que se generan sobre</w:t>
      </w:r>
      <w:r w:rsidR="00FB2855">
        <w:rPr>
          <w:rFonts w:ascii="Palatino Linotype" w:hAnsi="Palatino Linotype" w:cstheme="minorHAnsi"/>
          <w:sz w:val="24"/>
          <w:szCs w:val="24"/>
        </w:rPr>
        <w:t>-</w:t>
      </w:r>
      <w:r>
        <w:rPr>
          <w:rFonts w:ascii="Palatino Linotype" w:hAnsi="Palatino Linotype" w:cstheme="minorHAnsi"/>
          <w:sz w:val="24"/>
          <w:szCs w:val="24"/>
        </w:rPr>
        <w:t>utilidades al vender dos veces el mismo servicio cuando solo es posible otorgarlo a un pasajero.</w:t>
      </w:r>
    </w:p>
    <w:p w14:paraId="4B9A6D9A" w14:textId="77777777" w:rsidR="000514B9" w:rsidRDefault="000514B9" w:rsidP="006C5B7E">
      <w:pPr>
        <w:spacing w:after="0" w:line="276" w:lineRule="auto"/>
        <w:jc w:val="both"/>
        <w:rPr>
          <w:rFonts w:ascii="Palatino Linotype" w:hAnsi="Palatino Linotype" w:cstheme="minorHAnsi"/>
          <w:sz w:val="24"/>
          <w:szCs w:val="24"/>
        </w:rPr>
      </w:pPr>
    </w:p>
    <w:p w14:paraId="636ECB7A" w14:textId="6008E155" w:rsidR="00ED0DA5" w:rsidRDefault="000514B9" w:rsidP="000514B9">
      <w:pPr>
        <w:spacing w:after="0" w:line="276" w:lineRule="auto"/>
        <w:jc w:val="both"/>
        <w:rPr>
          <w:rFonts w:ascii="Palatino Linotype" w:hAnsi="Palatino Linotype" w:cstheme="minorHAnsi"/>
          <w:sz w:val="24"/>
          <w:szCs w:val="24"/>
        </w:rPr>
      </w:pPr>
      <w:r>
        <w:rPr>
          <w:rFonts w:ascii="Palatino Linotype" w:hAnsi="Palatino Linotype" w:cstheme="minorHAnsi"/>
          <w:sz w:val="24"/>
          <w:szCs w:val="24"/>
        </w:rPr>
        <w:t xml:space="preserve">Haciendo el mismo análisis empresarial del párrafo anterior, pero continuando con las líneas aéreas, </w:t>
      </w:r>
      <w:r w:rsidRPr="000514B9">
        <w:rPr>
          <w:rFonts w:ascii="Palatino Linotype" w:hAnsi="Palatino Linotype" w:cstheme="minorHAnsi"/>
          <w:sz w:val="24"/>
          <w:szCs w:val="24"/>
        </w:rPr>
        <w:t xml:space="preserve">el precio de todos los boletos que se venden para un trayecto de </w:t>
      </w:r>
      <w:r w:rsidRPr="000514B9">
        <w:rPr>
          <w:rFonts w:ascii="Palatino Linotype" w:hAnsi="Palatino Linotype" w:cstheme="minorHAnsi"/>
          <w:sz w:val="24"/>
          <w:szCs w:val="24"/>
        </w:rPr>
        <w:lastRenderedPageBreak/>
        <w:t>un</w:t>
      </w:r>
      <w:r>
        <w:rPr>
          <w:rFonts w:ascii="Palatino Linotype" w:hAnsi="Palatino Linotype" w:cstheme="minorHAnsi"/>
          <w:sz w:val="24"/>
          <w:szCs w:val="24"/>
        </w:rPr>
        <w:t>a aeronave</w:t>
      </w:r>
      <w:r w:rsidRPr="000514B9">
        <w:rPr>
          <w:rFonts w:ascii="Palatino Linotype" w:hAnsi="Palatino Linotype" w:cstheme="minorHAnsi"/>
          <w:sz w:val="24"/>
          <w:szCs w:val="24"/>
        </w:rPr>
        <w:t xml:space="preserve"> debe costear el gasto del mismo trayecto de es</w:t>
      </w:r>
      <w:r>
        <w:rPr>
          <w:rFonts w:ascii="Palatino Linotype" w:hAnsi="Palatino Linotype" w:cstheme="minorHAnsi"/>
          <w:sz w:val="24"/>
          <w:szCs w:val="24"/>
        </w:rPr>
        <w:t xml:space="preserve">a aeronave, o al menos los ingresos que se generen en una vuelta o periodo completo deben costear los gastos de la misma vuelta o periodo completo. Sin embargo, al revenderse los pasajes, se genera pura utilidad </w:t>
      </w:r>
      <w:r w:rsidR="00FB2855">
        <w:rPr>
          <w:rFonts w:ascii="Palatino Linotype" w:hAnsi="Palatino Linotype" w:cstheme="minorHAnsi"/>
          <w:sz w:val="24"/>
          <w:szCs w:val="24"/>
        </w:rPr>
        <w:t xml:space="preserve">para la empresa </w:t>
      </w:r>
      <w:r>
        <w:rPr>
          <w:rFonts w:ascii="Palatino Linotype" w:hAnsi="Palatino Linotype" w:cstheme="minorHAnsi"/>
          <w:sz w:val="24"/>
          <w:szCs w:val="24"/>
        </w:rPr>
        <w:t>por un servicio que no se prestará, ya que el dinero que recibirá la aerolínea por estos pasajes no le irrogará costo variable alguno.</w:t>
      </w:r>
      <w:r w:rsidR="004A7F46">
        <w:rPr>
          <w:rFonts w:ascii="Palatino Linotype" w:hAnsi="Palatino Linotype" w:cstheme="minorHAnsi"/>
          <w:sz w:val="24"/>
          <w:szCs w:val="24"/>
        </w:rPr>
        <w:t xml:space="preserve"> De esta manera, si un avión tiene un 100% de los pasajes vendidos, debemos entender que la operación se encuentra financiada. Sin embargo, la venta de sobrecupos permite generar utilidades a costa de un consumidor</w:t>
      </w:r>
      <w:r w:rsidR="00FB2855">
        <w:rPr>
          <w:rFonts w:ascii="Palatino Linotype" w:hAnsi="Palatino Linotype" w:cstheme="minorHAnsi"/>
          <w:sz w:val="24"/>
          <w:szCs w:val="24"/>
        </w:rPr>
        <w:t>, el que</w:t>
      </w:r>
      <w:r w:rsidR="004A7F46">
        <w:rPr>
          <w:rFonts w:ascii="Palatino Linotype" w:hAnsi="Palatino Linotype" w:cstheme="minorHAnsi"/>
          <w:sz w:val="24"/>
          <w:szCs w:val="24"/>
        </w:rPr>
        <w:t xml:space="preserve"> no cuenta con toda la información </w:t>
      </w:r>
      <w:r w:rsidR="00FB2855">
        <w:rPr>
          <w:rFonts w:ascii="Palatino Linotype" w:hAnsi="Palatino Linotype" w:cstheme="minorHAnsi"/>
          <w:sz w:val="24"/>
          <w:szCs w:val="24"/>
        </w:rPr>
        <w:t xml:space="preserve">de compra y venta </w:t>
      </w:r>
      <w:r w:rsidR="004A7F46">
        <w:rPr>
          <w:rFonts w:ascii="Palatino Linotype" w:hAnsi="Palatino Linotype" w:cstheme="minorHAnsi"/>
          <w:sz w:val="24"/>
          <w:szCs w:val="24"/>
        </w:rPr>
        <w:t>que si tiene el vendedor,</w:t>
      </w:r>
      <w:r w:rsidR="00FB2855">
        <w:rPr>
          <w:rFonts w:ascii="Palatino Linotype" w:hAnsi="Palatino Linotype" w:cstheme="minorHAnsi"/>
          <w:sz w:val="24"/>
          <w:szCs w:val="24"/>
        </w:rPr>
        <w:t xml:space="preserve"> quien genera sobrecupos y obtiene mayores utilidades sin decirle al pasajero que por el importe pagado no tiene un asiento asegurado en el avión.</w:t>
      </w:r>
      <w:r w:rsidR="004A7F46">
        <w:rPr>
          <w:rFonts w:ascii="Palatino Linotype" w:hAnsi="Palatino Linotype" w:cstheme="minorHAnsi"/>
          <w:sz w:val="24"/>
          <w:szCs w:val="24"/>
        </w:rPr>
        <w:t xml:space="preserve"> </w:t>
      </w:r>
    </w:p>
    <w:p w14:paraId="122C8A74" w14:textId="77777777" w:rsidR="000514B9" w:rsidRDefault="000514B9" w:rsidP="000514B9">
      <w:pPr>
        <w:spacing w:after="0" w:line="276" w:lineRule="auto"/>
        <w:jc w:val="both"/>
        <w:rPr>
          <w:rFonts w:ascii="Palatino Linotype" w:hAnsi="Palatino Linotype" w:cstheme="minorHAnsi"/>
          <w:sz w:val="24"/>
          <w:szCs w:val="24"/>
        </w:rPr>
      </w:pPr>
    </w:p>
    <w:p w14:paraId="25218DE4" w14:textId="5F99D98C" w:rsidR="0006726F" w:rsidRDefault="0006726F" w:rsidP="000514B9">
      <w:pPr>
        <w:spacing w:after="0" w:line="276" w:lineRule="auto"/>
        <w:jc w:val="both"/>
        <w:rPr>
          <w:rFonts w:ascii="Palatino Linotype" w:hAnsi="Palatino Linotype" w:cstheme="minorHAnsi"/>
          <w:sz w:val="24"/>
          <w:szCs w:val="24"/>
        </w:rPr>
      </w:pPr>
      <w:r>
        <w:rPr>
          <w:rFonts w:ascii="Palatino Linotype" w:hAnsi="Palatino Linotype" w:cstheme="minorHAnsi"/>
          <w:sz w:val="24"/>
          <w:szCs w:val="24"/>
        </w:rPr>
        <w:t xml:space="preserve">Por otra parte, y como segundo problema que se presenta -principalmente en el caso de venta de pasajes de líneas aéreas-, nos encontramos con que los pasajes o trayectos son considerados como un todo, condicionando al pasajero el poder viajar en los distintos tramos contratados </w:t>
      </w:r>
      <w:r w:rsidR="00FB2855">
        <w:rPr>
          <w:rFonts w:ascii="Palatino Linotype" w:hAnsi="Palatino Linotype" w:cstheme="minorHAnsi"/>
          <w:sz w:val="24"/>
          <w:szCs w:val="24"/>
        </w:rPr>
        <w:t xml:space="preserve">en una única vez </w:t>
      </w:r>
      <w:r>
        <w:rPr>
          <w:rFonts w:ascii="Palatino Linotype" w:hAnsi="Palatino Linotype" w:cstheme="minorHAnsi"/>
          <w:sz w:val="24"/>
          <w:szCs w:val="24"/>
        </w:rPr>
        <w:t>al uso de los pasajes en los trayectos anteriores.</w:t>
      </w:r>
      <w:r w:rsidR="00FB2855">
        <w:rPr>
          <w:rFonts w:ascii="Palatino Linotype" w:hAnsi="Palatino Linotype" w:cstheme="minorHAnsi"/>
          <w:sz w:val="24"/>
          <w:szCs w:val="24"/>
        </w:rPr>
        <w:t xml:space="preserve"> </w:t>
      </w:r>
      <w:r>
        <w:rPr>
          <w:rFonts w:ascii="Palatino Linotype" w:hAnsi="Palatino Linotype" w:cstheme="minorHAnsi"/>
          <w:sz w:val="24"/>
          <w:szCs w:val="24"/>
        </w:rPr>
        <w:t xml:space="preserve">A modo de ejemplo, si una persona compra un pasaje </w:t>
      </w:r>
      <w:r w:rsidR="00FB2855">
        <w:rPr>
          <w:rFonts w:ascii="Palatino Linotype" w:hAnsi="Palatino Linotype" w:cstheme="minorHAnsi"/>
          <w:sz w:val="24"/>
          <w:szCs w:val="24"/>
        </w:rPr>
        <w:t>de</w:t>
      </w:r>
      <w:r>
        <w:rPr>
          <w:rFonts w:ascii="Palatino Linotype" w:hAnsi="Palatino Linotype" w:cstheme="minorHAnsi"/>
          <w:sz w:val="24"/>
          <w:szCs w:val="24"/>
        </w:rPr>
        <w:t xml:space="preserve"> ida y vuelta solo podrá utilizar el pasaje de vuelta si es que previamente viajó utilizando el pasaje de ida</w:t>
      </w:r>
      <w:r w:rsidR="00FB2855">
        <w:rPr>
          <w:rFonts w:ascii="Palatino Linotype" w:hAnsi="Palatino Linotype" w:cstheme="minorHAnsi"/>
          <w:sz w:val="24"/>
          <w:szCs w:val="24"/>
        </w:rPr>
        <w:t xml:space="preserve">. </w:t>
      </w:r>
      <w:r w:rsidR="00233B63">
        <w:rPr>
          <w:rFonts w:ascii="Palatino Linotype" w:hAnsi="Palatino Linotype" w:cstheme="minorHAnsi"/>
          <w:sz w:val="24"/>
          <w:szCs w:val="24"/>
        </w:rPr>
        <w:t xml:space="preserve">En el caso planteado, si bien se cancela la posibilidad de utilizar el pasaje de vuelta, no existe reembolso alguno para el pasajero. El caso se agrava aún más en caso de encontrarnos frente a compras de tickets con trayectos múltiples. </w:t>
      </w:r>
    </w:p>
    <w:p w14:paraId="12C06EC3" w14:textId="77777777" w:rsidR="0006726F" w:rsidRDefault="0006726F" w:rsidP="000514B9">
      <w:pPr>
        <w:spacing w:after="0" w:line="276" w:lineRule="auto"/>
        <w:jc w:val="both"/>
        <w:rPr>
          <w:rFonts w:ascii="Palatino Linotype" w:hAnsi="Palatino Linotype" w:cstheme="minorHAnsi"/>
          <w:sz w:val="24"/>
          <w:szCs w:val="24"/>
        </w:rPr>
      </w:pPr>
    </w:p>
    <w:p w14:paraId="0E4EF31C" w14:textId="1ECB1D30" w:rsidR="0006726F" w:rsidRDefault="0006726F" w:rsidP="000514B9">
      <w:pPr>
        <w:spacing w:after="0" w:line="276" w:lineRule="auto"/>
        <w:jc w:val="both"/>
        <w:rPr>
          <w:rFonts w:ascii="Palatino Linotype" w:hAnsi="Palatino Linotype" w:cstheme="minorHAnsi"/>
          <w:sz w:val="24"/>
          <w:szCs w:val="24"/>
        </w:rPr>
      </w:pPr>
      <w:r>
        <w:rPr>
          <w:rFonts w:ascii="Palatino Linotype" w:hAnsi="Palatino Linotype" w:cstheme="minorHAnsi"/>
          <w:sz w:val="24"/>
          <w:szCs w:val="24"/>
        </w:rPr>
        <w:t xml:space="preserve">La condicionante anterior resulta en la actualidad totalmente desproporcionada. Decimos lo anterior ya que </w:t>
      </w:r>
      <w:r w:rsidR="00233B63">
        <w:rPr>
          <w:rFonts w:ascii="Palatino Linotype" w:hAnsi="Palatino Linotype" w:cstheme="minorHAnsi"/>
          <w:sz w:val="24"/>
          <w:szCs w:val="24"/>
        </w:rPr>
        <w:t>es posible</w:t>
      </w:r>
      <w:r>
        <w:rPr>
          <w:rFonts w:ascii="Palatino Linotype" w:hAnsi="Palatino Linotype" w:cstheme="minorHAnsi"/>
          <w:sz w:val="24"/>
          <w:szCs w:val="24"/>
        </w:rPr>
        <w:t xml:space="preserve"> que una persona pueda viajar de ida a la ciudad de destino mediante otro pasaje o encontrarse en dicha ciudad al momento de realizar el viaje de vuelta y querer hacerlo.</w:t>
      </w:r>
      <w:r w:rsidR="00233B63">
        <w:rPr>
          <w:rFonts w:ascii="Palatino Linotype" w:hAnsi="Palatino Linotype" w:cstheme="minorHAnsi"/>
          <w:sz w:val="24"/>
          <w:szCs w:val="24"/>
        </w:rPr>
        <w:t xml:space="preserve"> Incluso más, sin importar la justificante y sin tener que demostrar circunstancia alguna, el pasaje de retorno se encuentra pagado y </w:t>
      </w:r>
      <w:r w:rsidR="00CF2A00">
        <w:rPr>
          <w:rFonts w:ascii="Palatino Linotype" w:hAnsi="Palatino Linotype" w:cstheme="minorHAnsi"/>
          <w:sz w:val="24"/>
          <w:szCs w:val="24"/>
        </w:rPr>
        <w:t xml:space="preserve">dicha situación </w:t>
      </w:r>
      <w:r w:rsidR="00233B63">
        <w:rPr>
          <w:rFonts w:ascii="Palatino Linotype" w:hAnsi="Palatino Linotype" w:cstheme="minorHAnsi"/>
          <w:sz w:val="24"/>
          <w:szCs w:val="24"/>
        </w:rPr>
        <w:t>debería ser respetad</w:t>
      </w:r>
      <w:r w:rsidR="00CF2A00">
        <w:rPr>
          <w:rFonts w:ascii="Palatino Linotype" w:hAnsi="Palatino Linotype" w:cstheme="minorHAnsi"/>
          <w:sz w:val="24"/>
          <w:szCs w:val="24"/>
        </w:rPr>
        <w:t>a</w:t>
      </w:r>
      <w:r w:rsidR="00233B63">
        <w:rPr>
          <w:rFonts w:ascii="Palatino Linotype" w:hAnsi="Palatino Linotype" w:cstheme="minorHAnsi"/>
          <w:sz w:val="24"/>
          <w:szCs w:val="24"/>
        </w:rPr>
        <w:t xml:space="preserve"> por la línea aérea, al existir un derecho adquirido por parte del pasajero.</w:t>
      </w:r>
    </w:p>
    <w:p w14:paraId="2089176F" w14:textId="77777777" w:rsidR="006C49B8" w:rsidRDefault="006C49B8" w:rsidP="000514B9">
      <w:pPr>
        <w:spacing w:after="0" w:line="276" w:lineRule="auto"/>
        <w:jc w:val="both"/>
        <w:rPr>
          <w:rFonts w:ascii="Palatino Linotype" w:hAnsi="Palatino Linotype" w:cstheme="minorHAnsi"/>
          <w:sz w:val="24"/>
          <w:szCs w:val="24"/>
        </w:rPr>
      </w:pPr>
    </w:p>
    <w:p w14:paraId="3BA7A7C8" w14:textId="77777777" w:rsidR="006C49B8" w:rsidRPr="00E73005" w:rsidRDefault="006C49B8" w:rsidP="000514B9">
      <w:pPr>
        <w:spacing w:after="0" w:line="276" w:lineRule="auto"/>
        <w:jc w:val="both"/>
        <w:rPr>
          <w:rFonts w:ascii="Palatino Linotype" w:hAnsi="Palatino Linotype" w:cstheme="minorHAnsi"/>
          <w:sz w:val="24"/>
          <w:szCs w:val="24"/>
        </w:rPr>
      </w:pPr>
    </w:p>
    <w:p w14:paraId="5F1E60D5" w14:textId="4375AA29" w:rsidR="008E0D40" w:rsidRPr="00E73005" w:rsidRDefault="008E0D40" w:rsidP="00821325">
      <w:pPr>
        <w:pStyle w:val="Prrafodelista"/>
        <w:spacing w:after="0" w:line="276" w:lineRule="auto"/>
        <w:ind w:left="2880"/>
        <w:jc w:val="both"/>
        <w:rPr>
          <w:rFonts w:ascii="Palatino Linotype" w:hAnsi="Palatino Linotype" w:cstheme="minorHAnsi"/>
          <w:sz w:val="24"/>
          <w:szCs w:val="24"/>
        </w:rPr>
      </w:pPr>
    </w:p>
    <w:p w14:paraId="7BE5E079" w14:textId="09E90503" w:rsidR="00385FF9" w:rsidRPr="00E73005" w:rsidRDefault="009A561B" w:rsidP="00821325">
      <w:pPr>
        <w:pStyle w:val="Prrafodelista"/>
        <w:numPr>
          <w:ilvl w:val="0"/>
          <w:numId w:val="8"/>
        </w:numPr>
        <w:spacing w:after="0" w:line="276" w:lineRule="auto"/>
        <w:jc w:val="both"/>
        <w:rPr>
          <w:rFonts w:ascii="Palatino Linotype" w:hAnsi="Palatino Linotype" w:cstheme="minorHAnsi"/>
          <w:b/>
          <w:bCs/>
          <w:sz w:val="24"/>
          <w:szCs w:val="24"/>
        </w:rPr>
      </w:pPr>
      <w:r w:rsidRPr="00E73005">
        <w:rPr>
          <w:rFonts w:ascii="Palatino Linotype" w:hAnsi="Palatino Linotype" w:cstheme="minorHAnsi"/>
          <w:b/>
          <w:bCs/>
          <w:sz w:val="24"/>
          <w:szCs w:val="24"/>
        </w:rPr>
        <w:t>I</w:t>
      </w:r>
      <w:r w:rsidR="00E73005" w:rsidRPr="00E73005">
        <w:rPr>
          <w:rFonts w:ascii="Palatino Linotype" w:hAnsi="Palatino Linotype" w:cstheme="minorHAnsi"/>
          <w:b/>
          <w:bCs/>
          <w:sz w:val="24"/>
          <w:szCs w:val="24"/>
        </w:rPr>
        <w:t>dea matriz</w:t>
      </w:r>
    </w:p>
    <w:p w14:paraId="18BDD63F" w14:textId="77777777" w:rsidR="00E73005" w:rsidRPr="00E73005" w:rsidRDefault="00E73005" w:rsidP="00821325">
      <w:pPr>
        <w:spacing w:after="0" w:line="276" w:lineRule="auto"/>
        <w:jc w:val="both"/>
        <w:rPr>
          <w:rFonts w:ascii="Palatino Linotype" w:hAnsi="Palatino Linotype" w:cstheme="minorHAnsi"/>
          <w:sz w:val="24"/>
          <w:szCs w:val="24"/>
        </w:rPr>
      </w:pPr>
    </w:p>
    <w:p w14:paraId="0F3B7E80" w14:textId="1F39434C" w:rsidR="006C49B8" w:rsidRDefault="004A7F46" w:rsidP="00F81C66">
      <w:pPr>
        <w:spacing w:after="0" w:line="276" w:lineRule="auto"/>
        <w:ind w:firstLine="360"/>
        <w:jc w:val="both"/>
        <w:rPr>
          <w:rFonts w:ascii="Palatino Linotype" w:hAnsi="Palatino Linotype" w:cstheme="minorHAnsi"/>
          <w:sz w:val="24"/>
          <w:szCs w:val="24"/>
        </w:rPr>
      </w:pPr>
      <w:r>
        <w:rPr>
          <w:rFonts w:ascii="Palatino Linotype" w:hAnsi="Palatino Linotype" w:cstheme="minorHAnsi"/>
          <w:sz w:val="24"/>
          <w:szCs w:val="24"/>
        </w:rPr>
        <w:t>Equiparar las condiciones de venta de sobrecupos en los servicios de transporte de pasajeros, eliminando excepciones</w:t>
      </w:r>
      <w:r w:rsidR="00F81C66">
        <w:rPr>
          <w:rFonts w:ascii="Palatino Linotype" w:hAnsi="Palatino Linotype" w:cstheme="minorHAnsi"/>
          <w:sz w:val="24"/>
          <w:szCs w:val="24"/>
        </w:rPr>
        <w:t>, y establecer nuevos derechos del consumidor en la compraventa y uso de servicios de transporte aéreo de pasajeros.</w:t>
      </w:r>
    </w:p>
    <w:p w14:paraId="2E94864A" w14:textId="77777777" w:rsidR="00F81C66" w:rsidRPr="00E73005" w:rsidRDefault="00F81C66" w:rsidP="00821325">
      <w:pPr>
        <w:spacing w:after="0" w:line="276" w:lineRule="auto"/>
        <w:ind w:firstLine="360"/>
        <w:jc w:val="both"/>
        <w:rPr>
          <w:rFonts w:ascii="Palatino Linotype" w:hAnsi="Palatino Linotype" w:cstheme="minorHAnsi"/>
          <w:sz w:val="24"/>
          <w:szCs w:val="24"/>
        </w:rPr>
      </w:pPr>
    </w:p>
    <w:p w14:paraId="447DB260" w14:textId="77777777" w:rsidR="00BB1678" w:rsidRPr="00E73005" w:rsidRDefault="00BB1678" w:rsidP="00821325">
      <w:pPr>
        <w:spacing w:after="0" w:line="276" w:lineRule="auto"/>
        <w:jc w:val="both"/>
        <w:rPr>
          <w:rFonts w:ascii="Palatino Linotype" w:hAnsi="Palatino Linotype" w:cstheme="minorHAnsi"/>
          <w:sz w:val="24"/>
          <w:szCs w:val="24"/>
        </w:rPr>
      </w:pPr>
    </w:p>
    <w:p w14:paraId="3E48530B" w14:textId="44A2605C" w:rsidR="009B62B9" w:rsidRPr="00E73005" w:rsidRDefault="009B62B9" w:rsidP="00821325">
      <w:pPr>
        <w:pStyle w:val="Prrafodelista"/>
        <w:numPr>
          <w:ilvl w:val="0"/>
          <w:numId w:val="8"/>
        </w:numPr>
        <w:spacing w:after="0" w:line="276" w:lineRule="auto"/>
        <w:jc w:val="both"/>
        <w:rPr>
          <w:rFonts w:ascii="Palatino Linotype" w:hAnsi="Palatino Linotype" w:cstheme="minorHAnsi"/>
          <w:b/>
          <w:bCs/>
          <w:sz w:val="24"/>
          <w:szCs w:val="24"/>
        </w:rPr>
      </w:pPr>
      <w:r w:rsidRPr="00E73005">
        <w:rPr>
          <w:rFonts w:ascii="Palatino Linotype" w:hAnsi="Palatino Linotype" w:cstheme="minorHAnsi"/>
          <w:b/>
          <w:bCs/>
          <w:sz w:val="24"/>
          <w:szCs w:val="24"/>
        </w:rPr>
        <w:t>P</w:t>
      </w:r>
      <w:r w:rsidR="00E73005" w:rsidRPr="00E73005">
        <w:rPr>
          <w:rFonts w:ascii="Palatino Linotype" w:hAnsi="Palatino Linotype" w:cstheme="minorHAnsi"/>
          <w:b/>
          <w:bCs/>
          <w:sz w:val="24"/>
          <w:szCs w:val="24"/>
        </w:rPr>
        <w:t>royecto de ley</w:t>
      </w:r>
    </w:p>
    <w:p w14:paraId="652D7E6A" w14:textId="77777777" w:rsidR="00E73005" w:rsidRPr="00E73005" w:rsidRDefault="00E73005" w:rsidP="00821325">
      <w:pPr>
        <w:spacing w:after="0" w:line="276" w:lineRule="auto"/>
        <w:jc w:val="both"/>
        <w:rPr>
          <w:rFonts w:ascii="Palatino Linotype" w:hAnsi="Palatino Linotype" w:cstheme="minorHAnsi"/>
          <w:sz w:val="24"/>
          <w:szCs w:val="24"/>
        </w:rPr>
      </w:pPr>
    </w:p>
    <w:p w14:paraId="4893B578" w14:textId="04B468F9" w:rsidR="002A13F7" w:rsidRDefault="003A2BAD" w:rsidP="004A7F46">
      <w:pPr>
        <w:spacing w:after="0" w:line="276" w:lineRule="auto"/>
        <w:jc w:val="both"/>
        <w:rPr>
          <w:rFonts w:ascii="Palatino Linotype" w:hAnsi="Palatino Linotype" w:cstheme="minorHAnsi"/>
          <w:sz w:val="24"/>
          <w:szCs w:val="24"/>
        </w:rPr>
      </w:pPr>
      <w:r w:rsidRPr="00E73005">
        <w:rPr>
          <w:rFonts w:ascii="Palatino Linotype" w:hAnsi="Palatino Linotype" w:cstheme="minorHAnsi"/>
          <w:sz w:val="24"/>
          <w:szCs w:val="24"/>
        </w:rPr>
        <w:t xml:space="preserve">Artículo </w:t>
      </w:r>
      <w:r w:rsidR="00F81C66">
        <w:rPr>
          <w:rFonts w:ascii="Palatino Linotype" w:hAnsi="Palatino Linotype" w:cstheme="minorHAnsi"/>
          <w:sz w:val="24"/>
          <w:szCs w:val="24"/>
        </w:rPr>
        <w:t>Primero</w:t>
      </w:r>
      <w:r w:rsidR="00E73005" w:rsidRPr="00E73005">
        <w:rPr>
          <w:rFonts w:ascii="Palatino Linotype" w:hAnsi="Palatino Linotype" w:cstheme="minorHAnsi"/>
          <w:sz w:val="24"/>
          <w:szCs w:val="24"/>
        </w:rPr>
        <w:t>.-</w:t>
      </w:r>
      <w:r w:rsidRPr="00E73005">
        <w:rPr>
          <w:rFonts w:ascii="Palatino Linotype" w:hAnsi="Palatino Linotype" w:cstheme="minorHAnsi"/>
          <w:sz w:val="24"/>
          <w:szCs w:val="24"/>
        </w:rPr>
        <w:t xml:space="preserve"> </w:t>
      </w:r>
      <w:r w:rsidR="004A7F46">
        <w:rPr>
          <w:rFonts w:ascii="Palatino Linotype" w:hAnsi="Palatino Linotype" w:cstheme="minorHAnsi"/>
          <w:sz w:val="24"/>
          <w:szCs w:val="24"/>
        </w:rPr>
        <w:t xml:space="preserve">Elimínese del artículo 23 inciso segundo </w:t>
      </w:r>
      <w:r w:rsidR="004A7F46" w:rsidRPr="006C5B7E">
        <w:rPr>
          <w:rFonts w:ascii="Palatino Linotype" w:hAnsi="Palatino Linotype" w:cstheme="minorHAnsi"/>
          <w:sz w:val="24"/>
          <w:szCs w:val="24"/>
        </w:rPr>
        <w:t>del DFL 3 de 2019, del Ministerio de Economía, Fomento y Turismo, que fija el texto refundido, coordinado y sistematizado de la Ley N°19.496, que establece normas sobre protección de los derechos de los consumidores</w:t>
      </w:r>
      <w:r w:rsidR="004A7F46">
        <w:rPr>
          <w:rFonts w:ascii="Palatino Linotype" w:hAnsi="Palatino Linotype" w:cstheme="minorHAnsi"/>
          <w:sz w:val="24"/>
          <w:szCs w:val="24"/>
        </w:rPr>
        <w:t xml:space="preserve">, la frase </w:t>
      </w:r>
      <w:r w:rsidR="004A7F46" w:rsidRPr="00CF2A00">
        <w:rPr>
          <w:rFonts w:ascii="Palatino Linotype" w:hAnsi="Palatino Linotype" w:cstheme="minorHAnsi"/>
          <w:i/>
          <w:iCs/>
          <w:sz w:val="24"/>
          <w:szCs w:val="24"/>
        </w:rPr>
        <w:t>“con excepción del transporte aéreo”,</w:t>
      </w:r>
      <w:r w:rsidR="004A7F46">
        <w:rPr>
          <w:rFonts w:ascii="Palatino Linotype" w:hAnsi="Palatino Linotype" w:cstheme="minorHAnsi"/>
          <w:sz w:val="24"/>
          <w:szCs w:val="24"/>
        </w:rPr>
        <w:t xml:space="preserve"> pasando la última coma a ser punto aparte. </w:t>
      </w:r>
    </w:p>
    <w:p w14:paraId="61193A11" w14:textId="77777777" w:rsidR="00F81C66" w:rsidRDefault="00F81C66" w:rsidP="004A7F46">
      <w:pPr>
        <w:spacing w:after="0" w:line="276" w:lineRule="auto"/>
        <w:jc w:val="both"/>
        <w:rPr>
          <w:rFonts w:ascii="Palatino Linotype" w:hAnsi="Palatino Linotype" w:cstheme="minorHAnsi"/>
          <w:sz w:val="24"/>
          <w:szCs w:val="24"/>
        </w:rPr>
      </w:pPr>
    </w:p>
    <w:p w14:paraId="5DB468BE" w14:textId="1194FBFA" w:rsidR="00F81C66" w:rsidRDefault="00F81C66" w:rsidP="004A7F46">
      <w:pPr>
        <w:spacing w:after="0" w:line="276" w:lineRule="auto"/>
        <w:jc w:val="both"/>
        <w:rPr>
          <w:rFonts w:ascii="Palatino Linotype" w:hAnsi="Palatino Linotype" w:cstheme="minorHAnsi"/>
          <w:sz w:val="24"/>
          <w:szCs w:val="24"/>
        </w:rPr>
      </w:pPr>
      <w:r>
        <w:rPr>
          <w:rFonts w:ascii="Palatino Linotype" w:hAnsi="Palatino Linotype" w:cstheme="minorHAnsi"/>
          <w:sz w:val="24"/>
          <w:szCs w:val="24"/>
        </w:rPr>
        <w:t xml:space="preserve">Artículo Segundo.- Agréguese el siguiente inciso tercero al artículo 23 </w:t>
      </w:r>
      <w:r w:rsidRPr="006C5B7E">
        <w:rPr>
          <w:rFonts w:ascii="Palatino Linotype" w:hAnsi="Palatino Linotype" w:cstheme="minorHAnsi"/>
          <w:sz w:val="24"/>
          <w:szCs w:val="24"/>
        </w:rPr>
        <w:t>del DFL 3 de 2019, del Ministerio de Economía, Fomento y Turismo, que fija el texto refundido, coordinado y sistematizado de la Ley N°19.496, que establece normas sobre protección de los derechos de los consumidores</w:t>
      </w:r>
      <w:r>
        <w:rPr>
          <w:rFonts w:ascii="Palatino Linotype" w:hAnsi="Palatino Linotype" w:cstheme="minorHAnsi"/>
          <w:sz w:val="24"/>
          <w:szCs w:val="24"/>
        </w:rPr>
        <w:t>:</w:t>
      </w:r>
    </w:p>
    <w:p w14:paraId="01706C48" w14:textId="77777777" w:rsidR="00F81C66" w:rsidRDefault="00F81C66" w:rsidP="004A7F46">
      <w:pPr>
        <w:spacing w:after="0" w:line="276" w:lineRule="auto"/>
        <w:jc w:val="both"/>
        <w:rPr>
          <w:rFonts w:ascii="Palatino Linotype" w:hAnsi="Palatino Linotype" w:cstheme="minorHAnsi"/>
          <w:sz w:val="24"/>
          <w:szCs w:val="24"/>
        </w:rPr>
      </w:pPr>
    </w:p>
    <w:p w14:paraId="249E0921" w14:textId="1532C27D" w:rsidR="00F81C66" w:rsidRPr="00F81C66" w:rsidRDefault="00F81C66" w:rsidP="00F81C66">
      <w:pPr>
        <w:spacing w:after="0" w:line="276" w:lineRule="auto"/>
        <w:ind w:left="708" w:firstLine="2"/>
        <w:jc w:val="both"/>
        <w:rPr>
          <w:i/>
          <w:iCs/>
        </w:rPr>
      </w:pPr>
      <w:r w:rsidRPr="00F81C66">
        <w:rPr>
          <w:rFonts w:ascii="Palatino Linotype" w:hAnsi="Palatino Linotype" w:cstheme="minorHAnsi"/>
          <w:i/>
          <w:iCs/>
          <w:sz w:val="24"/>
          <w:szCs w:val="24"/>
        </w:rPr>
        <w:t xml:space="preserve">“La misma sanción expresada en el inciso anterior se aplicará a aquellas empresas de servicio de transporte de pasajeros que cancelen o impidan utilizar un pasaje con motivo de que el pasajero no haya realizado algún trayecto anterior”. </w:t>
      </w:r>
    </w:p>
    <w:p w14:paraId="4C8EDB76" w14:textId="10C2C1DC" w:rsidR="002A13F7" w:rsidRDefault="002A13F7" w:rsidP="002A13F7">
      <w:pPr>
        <w:spacing w:after="0" w:line="276" w:lineRule="auto"/>
        <w:jc w:val="both"/>
        <w:rPr>
          <w:b/>
          <w:bCs/>
        </w:rPr>
      </w:pPr>
    </w:p>
    <w:p w14:paraId="1A93DAE8" w14:textId="77777777" w:rsidR="009957F0" w:rsidRPr="00503F79" w:rsidRDefault="009957F0" w:rsidP="002A13F7">
      <w:pPr>
        <w:spacing w:after="0" w:line="276" w:lineRule="auto"/>
        <w:jc w:val="both"/>
        <w:rPr>
          <w:b/>
          <w:bCs/>
        </w:rPr>
      </w:pPr>
    </w:p>
    <w:p w14:paraId="65A5A5F1" w14:textId="77777777" w:rsidR="002A13F7" w:rsidRPr="00503F79" w:rsidRDefault="002A13F7" w:rsidP="002A13F7">
      <w:pPr>
        <w:spacing w:after="0" w:line="276" w:lineRule="auto"/>
        <w:jc w:val="center"/>
        <w:rPr>
          <w:rFonts w:ascii="Palatino Linotype" w:hAnsi="Palatino Linotype"/>
          <w:b/>
          <w:bCs/>
          <w:sz w:val="24"/>
          <w:szCs w:val="24"/>
        </w:rPr>
      </w:pPr>
      <w:r w:rsidRPr="00503F79">
        <w:rPr>
          <w:rFonts w:ascii="Palatino Linotype" w:hAnsi="Palatino Linotype"/>
          <w:b/>
          <w:bCs/>
          <w:sz w:val="24"/>
          <w:szCs w:val="24"/>
        </w:rPr>
        <w:t>C</w:t>
      </w:r>
      <w:r w:rsidRPr="00503F79">
        <w:rPr>
          <w:rFonts w:ascii="Palatino Linotype" w:hAnsi="Palatino Linotype" w:cs="Times New Roman"/>
          <w:b/>
          <w:bCs/>
          <w:smallCaps/>
          <w:sz w:val="24"/>
          <w:szCs w:val="24"/>
        </w:rPr>
        <w:t>hristian Matheson Villán</w:t>
      </w:r>
    </w:p>
    <w:p w14:paraId="1EDBF73A" w14:textId="77777777" w:rsidR="002A13F7" w:rsidRPr="00503F79" w:rsidRDefault="002A13F7" w:rsidP="002A13F7">
      <w:pPr>
        <w:spacing w:after="0" w:line="276" w:lineRule="auto"/>
        <w:jc w:val="center"/>
        <w:rPr>
          <w:rFonts w:ascii="Palatino Linotype" w:hAnsi="Palatino Linotype" w:cs="Times New Roman"/>
          <w:i/>
          <w:iCs/>
          <w:sz w:val="24"/>
          <w:szCs w:val="24"/>
        </w:rPr>
      </w:pPr>
      <w:r w:rsidRPr="00503F79">
        <w:rPr>
          <w:rFonts w:ascii="Palatino Linotype" w:hAnsi="Palatino Linotype" w:cs="Times New Roman"/>
          <w:sz w:val="24"/>
          <w:szCs w:val="24"/>
        </w:rPr>
        <w:t>H. Diputado de la República</w:t>
      </w:r>
      <w:r w:rsidRPr="00503F79">
        <w:rPr>
          <w:rFonts w:ascii="Palatino Linotype" w:hAnsi="Palatino Linotype" w:cs="Times New Roman"/>
          <w:i/>
          <w:iCs/>
          <w:sz w:val="24"/>
          <w:szCs w:val="24"/>
        </w:rPr>
        <w:t>.</w:t>
      </w:r>
    </w:p>
    <w:p w14:paraId="71698C1D" w14:textId="2BDDBD89" w:rsidR="00821325" w:rsidRPr="00821325" w:rsidRDefault="00821325" w:rsidP="00821325"/>
    <w:sectPr w:rsidR="00821325" w:rsidRPr="0082132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9A463" w14:textId="77777777" w:rsidR="00127EC2" w:rsidRDefault="00127EC2" w:rsidP="00741AAF">
      <w:pPr>
        <w:spacing w:after="0" w:line="240" w:lineRule="auto"/>
      </w:pPr>
      <w:r>
        <w:separator/>
      </w:r>
    </w:p>
  </w:endnote>
  <w:endnote w:type="continuationSeparator" w:id="0">
    <w:p w14:paraId="09B77882" w14:textId="77777777" w:rsidR="00127EC2" w:rsidRDefault="00127EC2" w:rsidP="0074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C6F05" w14:textId="77777777" w:rsidR="002A13F7" w:rsidRPr="002A13F7" w:rsidRDefault="002A13F7">
    <w:pPr>
      <w:pStyle w:val="Piedepgina"/>
      <w:jc w:val="center"/>
      <w:rPr>
        <w:rFonts w:ascii="Palatino Linotype" w:hAnsi="Palatino Linotype"/>
        <w:caps/>
      </w:rPr>
    </w:pPr>
    <w:r w:rsidRPr="002A13F7">
      <w:rPr>
        <w:rFonts w:ascii="Palatino Linotype" w:hAnsi="Palatino Linotype"/>
        <w:caps/>
      </w:rPr>
      <w:fldChar w:fldCharType="begin"/>
    </w:r>
    <w:r w:rsidRPr="002A13F7">
      <w:rPr>
        <w:rFonts w:ascii="Palatino Linotype" w:hAnsi="Palatino Linotype"/>
        <w:caps/>
      </w:rPr>
      <w:instrText>PAGE   \* MERGEFORMAT</w:instrText>
    </w:r>
    <w:r w:rsidRPr="002A13F7">
      <w:rPr>
        <w:rFonts w:ascii="Palatino Linotype" w:hAnsi="Palatino Linotype"/>
        <w:caps/>
      </w:rPr>
      <w:fldChar w:fldCharType="separate"/>
    </w:r>
    <w:r w:rsidRPr="002A13F7">
      <w:rPr>
        <w:rFonts w:ascii="Palatino Linotype" w:hAnsi="Palatino Linotype"/>
        <w:caps/>
        <w:lang w:val="es-ES"/>
      </w:rPr>
      <w:t>2</w:t>
    </w:r>
    <w:r w:rsidRPr="002A13F7">
      <w:rPr>
        <w:rFonts w:ascii="Palatino Linotype" w:hAnsi="Palatino Linotype"/>
        <w:caps/>
      </w:rPr>
      <w:fldChar w:fldCharType="end"/>
    </w:r>
  </w:p>
  <w:p w14:paraId="347B5783" w14:textId="77777777" w:rsidR="002A13F7" w:rsidRDefault="002A13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89EB" w14:textId="77777777" w:rsidR="00127EC2" w:rsidRDefault="00127EC2" w:rsidP="00741AAF">
      <w:pPr>
        <w:spacing w:after="0" w:line="240" w:lineRule="auto"/>
      </w:pPr>
      <w:r>
        <w:separator/>
      </w:r>
    </w:p>
  </w:footnote>
  <w:footnote w:type="continuationSeparator" w:id="0">
    <w:p w14:paraId="3005A115" w14:textId="77777777" w:rsidR="00127EC2" w:rsidRDefault="00127EC2" w:rsidP="00741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4489" w14:textId="047CB34C" w:rsidR="00E73005" w:rsidRDefault="00E73005" w:rsidP="00E73005">
    <w:pPr>
      <w:pStyle w:val="Encabezado"/>
      <w:jc w:val="center"/>
    </w:pPr>
    <w:r>
      <w:rPr>
        <w:noProof/>
      </w:rPr>
      <w:drawing>
        <wp:inline distT="0" distB="0" distL="0" distR="0" wp14:anchorId="3EF71698" wp14:editId="610A01C1">
          <wp:extent cx="1398270" cy="1258570"/>
          <wp:effectExtent l="0" t="0" r="0" b="0"/>
          <wp:docPr id="5" name="image1.png" descr="Diputadas y diputados: el remozado logo de la Cámara Baja"/>
          <wp:cNvGraphicFramePr/>
          <a:graphic xmlns:a="http://schemas.openxmlformats.org/drawingml/2006/main">
            <a:graphicData uri="http://schemas.openxmlformats.org/drawingml/2006/picture">
              <pic:pic xmlns:pic="http://schemas.openxmlformats.org/drawingml/2006/picture">
                <pic:nvPicPr>
                  <pic:cNvPr id="5" name="image1.png" descr="Diputadas y diputados: el remozado logo de la Cámara Baja"/>
                  <pic:cNvPicPr/>
                </pic:nvPicPr>
                <pic:blipFill>
                  <a:blip r:embed="rId1"/>
                  <a:srcRect/>
                  <a:stretch>
                    <a:fillRect/>
                  </a:stretch>
                </pic:blipFill>
                <pic:spPr>
                  <a:xfrm>
                    <a:off x="0" y="0"/>
                    <a:ext cx="1398270" cy="12585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5C8E"/>
    <w:multiLevelType w:val="hybridMultilevel"/>
    <w:tmpl w:val="6F467158"/>
    <w:lvl w:ilvl="0" w:tplc="6672BA80">
      <w:start w:val="1"/>
      <w:numFmt w:val="decimal"/>
      <w:lvlText w:val="%1."/>
      <w:lvlJc w:val="left"/>
      <w:pPr>
        <w:ind w:left="720" w:hanging="360"/>
      </w:pPr>
      <w:rPr>
        <w:rFonts w:asciiTheme="minorHAnsi" w:hAnsiTheme="minorHAnsi" w:hint="default"/>
        <w:color w:val="auto"/>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C1252"/>
    <w:multiLevelType w:val="hybridMultilevel"/>
    <w:tmpl w:val="73AE6A24"/>
    <w:lvl w:ilvl="0" w:tplc="BCE4298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0049D1"/>
    <w:multiLevelType w:val="hybridMultilevel"/>
    <w:tmpl w:val="55421C76"/>
    <w:lvl w:ilvl="0" w:tplc="37F8A04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A2E1521"/>
    <w:multiLevelType w:val="hybridMultilevel"/>
    <w:tmpl w:val="EC82BC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9B69C3"/>
    <w:multiLevelType w:val="hybridMultilevel"/>
    <w:tmpl w:val="7BA61A2E"/>
    <w:lvl w:ilvl="0" w:tplc="BFE6756A">
      <w:start w:val="1"/>
      <w:numFmt w:val="decimal"/>
      <w:lvlText w:val="%1."/>
      <w:lvlJc w:val="left"/>
      <w:pPr>
        <w:ind w:left="720" w:hanging="360"/>
      </w:pPr>
      <w:rPr>
        <w:rFonts w:cstheme="minorBidi" w:hint="default"/>
        <w:i w:val="0"/>
        <w:iCs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BAC1C9A"/>
    <w:multiLevelType w:val="hybridMultilevel"/>
    <w:tmpl w:val="94A4DF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C0D6AF5"/>
    <w:multiLevelType w:val="hybridMultilevel"/>
    <w:tmpl w:val="1FA2D38A"/>
    <w:lvl w:ilvl="0" w:tplc="9EA6BED8">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A097E76"/>
    <w:multiLevelType w:val="hybridMultilevel"/>
    <w:tmpl w:val="EC82BC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81530287">
    <w:abstractNumId w:val="6"/>
  </w:num>
  <w:num w:numId="2" w16cid:durableId="1043673173">
    <w:abstractNumId w:val="1"/>
  </w:num>
  <w:num w:numId="3" w16cid:durableId="2026859745">
    <w:abstractNumId w:val="0"/>
  </w:num>
  <w:num w:numId="4" w16cid:durableId="1388383860">
    <w:abstractNumId w:val="7"/>
  </w:num>
  <w:num w:numId="5" w16cid:durableId="1379550280">
    <w:abstractNumId w:val="5"/>
  </w:num>
  <w:num w:numId="6" w16cid:durableId="1252818114">
    <w:abstractNumId w:val="4"/>
  </w:num>
  <w:num w:numId="7" w16cid:durableId="913665407">
    <w:abstractNumId w:val="3"/>
  </w:num>
  <w:num w:numId="8" w16cid:durableId="1434206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91"/>
    <w:rsid w:val="00005602"/>
    <w:rsid w:val="00007B47"/>
    <w:rsid w:val="0001267C"/>
    <w:rsid w:val="000268D6"/>
    <w:rsid w:val="00030DAB"/>
    <w:rsid w:val="000514B9"/>
    <w:rsid w:val="0006726F"/>
    <w:rsid w:val="00067BB6"/>
    <w:rsid w:val="00071697"/>
    <w:rsid w:val="00083032"/>
    <w:rsid w:val="00090E7A"/>
    <w:rsid w:val="0009485C"/>
    <w:rsid w:val="000B1C10"/>
    <w:rsid w:val="000B4641"/>
    <w:rsid w:val="000C2490"/>
    <w:rsid w:val="000D1E4F"/>
    <w:rsid w:val="000D2885"/>
    <w:rsid w:val="000D2D63"/>
    <w:rsid w:val="000E38D3"/>
    <w:rsid w:val="000E5F96"/>
    <w:rsid w:val="000F4E55"/>
    <w:rsid w:val="001047AE"/>
    <w:rsid w:val="00110547"/>
    <w:rsid w:val="00123662"/>
    <w:rsid w:val="00127EC2"/>
    <w:rsid w:val="00134D0C"/>
    <w:rsid w:val="00141588"/>
    <w:rsid w:val="00144641"/>
    <w:rsid w:val="00163B9E"/>
    <w:rsid w:val="00171B37"/>
    <w:rsid w:val="001737EB"/>
    <w:rsid w:val="00184A5E"/>
    <w:rsid w:val="0018719C"/>
    <w:rsid w:val="00191CAD"/>
    <w:rsid w:val="001A78E2"/>
    <w:rsid w:val="001B4C28"/>
    <w:rsid w:val="001C3C12"/>
    <w:rsid w:val="001D27F8"/>
    <w:rsid w:val="001D3A3C"/>
    <w:rsid w:val="001E4B50"/>
    <w:rsid w:val="001F2546"/>
    <w:rsid w:val="001F40E2"/>
    <w:rsid w:val="00221585"/>
    <w:rsid w:val="00230C23"/>
    <w:rsid w:val="00232CD6"/>
    <w:rsid w:val="00233B63"/>
    <w:rsid w:val="0023418F"/>
    <w:rsid w:val="002342CA"/>
    <w:rsid w:val="00236C67"/>
    <w:rsid w:val="00246672"/>
    <w:rsid w:val="00261C80"/>
    <w:rsid w:val="0026685B"/>
    <w:rsid w:val="0027551A"/>
    <w:rsid w:val="0027763A"/>
    <w:rsid w:val="00286AC7"/>
    <w:rsid w:val="002A13F7"/>
    <w:rsid w:val="002B6DD3"/>
    <w:rsid w:val="002C7D4D"/>
    <w:rsid w:val="002F012D"/>
    <w:rsid w:val="003200A6"/>
    <w:rsid w:val="003250D5"/>
    <w:rsid w:val="00325B7E"/>
    <w:rsid w:val="003323AD"/>
    <w:rsid w:val="00333EB2"/>
    <w:rsid w:val="00340BF1"/>
    <w:rsid w:val="003523AC"/>
    <w:rsid w:val="00354798"/>
    <w:rsid w:val="00355719"/>
    <w:rsid w:val="00360133"/>
    <w:rsid w:val="00363524"/>
    <w:rsid w:val="00363FB4"/>
    <w:rsid w:val="0037743B"/>
    <w:rsid w:val="00385FF9"/>
    <w:rsid w:val="003A08C9"/>
    <w:rsid w:val="003A2BAD"/>
    <w:rsid w:val="003B1BCE"/>
    <w:rsid w:val="003C1E44"/>
    <w:rsid w:val="003C2554"/>
    <w:rsid w:val="003C4916"/>
    <w:rsid w:val="003C7AC0"/>
    <w:rsid w:val="003D10E9"/>
    <w:rsid w:val="003D2CFF"/>
    <w:rsid w:val="003D5EEF"/>
    <w:rsid w:val="003D7F66"/>
    <w:rsid w:val="003E40E8"/>
    <w:rsid w:val="003E70A6"/>
    <w:rsid w:val="003F27B9"/>
    <w:rsid w:val="003F7AC7"/>
    <w:rsid w:val="00406E96"/>
    <w:rsid w:val="00412AB2"/>
    <w:rsid w:val="00425826"/>
    <w:rsid w:val="004576E9"/>
    <w:rsid w:val="00461835"/>
    <w:rsid w:val="00465288"/>
    <w:rsid w:val="00470A4A"/>
    <w:rsid w:val="00474124"/>
    <w:rsid w:val="004A21D0"/>
    <w:rsid w:val="004A7F46"/>
    <w:rsid w:val="004B0633"/>
    <w:rsid w:val="004B1E53"/>
    <w:rsid w:val="004C110A"/>
    <w:rsid w:val="004C627E"/>
    <w:rsid w:val="00511E2A"/>
    <w:rsid w:val="00513CB0"/>
    <w:rsid w:val="00542B14"/>
    <w:rsid w:val="005523F0"/>
    <w:rsid w:val="00566A1A"/>
    <w:rsid w:val="00574580"/>
    <w:rsid w:val="00584F38"/>
    <w:rsid w:val="00585C11"/>
    <w:rsid w:val="005868F8"/>
    <w:rsid w:val="005A321E"/>
    <w:rsid w:val="005C55D5"/>
    <w:rsid w:val="005C7587"/>
    <w:rsid w:val="005D5817"/>
    <w:rsid w:val="005F5200"/>
    <w:rsid w:val="00604A71"/>
    <w:rsid w:val="006172EF"/>
    <w:rsid w:val="0064385D"/>
    <w:rsid w:val="00653055"/>
    <w:rsid w:val="006627D9"/>
    <w:rsid w:val="0066626D"/>
    <w:rsid w:val="00673A6D"/>
    <w:rsid w:val="0067576A"/>
    <w:rsid w:val="00692D39"/>
    <w:rsid w:val="00694848"/>
    <w:rsid w:val="006C49B8"/>
    <w:rsid w:val="006C5B7E"/>
    <w:rsid w:val="006C650D"/>
    <w:rsid w:val="006E0CEF"/>
    <w:rsid w:val="006E1EB7"/>
    <w:rsid w:val="006E225D"/>
    <w:rsid w:val="006E7791"/>
    <w:rsid w:val="006E7C37"/>
    <w:rsid w:val="006F1C15"/>
    <w:rsid w:val="0070361E"/>
    <w:rsid w:val="00736110"/>
    <w:rsid w:val="00741AAF"/>
    <w:rsid w:val="00751E79"/>
    <w:rsid w:val="00780167"/>
    <w:rsid w:val="007C544A"/>
    <w:rsid w:val="007D5323"/>
    <w:rsid w:val="007E03B6"/>
    <w:rsid w:val="0081508B"/>
    <w:rsid w:val="00821325"/>
    <w:rsid w:val="008275FE"/>
    <w:rsid w:val="0086560E"/>
    <w:rsid w:val="0088234F"/>
    <w:rsid w:val="008845C7"/>
    <w:rsid w:val="00892B67"/>
    <w:rsid w:val="008A22A3"/>
    <w:rsid w:val="008A2E8F"/>
    <w:rsid w:val="008B37C9"/>
    <w:rsid w:val="008B6048"/>
    <w:rsid w:val="008C331D"/>
    <w:rsid w:val="008C7FD5"/>
    <w:rsid w:val="008D49EA"/>
    <w:rsid w:val="008D737D"/>
    <w:rsid w:val="008D7488"/>
    <w:rsid w:val="008E0D40"/>
    <w:rsid w:val="008E6AB4"/>
    <w:rsid w:val="008F45C3"/>
    <w:rsid w:val="008F523A"/>
    <w:rsid w:val="009054BC"/>
    <w:rsid w:val="009179FB"/>
    <w:rsid w:val="00922E30"/>
    <w:rsid w:val="00970FB0"/>
    <w:rsid w:val="0099524D"/>
    <w:rsid w:val="009957F0"/>
    <w:rsid w:val="00997E69"/>
    <w:rsid w:val="009A06B5"/>
    <w:rsid w:val="009A12E5"/>
    <w:rsid w:val="009A561B"/>
    <w:rsid w:val="009A7EE0"/>
    <w:rsid w:val="009B0595"/>
    <w:rsid w:val="009B62B9"/>
    <w:rsid w:val="009C51F0"/>
    <w:rsid w:val="009E20B8"/>
    <w:rsid w:val="009F51F3"/>
    <w:rsid w:val="009F5996"/>
    <w:rsid w:val="00A14E17"/>
    <w:rsid w:val="00A16AF0"/>
    <w:rsid w:val="00A236C2"/>
    <w:rsid w:val="00A40BF0"/>
    <w:rsid w:val="00A60E6E"/>
    <w:rsid w:val="00A717BE"/>
    <w:rsid w:val="00A7509E"/>
    <w:rsid w:val="00A87CBF"/>
    <w:rsid w:val="00AA094F"/>
    <w:rsid w:val="00AC61CF"/>
    <w:rsid w:val="00AE1E89"/>
    <w:rsid w:val="00AF5D1C"/>
    <w:rsid w:val="00B06233"/>
    <w:rsid w:val="00B11A06"/>
    <w:rsid w:val="00B13F33"/>
    <w:rsid w:val="00B254F2"/>
    <w:rsid w:val="00B33AD8"/>
    <w:rsid w:val="00B3501E"/>
    <w:rsid w:val="00B3638C"/>
    <w:rsid w:val="00B42684"/>
    <w:rsid w:val="00B4750C"/>
    <w:rsid w:val="00B5133C"/>
    <w:rsid w:val="00B51615"/>
    <w:rsid w:val="00B6573B"/>
    <w:rsid w:val="00B70428"/>
    <w:rsid w:val="00B70E36"/>
    <w:rsid w:val="00B7285F"/>
    <w:rsid w:val="00B90A8C"/>
    <w:rsid w:val="00BA4A41"/>
    <w:rsid w:val="00BB0EDE"/>
    <w:rsid w:val="00BB1678"/>
    <w:rsid w:val="00BB35B4"/>
    <w:rsid w:val="00BB44F9"/>
    <w:rsid w:val="00BE2B8F"/>
    <w:rsid w:val="00BF1C7C"/>
    <w:rsid w:val="00BF2FC2"/>
    <w:rsid w:val="00C10F5B"/>
    <w:rsid w:val="00C23C50"/>
    <w:rsid w:val="00C30BF5"/>
    <w:rsid w:val="00C41C8F"/>
    <w:rsid w:val="00C540A3"/>
    <w:rsid w:val="00C563A3"/>
    <w:rsid w:val="00C63FB9"/>
    <w:rsid w:val="00C64A22"/>
    <w:rsid w:val="00C65327"/>
    <w:rsid w:val="00C74EF0"/>
    <w:rsid w:val="00C8355E"/>
    <w:rsid w:val="00C842A4"/>
    <w:rsid w:val="00C85D97"/>
    <w:rsid w:val="00CD65A0"/>
    <w:rsid w:val="00CF2A00"/>
    <w:rsid w:val="00CF7121"/>
    <w:rsid w:val="00D0757E"/>
    <w:rsid w:val="00D172FA"/>
    <w:rsid w:val="00D22475"/>
    <w:rsid w:val="00D3056C"/>
    <w:rsid w:val="00D329CF"/>
    <w:rsid w:val="00D45475"/>
    <w:rsid w:val="00D50D5E"/>
    <w:rsid w:val="00D55CE4"/>
    <w:rsid w:val="00D57F69"/>
    <w:rsid w:val="00D603C8"/>
    <w:rsid w:val="00D72DAB"/>
    <w:rsid w:val="00D80F19"/>
    <w:rsid w:val="00D81777"/>
    <w:rsid w:val="00D8570A"/>
    <w:rsid w:val="00D85AAD"/>
    <w:rsid w:val="00D87496"/>
    <w:rsid w:val="00D92A29"/>
    <w:rsid w:val="00D944E2"/>
    <w:rsid w:val="00DA39C8"/>
    <w:rsid w:val="00DC1500"/>
    <w:rsid w:val="00DC6DE4"/>
    <w:rsid w:val="00DD2B41"/>
    <w:rsid w:val="00DD6E27"/>
    <w:rsid w:val="00DE3DC5"/>
    <w:rsid w:val="00DE4A80"/>
    <w:rsid w:val="00DF2EE5"/>
    <w:rsid w:val="00E154C3"/>
    <w:rsid w:val="00E23B41"/>
    <w:rsid w:val="00E371C8"/>
    <w:rsid w:val="00E46CE9"/>
    <w:rsid w:val="00E63B60"/>
    <w:rsid w:val="00E65050"/>
    <w:rsid w:val="00E73005"/>
    <w:rsid w:val="00E733C8"/>
    <w:rsid w:val="00E82466"/>
    <w:rsid w:val="00E9673E"/>
    <w:rsid w:val="00ED0DA5"/>
    <w:rsid w:val="00ED6C5D"/>
    <w:rsid w:val="00EE16E0"/>
    <w:rsid w:val="00EE73E0"/>
    <w:rsid w:val="00F4245B"/>
    <w:rsid w:val="00F55363"/>
    <w:rsid w:val="00F55D75"/>
    <w:rsid w:val="00F62EB6"/>
    <w:rsid w:val="00F72435"/>
    <w:rsid w:val="00F73068"/>
    <w:rsid w:val="00F73C2E"/>
    <w:rsid w:val="00F81C66"/>
    <w:rsid w:val="00F85B5D"/>
    <w:rsid w:val="00F8674C"/>
    <w:rsid w:val="00F93093"/>
    <w:rsid w:val="00FB2855"/>
    <w:rsid w:val="00FC2E32"/>
    <w:rsid w:val="00FD1FCF"/>
    <w:rsid w:val="00FE1440"/>
    <w:rsid w:val="00FE3BA5"/>
    <w:rsid w:val="00FF098A"/>
    <w:rsid w:val="00FF4A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89EB"/>
  <w15:chartTrackingRefBased/>
  <w15:docId w15:val="{16B90AB1-1AC1-4FBB-9AD7-8F5BEA9E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FC2E32"/>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41A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1AAF"/>
    <w:rPr>
      <w:sz w:val="20"/>
      <w:szCs w:val="20"/>
    </w:rPr>
  </w:style>
  <w:style w:type="character" w:styleId="Refdenotaalpie">
    <w:name w:val="footnote reference"/>
    <w:basedOn w:val="Fuentedeprrafopredeter"/>
    <w:uiPriority w:val="99"/>
    <w:semiHidden/>
    <w:unhideWhenUsed/>
    <w:rsid w:val="00741AAF"/>
    <w:rPr>
      <w:vertAlign w:val="superscript"/>
    </w:rPr>
  </w:style>
  <w:style w:type="character" w:styleId="Hipervnculo">
    <w:name w:val="Hyperlink"/>
    <w:basedOn w:val="Fuentedeprrafopredeter"/>
    <w:uiPriority w:val="99"/>
    <w:unhideWhenUsed/>
    <w:rsid w:val="00A40BF0"/>
    <w:rPr>
      <w:color w:val="0563C1" w:themeColor="hyperlink"/>
      <w:u w:val="single"/>
    </w:rPr>
  </w:style>
  <w:style w:type="character" w:styleId="Mencinsinresolver">
    <w:name w:val="Unresolved Mention"/>
    <w:basedOn w:val="Fuentedeprrafopredeter"/>
    <w:uiPriority w:val="99"/>
    <w:semiHidden/>
    <w:unhideWhenUsed/>
    <w:rsid w:val="00A40BF0"/>
    <w:rPr>
      <w:color w:val="605E5C"/>
      <w:shd w:val="clear" w:color="auto" w:fill="E1DFDD"/>
    </w:rPr>
  </w:style>
  <w:style w:type="paragraph" w:styleId="Prrafodelista">
    <w:name w:val="List Paragraph"/>
    <w:basedOn w:val="Normal"/>
    <w:uiPriority w:val="34"/>
    <w:qFormat/>
    <w:rsid w:val="009054BC"/>
    <w:pPr>
      <w:ind w:left="720"/>
      <w:contextualSpacing/>
    </w:pPr>
  </w:style>
  <w:style w:type="paragraph" w:styleId="Encabezado">
    <w:name w:val="header"/>
    <w:basedOn w:val="Normal"/>
    <w:link w:val="EncabezadoCar"/>
    <w:uiPriority w:val="99"/>
    <w:unhideWhenUsed/>
    <w:rsid w:val="00E730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005"/>
  </w:style>
  <w:style w:type="paragraph" w:styleId="Piedepgina">
    <w:name w:val="footer"/>
    <w:basedOn w:val="Normal"/>
    <w:link w:val="PiedepginaCar"/>
    <w:uiPriority w:val="99"/>
    <w:unhideWhenUsed/>
    <w:rsid w:val="00E730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005"/>
  </w:style>
  <w:style w:type="character" w:customStyle="1" w:styleId="Ttulo3Car">
    <w:name w:val="Título 3 Car"/>
    <w:basedOn w:val="Fuentedeprrafopredeter"/>
    <w:link w:val="Ttulo3"/>
    <w:uiPriority w:val="9"/>
    <w:rsid w:val="00FC2E32"/>
    <w:rPr>
      <w:rFonts w:ascii="Times New Roman" w:eastAsia="Times New Roman" w:hAnsi="Times New Roman" w:cs="Times New Roman"/>
      <w:b/>
      <w:bCs/>
      <w:sz w:val="27"/>
      <w:szCs w:val="27"/>
      <w:lang w:eastAsia="es-CL"/>
    </w:rPr>
  </w:style>
  <w:style w:type="character" w:styleId="Hipervnculovisitado">
    <w:name w:val="FollowedHyperlink"/>
    <w:basedOn w:val="Fuentedeprrafopredeter"/>
    <w:uiPriority w:val="99"/>
    <w:semiHidden/>
    <w:unhideWhenUsed/>
    <w:rsid w:val="008213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613">
      <w:bodyDiv w:val="1"/>
      <w:marLeft w:val="0"/>
      <w:marRight w:val="0"/>
      <w:marTop w:val="0"/>
      <w:marBottom w:val="0"/>
      <w:divBdr>
        <w:top w:val="none" w:sz="0" w:space="0" w:color="auto"/>
        <w:left w:val="none" w:sz="0" w:space="0" w:color="auto"/>
        <w:bottom w:val="none" w:sz="0" w:space="0" w:color="auto"/>
        <w:right w:val="none" w:sz="0" w:space="0" w:color="auto"/>
      </w:divBdr>
    </w:div>
    <w:div w:id="59255975">
      <w:bodyDiv w:val="1"/>
      <w:marLeft w:val="0"/>
      <w:marRight w:val="0"/>
      <w:marTop w:val="0"/>
      <w:marBottom w:val="0"/>
      <w:divBdr>
        <w:top w:val="none" w:sz="0" w:space="0" w:color="auto"/>
        <w:left w:val="none" w:sz="0" w:space="0" w:color="auto"/>
        <w:bottom w:val="none" w:sz="0" w:space="0" w:color="auto"/>
        <w:right w:val="none" w:sz="0" w:space="0" w:color="auto"/>
      </w:divBdr>
    </w:div>
    <w:div w:id="1295985799">
      <w:bodyDiv w:val="1"/>
      <w:marLeft w:val="0"/>
      <w:marRight w:val="0"/>
      <w:marTop w:val="0"/>
      <w:marBottom w:val="0"/>
      <w:divBdr>
        <w:top w:val="none" w:sz="0" w:space="0" w:color="auto"/>
        <w:left w:val="none" w:sz="0" w:space="0" w:color="auto"/>
        <w:bottom w:val="none" w:sz="0" w:space="0" w:color="auto"/>
        <w:right w:val="none" w:sz="0" w:space="0" w:color="auto"/>
      </w:divBdr>
    </w:div>
    <w:div w:id="15163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2603-A307-4F7F-8013-E3235428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Matheson Mujica</dc:creator>
  <cp:keywords/>
  <dc:description/>
  <cp:lastModifiedBy>Guillermo Diaz Vallejos</cp:lastModifiedBy>
  <cp:revision>1</cp:revision>
  <dcterms:created xsi:type="dcterms:W3CDTF">2024-10-22T02:14:00Z</dcterms:created>
  <dcterms:modified xsi:type="dcterms:W3CDTF">2025-03-11T14:20:00Z</dcterms:modified>
</cp:coreProperties>
</file>