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A06" w:rsidRDefault="003A5626">
      <w:pPr>
        <w:pStyle w:val="Ttulo1"/>
        <w:spacing w:before="78" w:line="213" w:lineRule="auto"/>
        <w:ind w:right="259"/>
        <w:jc w:val="both"/>
      </w:pPr>
      <w:r>
        <w:t>PROYECTO DE LEY QUE MODIFICA DEL DECRETO CON FUERZA DE LEY N°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 EL</w:t>
      </w:r>
      <w:r>
        <w:rPr>
          <w:spacing w:val="-1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REFUNDIDO,</w:t>
      </w:r>
      <w:r>
        <w:rPr>
          <w:spacing w:val="-1"/>
        </w:rPr>
        <w:t xml:space="preserve"> </w:t>
      </w:r>
      <w:r>
        <w:t>COORDINADO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SISTEMATIZADO DE LA LEY N° 18.290 DE TRÁNSITO CON EL FIN DE ESTABLECER LA OBLIGACIÓN DE INFORMAR LOS DATOS DE VEHICULOS QUE SE IMPORTEN PARA LA VENTA EN EL PAÍS, Y DECLARAR LA PÉRDIDA TOTAL DE UN VEHÍCULO CON LA FINALIDAD DE IMPEDIR SU CLONACIÓN Y USO INDEBIDO DE PLACAS PATENTES.</w:t>
      </w:r>
    </w:p>
    <w:p w:rsidR="002E2A06" w:rsidRDefault="002E2A06">
      <w:pPr>
        <w:pStyle w:val="Textoindependiente"/>
        <w:ind w:left="0"/>
        <w:rPr>
          <w:b/>
        </w:rPr>
      </w:pPr>
    </w:p>
    <w:p w:rsidR="002E2A06" w:rsidRDefault="002E2A06">
      <w:pPr>
        <w:pStyle w:val="Textoindependiente"/>
        <w:spacing w:before="105"/>
        <w:ind w:left="0"/>
        <w:rPr>
          <w:b/>
        </w:rPr>
      </w:pPr>
    </w:p>
    <w:p w:rsidR="002E2A06" w:rsidRDefault="003A5626">
      <w:pPr>
        <w:pStyle w:val="Textoindependiente"/>
      </w:pPr>
      <w:r>
        <w:rPr>
          <w:spacing w:val="-2"/>
        </w:rPr>
        <w:t>FUNDAMENTOS</w:t>
      </w:r>
    </w:p>
    <w:p w:rsidR="002E2A06" w:rsidRDefault="003A5626">
      <w:pPr>
        <w:pStyle w:val="Textoindependiente"/>
        <w:spacing w:before="284" w:line="331" w:lineRule="auto"/>
        <w:ind w:right="258" w:firstLine="708"/>
        <w:jc w:val="both"/>
      </w:pPr>
      <w:r>
        <w:t>Actualmente, el Registro de Vehículos Motorizados, regulado constituye el único</w:t>
      </w:r>
      <w:r>
        <w:rPr>
          <w:spacing w:val="-10"/>
        </w:rPr>
        <w:t xml:space="preserve"> </w:t>
      </w:r>
      <w:r>
        <w:t>mecanismo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trazabilidad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vehículos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país.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 xml:space="preserve">embargo, </w:t>
      </w:r>
      <w:r>
        <w:rPr>
          <w:spacing w:val="-2"/>
        </w:rPr>
        <w:t>existen</w:t>
      </w:r>
      <w:r>
        <w:rPr>
          <w:spacing w:val="-6"/>
        </w:rPr>
        <w:t xml:space="preserve"> </w:t>
      </w:r>
      <w:r>
        <w:rPr>
          <w:spacing w:val="-2"/>
        </w:rPr>
        <w:t>vacíos</w:t>
      </w:r>
      <w:r>
        <w:rPr>
          <w:spacing w:val="-5"/>
        </w:rPr>
        <w:t xml:space="preserve"> </w:t>
      </w:r>
      <w:r>
        <w:rPr>
          <w:spacing w:val="-2"/>
        </w:rPr>
        <w:t>normativos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han</w:t>
      </w:r>
      <w:r>
        <w:rPr>
          <w:spacing w:val="-6"/>
        </w:rPr>
        <w:t xml:space="preserve"> </w:t>
      </w:r>
      <w:r>
        <w:rPr>
          <w:spacing w:val="-2"/>
        </w:rPr>
        <w:t>permitido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fraude</w:t>
      </w:r>
      <w:r>
        <w:rPr>
          <w:spacing w:val="-6"/>
        </w:rPr>
        <w:t xml:space="preserve"> </w:t>
      </w:r>
      <w:r>
        <w:rPr>
          <w:spacing w:val="-2"/>
        </w:rPr>
        <w:t>relacionado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 xml:space="preserve">duplicidad </w:t>
      </w:r>
      <w:r>
        <w:t>de patentes, que el crimen organizado ideara mecanismos para vulnerar el sistema mediante</w:t>
      </w:r>
      <w:r>
        <w:rPr>
          <w:spacing w:val="-15"/>
        </w:rPr>
        <w:t xml:space="preserve"> </w:t>
      </w:r>
      <w:r>
        <w:t>creación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empresas</w:t>
      </w:r>
      <w:r>
        <w:rPr>
          <w:spacing w:val="-15"/>
        </w:rPr>
        <w:t xml:space="preserve"> </w:t>
      </w:r>
      <w:r>
        <w:t>fachada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reinscribir</w:t>
      </w:r>
      <w:r>
        <w:rPr>
          <w:spacing w:val="-15"/>
        </w:rPr>
        <w:t xml:space="preserve"> </w:t>
      </w:r>
      <w:r>
        <w:t>vehículos</w:t>
      </w:r>
      <w:r>
        <w:rPr>
          <w:spacing w:val="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reutilización, específicamente en los siguientes escenarios:</w:t>
      </w: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spacing w:before="123"/>
        <w:ind w:left="0"/>
      </w:pPr>
    </w:p>
    <w:p w:rsidR="002E2A06" w:rsidRDefault="003A5626">
      <w:pPr>
        <w:pStyle w:val="Prrafodelista"/>
        <w:numPr>
          <w:ilvl w:val="0"/>
          <w:numId w:val="2"/>
        </w:numPr>
        <w:tabs>
          <w:tab w:val="left" w:pos="1700"/>
        </w:tabs>
        <w:spacing w:before="0" w:line="331" w:lineRule="auto"/>
        <w:ind w:right="258" w:firstLine="720"/>
        <w:jc w:val="both"/>
        <w:rPr>
          <w:sz w:val="24"/>
        </w:rPr>
      </w:pPr>
      <w:r>
        <w:rPr>
          <w:sz w:val="24"/>
        </w:rPr>
        <w:t>Robo de vehículos, estafas y otros delitos: Los delincuentes crean sociedades</w:t>
      </w:r>
      <w:r>
        <w:rPr>
          <w:spacing w:val="-9"/>
          <w:sz w:val="24"/>
        </w:rPr>
        <w:t xml:space="preserve"> </w:t>
      </w:r>
      <w:r>
        <w:rPr>
          <w:sz w:val="24"/>
        </w:rPr>
        <w:t>ficticias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emitir</w:t>
      </w:r>
      <w:r>
        <w:rPr>
          <w:spacing w:val="-11"/>
          <w:sz w:val="24"/>
        </w:rPr>
        <w:t xml:space="preserve"> </w:t>
      </w:r>
      <w:r>
        <w:rPr>
          <w:sz w:val="24"/>
        </w:rPr>
        <w:t>facturas</w:t>
      </w:r>
      <w:r>
        <w:rPr>
          <w:spacing w:val="-10"/>
          <w:sz w:val="24"/>
        </w:rPr>
        <w:t xml:space="preserve"> </w:t>
      </w:r>
      <w:r>
        <w:rPr>
          <w:sz w:val="24"/>
        </w:rPr>
        <w:t>falsas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9"/>
          <w:sz w:val="24"/>
        </w:rPr>
        <w:t xml:space="preserve"> </w:t>
      </w:r>
      <w:r>
        <w:rPr>
          <w:sz w:val="24"/>
        </w:rPr>
        <w:t>ya</w:t>
      </w:r>
      <w:r>
        <w:rPr>
          <w:spacing w:val="-1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solicitan nuevas</w:t>
      </w:r>
      <w:r>
        <w:rPr>
          <w:spacing w:val="-6"/>
          <w:sz w:val="24"/>
        </w:rPr>
        <w:t xml:space="preserve"> </w:t>
      </w:r>
      <w:r>
        <w:rPr>
          <w:sz w:val="24"/>
        </w:rPr>
        <w:t>inscripciones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Civil,</w:t>
      </w:r>
      <w:r>
        <w:rPr>
          <w:spacing w:val="-7"/>
          <w:sz w:val="24"/>
        </w:rPr>
        <w:t xml:space="preserve"> </w:t>
      </w:r>
      <w:r>
        <w:rPr>
          <w:sz w:val="24"/>
        </w:rPr>
        <w:t>generando</w:t>
      </w:r>
      <w:r>
        <w:rPr>
          <w:spacing w:val="-6"/>
          <w:sz w:val="24"/>
        </w:rPr>
        <w:t xml:space="preserve"> </w:t>
      </w:r>
      <w:r>
        <w:rPr>
          <w:sz w:val="24"/>
        </w:rPr>
        <w:t>duplicidad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patentes,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bien, roban vehículos y usan las PPU de vehículos siniestrados.</w:t>
      </w:r>
    </w:p>
    <w:p w:rsidR="002E2A06" w:rsidRDefault="003A5626">
      <w:pPr>
        <w:pStyle w:val="Prrafodelista"/>
        <w:numPr>
          <w:ilvl w:val="0"/>
          <w:numId w:val="2"/>
        </w:numPr>
        <w:tabs>
          <w:tab w:val="left" w:pos="1700"/>
        </w:tabs>
        <w:spacing w:before="162" w:line="331" w:lineRule="auto"/>
        <w:ind w:right="259" w:firstLine="720"/>
        <w:jc w:val="both"/>
        <w:rPr>
          <w:sz w:val="24"/>
        </w:rPr>
      </w:pPr>
      <w:r>
        <w:rPr>
          <w:sz w:val="24"/>
        </w:rPr>
        <w:t>Falta de trazabilidad: El Registro Civil no cuenta con información desde el ingreso del vehículo al país, lo que impide verificar su origen y evitar fraudes al momento de la primera inscripción. Tampoco tiene la obligación de dar “muerte civil” al vehículo siniestrado, informado por el propietario o la aseguradora, por lo cual se produce el uso de PPU de vehículos siniestrados en vehículos robados.</w:t>
      </w:r>
    </w:p>
    <w:p w:rsidR="002E2A06" w:rsidRDefault="003A5626">
      <w:pPr>
        <w:pStyle w:val="Textoindependiente"/>
        <w:spacing w:before="163" w:line="331" w:lineRule="auto"/>
        <w:ind w:right="259" w:firstLine="708"/>
        <w:jc w:val="both"/>
      </w:pPr>
      <w:r>
        <w:t>Dado que la mayoría de los vehículos en Chile son importados, resulta necesario establecer un mecanismo que asegure la trazabilidad desde su ingreso al territorio</w:t>
      </w:r>
      <w:r>
        <w:rPr>
          <w:spacing w:val="34"/>
        </w:rPr>
        <w:t xml:space="preserve"> </w:t>
      </w:r>
      <w:r>
        <w:t>nacional</w:t>
      </w:r>
      <w:r>
        <w:rPr>
          <w:spacing w:val="32"/>
        </w:rPr>
        <w:t xml:space="preserve"> </w:t>
      </w:r>
      <w:r>
        <w:t>hasta</w:t>
      </w:r>
      <w:r>
        <w:rPr>
          <w:spacing w:val="33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primera</w:t>
      </w:r>
      <w:r>
        <w:rPr>
          <w:spacing w:val="32"/>
        </w:rPr>
        <w:t xml:space="preserve"> </w:t>
      </w:r>
      <w:r>
        <w:t>inscripción,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así</w:t>
      </w:r>
      <w:r>
        <w:rPr>
          <w:spacing w:val="32"/>
        </w:rPr>
        <w:t xml:space="preserve"> </w:t>
      </w:r>
      <w:r>
        <w:t>luego</w:t>
      </w:r>
      <w:r>
        <w:rPr>
          <w:spacing w:val="34"/>
        </w:rPr>
        <w:t xml:space="preserve"> </w:t>
      </w:r>
      <w:r>
        <w:t>continuar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5"/>
        </w:rPr>
        <w:t>un</w:t>
      </w:r>
    </w:p>
    <w:p w:rsidR="002E2A06" w:rsidRDefault="002E2A06">
      <w:pPr>
        <w:pStyle w:val="Textoindependiente"/>
        <w:spacing w:line="331" w:lineRule="auto"/>
        <w:jc w:val="both"/>
        <w:sectPr w:rsidR="002E2A06">
          <w:type w:val="continuous"/>
          <w:pgSz w:w="12240" w:h="15840"/>
          <w:pgMar w:top="1340" w:right="1440" w:bottom="280" w:left="1440" w:header="720" w:footer="720" w:gutter="0"/>
          <w:cols w:space="720"/>
        </w:sectPr>
      </w:pPr>
    </w:p>
    <w:p w:rsidR="002E2A06" w:rsidRDefault="003A5626">
      <w:pPr>
        <w:pStyle w:val="Textoindependiente"/>
        <w:spacing w:before="55" w:line="331" w:lineRule="auto"/>
        <w:ind w:right="261"/>
        <w:jc w:val="both"/>
      </w:pPr>
      <w:r>
        <w:lastRenderedPageBreak/>
        <w:t xml:space="preserve">registro de sus ventas y traspasos, siendo necesario darle fin en caso de siniestros </w:t>
      </w:r>
      <w:r>
        <w:rPr>
          <w:spacing w:val="-2"/>
        </w:rPr>
        <w:t>totales.</w:t>
      </w:r>
    </w:p>
    <w:p w:rsidR="002E2A06" w:rsidRDefault="003A5626">
      <w:pPr>
        <w:pStyle w:val="Textoindependiente"/>
        <w:spacing w:before="161" w:line="331" w:lineRule="auto"/>
        <w:ind w:right="259" w:firstLine="708"/>
        <w:jc w:val="both"/>
      </w:pPr>
      <w:r>
        <w:t>Por ello, buscamos fortalecer la trazabilidad y seguridad del Registro de Vehículos Motorizados mediante la obligación de los importadores de reportar los antecedentes individualizadores de los vehículos al Servicio de Registro Civil e Identificación. Para ello proponemos:</w:t>
      </w:r>
    </w:p>
    <w:p w:rsidR="002E2A06" w:rsidRDefault="003A5626">
      <w:pPr>
        <w:pStyle w:val="Textoindependiente"/>
        <w:spacing w:before="162" w:line="331" w:lineRule="auto"/>
        <w:ind w:right="258"/>
        <w:jc w:val="both"/>
      </w:pPr>
      <w:r>
        <w:t>1.- Prevenir la duplicidad de patentes: Asegurando que cada vehículo registrado tenga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historial</w:t>
      </w:r>
      <w:r>
        <w:rPr>
          <w:spacing w:val="-10"/>
        </w:rPr>
        <w:t xml:space="preserve"> </w:t>
      </w:r>
      <w:r>
        <w:t>único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verificable.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preciso</w:t>
      </w:r>
      <w:r>
        <w:rPr>
          <w:spacing w:val="-9"/>
        </w:rPr>
        <w:t xml:space="preserve"> </w:t>
      </w:r>
      <w:r>
        <w:t>señalar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sería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gran</w:t>
      </w:r>
      <w:r>
        <w:rPr>
          <w:spacing w:val="-10"/>
        </w:rPr>
        <w:t xml:space="preserve"> </w:t>
      </w:r>
      <w:r>
        <w:t>relevancia que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Ejecutivo</w:t>
      </w:r>
      <w:r>
        <w:rPr>
          <w:spacing w:val="-8"/>
        </w:rPr>
        <w:t xml:space="preserve"> </w:t>
      </w:r>
      <w:r>
        <w:t>indicara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necesaria</w:t>
      </w:r>
      <w:r>
        <w:rPr>
          <w:spacing w:val="-10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Aduanas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dicho</w:t>
      </w:r>
      <w:r>
        <w:rPr>
          <w:spacing w:val="-9"/>
        </w:rPr>
        <w:t xml:space="preserve"> </w:t>
      </w:r>
      <w:r>
        <w:rPr>
          <w:spacing w:val="-2"/>
        </w:rPr>
        <w:t>registro.</w:t>
      </w:r>
    </w:p>
    <w:p w:rsidR="002E2A06" w:rsidRDefault="003A5626">
      <w:pPr>
        <w:pStyle w:val="Textoindependiente"/>
        <w:spacing w:before="162" w:line="331" w:lineRule="auto"/>
        <w:ind w:right="259"/>
        <w:jc w:val="both"/>
      </w:pPr>
      <w:r>
        <w:t>2.- Evitar el uso fraudulento de facturas: Exigiendo que el Registro Civil valide previamente los antecedentes del vehículo informados por los importadores.</w:t>
      </w:r>
    </w:p>
    <w:p w:rsidR="002E2A06" w:rsidRDefault="003A5626">
      <w:pPr>
        <w:pStyle w:val="Textoindependiente"/>
        <w:spacing w:before="161" w:line="331" w:lineRule="auto"/>
        <w:ind w:right="259"/>
        <w:jc w:val="both"/>
      </w:pPr>
      <w:r>
        <w:t xml:space="preserve">3.- Mejorar la trazabilidad: Incorporando los datos desde el ingreso del vehículo al </w:t>
      </w:r>
      <w:r>
        <w:rPr>
          <w:spacing w:val="-2"/>
        </w:rPr>
        <w:t>país.</w:t>
      </w:r>
    </w:p>
    <w:p w:rsidR="002E2A06" w:rsidRDefault="003A5626">
      <w:pPr>
        <w:pStyle w:val="Textoindependiente"/>
        <w:spacing w:before="161" w:line="331" w:lineRule="auto"/>
        <w:ind w:right="259"/>
        <w:jc w:val="both"/>
      </w:pPr>
      <w:r>
        <w:t>4.- Coordinar información interinstitucional: Facilitando el cruce de datos con Aduanas y Carabineros para detectar irregularidades.</w:t>
      </w:r>
    </w:p>
    <w:p w:rsidR="002E2A06" w:rsidRDefault="003A5626">
      <w:pPr>
        <w:pStyle w:val="Textoindependiente"/>
        <w:spacing w:before="161" w:line="331" w:lineRule="auto"/>
        <w:ind w:right="259"/>
        <w:jc w:val="both"/>
      </w:pPr>
      <w:r>
        <w:t>5.- Señalando la obligación de informar al registro, por parte de importadores, aseguradoras o propietarios del ingreso y de la destrucción total de los vehículos.</w:t>
      </w:r>
    </w:p>
    <w:p w:rsidR="002E2A06" w:rsidRDefault="003A5626">
      <w:pPr>
        <w:pStyle w:val="Textoindependiente"/>
        <w:spacing w:before="161"/>
        <w:ind w:left="969"/>
        <w:jc w:val="both"/>
      </w:pPr>
      <w:r>
        <w:t>La</w:t>
      </w:r>
      <w:r>
        <w:rPr>
          <w:spacing w:val="24"/>
        </w:rPr>
        <w:t xml:space="preserve"> </w:t>
      </w:r>
      <w:r>
        <w:t>incorporación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estas</w:t>
      </w:r>
      <w:r>
        <w:rPr>
          <w:spacing w:val="26"/>
        </w:rPr>
        <w:t xml:space="preserve"> </w:t>
      </w:r>
      <w:r>
        <w:t>obligaciones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39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39</w:t>
      </w:r>
      <w:r>
        <w:rPr>
          <w:spacing w:val="24"/>
        </w:rPr>
        <w:t xml:space="preserve"> </w:t>
      </w:r>
      <w:r>
        <w:t>bis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rPr>
          <w:spacing w:val="-5"/>
        </w:rPr>
        <w:t>N°</w:t>
      </w:r>
    </w:p>
    <w:p w:rsidR="002E2A06" w:rsidRDefault="003A5626">
      <w:pPr>
        <w:pStyle w:val="Textoindependiente"/>
        <w:spacing w:before="124" w:line="331" w:lineRule="auto"/>
        <w:ind w:right="260"/>
        <w:jc w:val="both"/>
      </w:pPr>
      <w:r>
        <w:t>18.290</w:t>
      </w:r>
      <w:r>
        <w:rPr>
          <w:spacing w:val="-15"/>
        </w:rPr>
        <w:t xml:space="preserve"> </w:t>
      </w:r>
      <w:r>
        <w:t>complementa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sistemas</w:t>
      </w:r>
      <w:r>
        <w:rPr>
          <w:spacing w:val="-15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existentes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basa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experiencia</w:t>
      </w:r>
      <w:r>
        <w:rPr>
          <w:spacing w:val="-15"/>
        </w:rPr>
        <w:t xml:space="preserve"> </w:t>
      </w:r>
      <w:r>
        <w:t>comparada de países que han implementado registros centralizados con requisitos de trazabilidad desde la importación, como en la Unión Europea y Estados Unidos.</w:t>
      </w:r>
    </w:p>
    <w:p w:rsidR="002E2A06" w:rsidRDefault="003A5626" w:rsidP="003A5626">
      <w:pPr>
        <w:pStyle w:val="Textoindependiente"/>
        <w:spacing w:before="161" w:line="331" w:lineRule="auto"/>
        <w:ind w:right="259" w:firstLine="708"/>
        <w:jc w:val="both"/>
        <w:sectPr w:rsidR="002E2A06">
          <w:pgSz w:w="12240" w:h="15840"/>
          <w:pgMar w:top="1340" w:right="1440" w:bottom="280" w:left="1440" w:header="720" w:footer="720" w:gutter="0"/>
          <w:cols w:space="720"/>
        </w:sectPr>
      </w:pPr>
      <w:r>
        <w:t>La propuesta se enmarca en el fortalecimiento de las herramientas legales existentes para prevenir el fraude vehicular y proteger la fe pública en los registros estatales.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normativo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asegura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trazabilidad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vehículos,</w:t>
      </w:r>
      <w:r>
        <w:rPr>
          <w:spacing w:val="-7"/>
        </w:rPr>
        <w:t xml:space="preserve"> </w:t>
      </w:r>
      <w:r>
        <w:t>sino que además contribuye a desincentivar el delito y garantizar la seguridad jurídica de los compradores y vendedores en el mercado automotor.</w:t>
      </w: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spacing w:before="137"/>
        <w:ind w:left="0"/>
      </w:pPr>
    </w:p>
    <w:p w:rsidR="002E2A06" w:rsidRDefault="003A5626" w:rsidP="003A5626">
      <w:pPr>
        <w:spacing w:before="1"/>
        <w:ind w:left="261"/>
        <w:jc w:val="center"/>
        <w:rPr>
          <w:b/>
          <w:sz w:val="24"/>
        </w:rPr>
      </w:pPr>
      <w:r>
        <w:rPr>
          <w:b/>
          <w:sz w:val="24"/>
          <w:u w:val="thick"/>
        </w:rPr>
        <w:t>PROYECTO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DE </w:t>
      </w:r>
      <w:r>
        <w:rPr>
          <w:b/>
          <w:spacing w:val="-5"/>
          <w:sz w:val="24"/>
          <w:u w:val="thick"/>
        </w:rPr>
        <w:t>LEY</w:t>
      </w:r>
    </w:p>
    <w:p w:rsidR="002E2A06" w:rsidRDefault="002E2A06">
      <w:pPr>
        <w:pStyle w:val="Textoindependiente"/>
        <w:ind w:left="0"/>
        <w:rPr>
          <w:b/>
        </w:rPr>
      </w:pPr>
    </w:p>
    <w:p w:rsidR="002E2A06" w:rsidRDefault="002E2A06">
      <w:pPr>
        <w:pStyle w:val="Textoindependiente"/>
        <w:spacing w:before="74"/>
        <w:ind w:left="0"/>
        <w:rPr>
          <w:b/>
        </w:rPr>
      </w:pPr>
    </w:p>
    <w:p w:rsidR="002E2A06" w:rsidRDefault="003A5626">
      <w:pPr>
        <w:pStyle w:val="Textoindependiente"/>
        <w:spacing w:line="331" w:lineRule="auto"/>
        <w:ind w:right="259"/>
        <w:jc w:val="both"/>
      </w:pPr>
      <w:r>
        <w:rPr>
          <w:b/>
          <w:color w:val="0D0D0D"/>
        </w:rPr>
        <w:t xml:space="preserve">Artículo Primero: </w:t>
      </w:r>
      <w:r>
        <w:rPr>
          <w:color w:val="0D0D0D"/>
        </w:rPr>
        <w:t>Agréguese un inciso décimo, undécimo, duodécimo y final, nuevos, al artículo 39 del decreto con fuerza de ley N° 1 que fija el texto refundido, coordinado y sistematizado de la ley N° 18.290 de tránsito, del siguiente tenor:</w:t>
      </w:r>
    </w:p>
    <w:p w:rsidR="002E2A06" w:rsidRDefault="002E2A06">
      <w:pPr>
        <w:pStyle w:val="Textoindependiente"/>
        <w:spacing w:before="125"/>
        <w:ind w:left="0"/>
      </w:pPr>
    </w:p>
    <w:p w:rsidR="002E2A06" w:rsidRDefault="003A5626">
      <w:pPr>
        <w:pStyle w:val="Textoindependiente"/>
        <w:spacing w:before="1" w:line="331" w:lineRule="auto"/>
        <w:ind w:right="259"/>
        <w:jc w:val="both"/>
      </w:pPr>
      <w:r>
        <w:rPr>
          <w:color w:val="0D0D0D"/>
        </w:rPr>
        <w:t xml:space="preserve">“En caso de pérdida total de un vehículo motorizado, ya sea como resultado de su destrucción, desarmaduría total o accidente que lo haga irreparable, su propietario o, en su caso, la compañía aseguradora, deberá informar este hecho al Servicio de Registro Civil e Identificación dentro de un plazo máximo de 15 días desde dicha </w:t>
      </w:r>
      <w:r>
        <w:rPr>
          <w:color w:val="0D0D0D"/>
          <w:spacing w:val="-2"/>
        </w:rPr>
        <w:t>declaración.</w:t>
      </w:r>
    </w:p>
    <w:p w:rsidR="002E2A06" w:rsidRDefault="002E2A06">
      <w:pPr>
        <w:pStyle w:val="Textoindependiente"/>
        <w:spacing w:before="126"/>
        <w:ind w:left="0"/>
      </w:pPr>
    </w:p>
    <w:p w:rsidR="002E2A06" w:rsidRDefault="003A5626">
      <w:pPr>
        <w:pStyle w:val="Textoindependiente"/>
        <w:spacing w:line="331" w:lineRule="auto"/>
        <w:ind w:right="258" w:firstLine="708"/>
        <w:jc w:val="both"/>
      </w:pPr>
      <w:r>
        <w:rPr>
          <w:color w:val="0D0D0D"/>
        </w:rPr>
        <w:t>Una vez que sea recibida dicha información se procederá a la cancelación de la inscripción del vehículo en el Registro de Vehículos Motorizados, anotando su condición de pérdida total en el sistema. Además, se retirarán las patentes únicas asignada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vehículo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registrará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como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cancelada.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Todo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lo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anterior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incorporará al sistema público de consulta del Registro, señalando que el vehículo ha sido declarado como pérdida total y las placas patentes no podrán ser utilizadas en ningún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vehículo.</w:t>
      </w:r>
    </w:p>
    <w:p w:rsidR="002E2A06" w:rsidRDefault="002E2A06">
      <w:pPr>
        <w:pStyle w:val="Textoindependiente"/>
        <w:spacing w:before="127"/>
        <w:ind w:left="0"/>
      </w:pPr>
    </w:p>
    <w:p w:rsidR="002E2A06" w:rsidRDefault="003A5626">
      <w:pPr>
        <w:pStyle w:val="Textoindependiente"/>
        <w:spacing w:line="331" w:lineRule="auto"/>
        <w:ind w:right="260" w:firstLine="708"/>
        <w:jc w:val="both"/>
      </w:pPr>
      <w:r>
        <w:rPr>
          <w:color w:val="0D0D0D"/>
        </w:rPr>
        <w:t>El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propietario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compañía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aseguradora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deberá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devolver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las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placas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patentes únicas al Servicio en un plazo máximo de 10 días tras la cancelación.</w:t>
      </w:r>
    </w:p>
    <w:p w:rsidR="002E2A06" w:rsidRDefault="002E2A06">
      <w:pPr>
        <w:pStyle w:val="Textoindependiente"/>
        <w:spacing w:before="111"/>
        <w:ind w:left="0"/>
      </w:pPr>
    </w:p>
    <w:p w:rsidR="002E2A06" w:rsidRDefault="003A5626">
      <w:pPr>
        <w:pStyle w:val="Textoindependiente"/>
        <w:spacing w:line="331" w:lineRule="auto"/>
        <w:ind w:right="258" w:firstLine="708"/>
        <w:jc w:val="both"/>
      </w:pPr>
      <w:r>
        <w:rPr>
          <w:color w:val="0D0D0D"/>
        </w:rPr>
        <w:t>El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incumplimiento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estas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obligaciones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será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sancionado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una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multa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10 a 50 UTM para los propietarios, y de 100 a 500 UTM para las compañías aseguradoras, según corresponda.”</w:t>
      </w:r>
    </w:p>
    <w:p w:rsidR="002E2A06" w:rsidRDefault="002E2A06">
      <w:pPr>
        <w:pStyle w:val="Textoindependiente"/>
        <w:spacing w:line="331" w:lineRule="auto"/>
        <w:jc w:val="both"/>
        <w:sectPr w:rsidR="002E2A06">
          <w:pgSz w:w="12240" w:h="15840"/>
          <w:pgMar w:top="1820" w:right="1440" w:bottom="280" w:left="1440" w:header="720" w:footer="720" w:gutter="0"/>
          <w:cols w:space="720"/>
        </w:sectPr>
      </w:pPr>
    </w:p>
    <w:p w:rsidR="002E2A06" w:rsidRDefault="003A5626">
      <w:pPr>
        <w:pStyle w:val="Textoindependiente"/>
        <w:spacing w:before="49" w:line="331" w:lineRule="auto"/>
        <w:ind w:right="259"/>
        <w:jc w:val="both"/>
      </w:pPr>
      <w:r>
        <w:rPr>
          <w:b/>
          <w:color w:val="0D0D0D"/>
        </w:rPr>
        <w:lastRenderedPageBreak/>
        <w:t xml:space="preserve">Artículo Segundo: </w:t>
      </w:r>
      <w:r>
        <w:rPr>
          <w:color w:val="0D0D0D"/>
        </w:rPr>
        <w:t>Incorpórese un nuevo inciso tercero, cuarto y quinto al artículo 39 bis, del decreto con fuerza de ley N° 1 que fija el texto refundido, coordinado y sistematizado de la ley N° 18.290 de tránsito, pasando el actual a ser sexto y así sucesivamente, del siguiente tenor:</w:t>
      </w:r>
    </w:p>
    <w:p w:rsidR="002E2A06" w:rsidRDefault="002E2A06">
      <w:pPr>
        <w:pStyle w:val="Textoindependiente"/>
        <w:spacing w:before="126"/>
        <w:ind w:left="0"/>
      </w:pPr>
    </w:p>
    <w:p w:rsidR="002E2A06" w:rsidRDefault="003A5626">
      <w:pPr>
        <w:pStyle w:val="Textoindependiente"/>
        <w:spacing w:line="331" w:lineRule="auto"/>
        <w:ind w:right="259"/>
        <w:jc w:val="both"/>
      </w:pPr>
      <w:r>
        <w:rPr>
          <w:color w:val="0D0D0D"/>
        </w:rPr>
        <w:t>“Los importadores de vehículos motorizados, sean personas naturales o jurídicas, deberán informar al Servicio de Registro Civil e Identificación, dentro de un plazo máximo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15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días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desde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ingreso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vehículo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país,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individualizadores del mismo, que incluirán:</w:t>
      </w:r>
    </w:p>
    <w:p w:rsidR="002E2A06" w:rsidRDefault="002E2A06">
      <w:pPr>
        <w:pStyle w:val="Textoindependiente"/>
        <w:spacing w:before="125"/>
        <w:ind w:left="0"/>
      </w:pPr>
    </w:p>
    <w:p w:rsidR="002E2A06" w:rsidRDefault="003A5626">
      <w:pPr>
        <w:pStyle w:val="Prrafodelista"/>
        <w:numPr>
          <w:ilvl w:val="0"/>
          <w:numId w:val="1"/>
        </w:numPr>
        <w:tabs>
          <w:tab w:val="left" w:pos="1700"/>
        </w:tabs>
        <w:ind w:left="1700" w:hanging="719"/>
        <w:rPr>
          <w:sz w:val="24"/>
        </w:rPr>
      </w:pPr>
      <w:r>
        <w:rPr>
          <w:color w:val="0D0D0D"/>
          <w:sz w:val="24"/>
        </w:rPr>
        <w:t>Número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chasis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pacing w:val="-4"/>
          <w:sz w:val="24"/>
        </w:rPr>
        <w:t>VIN.</w:t>
      </w:r>
    </w:p>
    <w:p w:rsidR="002E2A06" w:rsidRDefault="003A5626">
      <w:pPr>
        <w:pStyle w:val="Prrafodelista"/>
        <w:numPr>
          <w:ilvl w:val="0"/>
          <w:numId w:val="1"/>
        </w:numPr>
        <w:tabs>
          <w:tab w:val="left" w:pos="1700"/>
        </w:tabs>
        <w:spacing w:before="123"/>
        <w:ind w:left="1700" w:hanging="719"/>
        <w:rPr>
          <w:sz w:val="24"/>
        </w:rPr>
      </w:pPr>
      <w:r>
        <w:rPr>
          <w:color w:val="0D0D0D"/>
          <w:sz w:val="24"/>
        </w:rPr>
        <w:t>Número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 xml:space="preserve"> motor.</w:t>
      </w:r>
    </w:p>
    <w:p w:rsidR="002E2A06" w:rsidRDefault="003A5626">
      <w:pPr>
        <w:pStyle w:val="Prrafodelista"/>
        <w:numPr>
          <w:ilvl w:val="0"/>
          <w:numId w:val="1"/>
        </w:numPr>
        <w:tabs>
          <w:tab w:val="left" w:pos="1700"/>
        </w:tabs>
        <w:spacing w:before="124"/>
        <w:ind w:left="1700" w:hanging="719"/>
        <w:rPr>
          <w:sz w:val="24"/>
        </w:rPr>
      </w:pPr>
      <w:r>
        <w:rPr>
          <w:color w:val="0D0D0D"/>
          <w:sz w:val="24"/>
        </w:rPr>
        <w:t>Marca,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modelo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año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 xml:space="preserve">de </w:t>
      </w:r>
      <w:r>
        <w:rPr>
          <w:color w:val="0D0D0D"/>
          <w:spacing w:val="-2"/>
          <w:sz w:val="24"/>
        </w:rPr>
        <w:t>fabricación.</w:t>
      </w:r>
    </w:p>
    <w:p w:rsidR="002E2A06" w:rsidRDefault="003A5626">
      <w:pPr>
        <w:pStyle w:val="Prrafodelista"/>
        <w:numPr>
          <w:ilvl w:val="0"/>
          <w:numId w:val="1"/>
        </w:numPr>
        <w:tabs>
          <w:tab w:val="left" w:pos="1700"/>
        </w:tabs>
        <w:spacing w:before="123"/>
        <w:ind w:left="1700" w:hanging="719"/>
        <w:rPr>
          <w:sz w:val="24"/>
        </w:rPr>
      </w:pPr>
      <w:r>
        <w:rPr>
          <w:color w:val="0D0D0D"/>
          <w:sz w:val="24"/>
        </w:rPr>
        <w:t>País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pacing w:val="-2"/>
          <w:sz w:val="24"/>
        </w:rPr>
        <w:t>origen.</w:t>
      </w:r>
    </w:p>
    <w:p w:rsidR="002E2A06" w:rsidRDefault="003A5626">
      <w:pPr>
        <w:pStyle w:val="Prrafodelista"/>
        <w:numPr>
          <w:ilvl w:val="0"/>
          <w:numId w:val="1"/>
        </w:numPr>
        <w:tabs>
          <w:tab w:val="left" w:pos="1676"/>
        </w:tabs>
        <w:spacing w:before="124" w:line="331" w:lineRule="auto"/>
        <w:ind w:left="1676" w:right="259" w:hanging="708"/>
        <w:rPr>
          <w:sz w:val="24"/>
        </w:rPr>
      </w:pPr>
      <w:r>
        <w:rPr>
          <w:color w:val="0D0D0D"/>
          <w:sz w:val="24"/>
        </w:rPr>
        <w:t>Número de factura de compra o documento equivalente que acredite la importación.</w:t>
      </w:r>
    </w:p>
    <w:p w:rsidR="002E2A06" w:rsidRDefault="003A5626">
      <w:pPr>
        <w:pStyle w:val="Prrafodelista"/>
        <w:numPr>
          <w:ilvl w:val="0"/>
          <w:numId w:val="1"/>
        </w:numPr>
        <w:tabs>
          <w:tab w:val="left" w:pos="1676"/>
        </w:tabs>
        <w:spacing w:line="331" w:lineRule="auto"/>
        <w:ind w:left="1676" w:right="258" w:hanging="716"/>
        <w:rPr>
          <w:sz w:val="24"/>
        </w:rPr>
      </w:pPr>
      <w:r>
        <w:rPr>
          <w:color w:val="0D0D0D"/>
          <w:sz w:val="24"/>
        </w:rPr>
        <w:t>Fecha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ingreso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al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país,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conforme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la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información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proporcionada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por la Dirección Nacional de Aduanas.</w:t>
      </w:r>
    </w:p>
    <w:p w:rsidR="002E2A06" w:rsidRDefault="002E2A06">
      <w:pPr>
        <w:pStyle w:val="Textoindependiente"/>
        <w:spacing w:before="124"/>
        <w:ind w:left="0"/>
      </w:pPr>
    </w:p>
    <w:p w:rsidR="002E2A06" w:rsidRDefault="003A5626">
      <w:pPr>
        <w:pStyle w:val="Textoindependiente"/>
        <w:spacing w:before="1" w:line="331" w:lineRule="auto"/>
        <w:ind w:right="260" w:firstLine="700"/>
        <w:jc w:val="both"/>
      </w:pPr>
      <w:r>
        <w:rPr>
          <w:color w:val="0D0D0D"/>
        </w:rPr>
        <w:t>El Servicio de Registro Civil e Identificación deberá incorporar esta información en el Registro de Vehículos Motorizados como anotación previa, asociada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importador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correspondiente,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hasta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efectúe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primera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inscripción a nombre del adquirente final.</w:t>
      </w:r>
    </w:p>
    <w:p w:rsidR="002E2A06" w:rsidRDefault="002E2A06">
      <w:pPr>
        <w:pStyle w:val="Textoindependiente"/>
        <w:spacing w:before="125"/>
        <w:ind w:left="0"/>
      </w:pPr>
    </w:p>
    <w:p w:rsidR="002E2A06" w:rsidRDefault="003A5626">
      <w:pPr>
        <w:pStyle w:val="Textoindependiente"/>
        <w:spacing w:line="331" w:lineRule="auto"/>
        <w:ind w:left="260" w:right="259" w:firstLine="700"/>
        <w:jc w:val="both"/>
      </w:pPr>
      <w:r>
        <w:rPr>
          <w:color w:val="0D0D0D"/>
        </w:rPr>
        <w:t>La inscripción definitiva de un vehículo en el Registro de Vehículos Motorizados y la asignación de la patente única respectiva no podrán efectuarse si no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verifica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previamente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existencia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datos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registrados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-2"/>
        </w:rPr>
        <w:t>importador.</w:t>
      </w:r>
    </w:p>
    <w:p w:rsidR="002E2A06" w:rsidRDefault="002E2A06">
      <w:pPr>
        <w:pStyle w:val="Textoindependiente"/>
        <w:spacing w:line="331" w:lineRule="auto"/>
        <w:jc w:val="both"/>
        <w:sectPr w:rsidR="002E2A06">
          <w:pgSz w:w="12240" w:h="15840"/>
          <w:pgMar w:top="1780" w:right="1440" w:bottom="280" w:left="1440" w:header="720" w:footer="720" w:gutter="0"/>
          <w:cols w:space="720"/>
        </w:sectPr>
      </w:pPr>
    </w:p>
    <w:p w:rsidR="002E2A06" w:rsidRDefault="003A5626">
      <w:pPr>
        <w:pStyle w:val="Textoindependiente"/>
        <w:spacing w:before="55" w:line="331" w:lineRule="auto"/>
        <w:ind w:right="259"/>
        <w:jc w:val="both"/>
      </w:pPr>
      <w:r>
        <w:rPr>
          <w:color w:val="0D0D0D"/>
        </w:rPr>
        <w:lastRenderedPageBreak/>
        <w:t>En caso de discrepancia, el Servicio deberá rechazar la inscripción hasta que se aclaren los antecedentes.”</w:t>
      </w:r>
    </w:p>
    <w:p w:rsidR="002E2A06" w:rsidRDefault="002E2A06">
      <w:pPr>
        <w:pStyle w:val="Textoindependiente"/>
        <w:spacing w:before="125"/>
        <w:ind w:left="0"/>
      </w:pPr>
    </w:p>
    <w:p w:rsidR="002E2A06" w:rsidRDefault="003A5626">
      <w:pPr>
        <w:pStyle w:val="Textoindependiente"/>
        <w:spacing w:line="331" w:lineRule="auto"/>
        <w:ind w:right="259"/>
        <w:jc w:val="both"/>
      </w:pPr>
      <w:r>
        <w:rPr>
          <w:b/>
          <w:color w:val="0D0D0D"/>
        </w:rPr>
        <w:t xml:space="preserve">Artículo Tercero: </w:t>
      </w:r>
      <w:r>
        <w:rPr>
          <w:color w:val="0D0D0D"/>
        </w:rPr>
        <w:t>Agréguese un nuevo inciso al final del artículo 39 bis del decreto con fuerza de ley N° 1 que fija el texto refundido, coordinado y sistematizado de la ley N° 18.290 de tránsito:</w:t>
      </w:r>
    </w:p>
    <w:p w:rsidR="002E2A06" w:rsidRDefault="002E2A06">
      <w:pPr>
        <w:pStyle w:val="Textoindependiente"/>
        <w:spacing w:before="125"/>
        <w:ind w:left="0"/>
      </w:pPr>
    </w:p>
    <w:p w:rsidR="002E2A06" w:rsidRDefault="003A5626">
      <w:pPr>
        <w:pStyle w:val="Textoindependiente"/>
        <w:spacing w:line="331" w:lineRule="auto"/>
        <w:ind w:right="259"/>
        <w:jc w:val="both"/>
      </w:pPr>
      <w:r>
        <w:rPr>
          <w:color w:val="0D0D0D"/>
        </w:rPr>
        <w:t>“El incumplimiento de la obligación de informar al Servicio de Registro Civil e Identificación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parte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los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importadores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será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sancionado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multa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10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 50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UTM,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perjuicio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la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responsabilidad penal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pudiera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derivarse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caso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 falsificación de documentos o declaraciones maliciosas.”</w:t>
      </w: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ind w:left="0"/>
      </w:pPr>
    </w:p>
    <w:p w:rsidR="002E2A06" w:rsidRDefault="002E2A06">
      <w:pPr>
        <w:pStyle w:val="Textoindependiente"/>
        <w:spacing w:before="251"/>
        <w:ind w:left="0"/>
      </w:pPr>
    </w:p>
    <w:p w:rsidR="002E2A06" w:rsidRDefault="003A5626">
      <w:pPr>
        <w:spacing w:line="321" w:lineRule="auto"/>
        <w:ind w:left="2863" w:right="1282" w:hanging="284"/>
        <w:rPr>
          <w:b/>
          <w:sz w:val="24"/>
        </w:rPr>
      </w:pPr>
      <w:r>
        <w:rPr>
          <w:b/>
          <w:color w:val="0D0D0D"/>
          <w:sz w:val="24"/>
        </w:rPr>
        <w:t>GLORIA</w:t>
      </w:r>
      <w:r>
        <w:rPr>
          <w:b/>
          <w:color w:val="0D0D0D"/>
          <w:spacing w:val="-15"/>
          <w:sz w:val="24"/>
        </w:rPr>
        <w:t xml:space="preserve"> </w:t>
      </w:r>
      <w:r>
        <w:rPr>
          <w:b/>
          <w:color w:val="0D0D0D"/>
          <w:sz w:val="24"/>
        </w:rPr>
        <w:t>NAVEILLAN</w:t>
      </w:r>
      <w:r>
        <w:rPr>
          <w:b/>
          <w:color w:val="0D0D0D"/>
          <w:spacing w:val="-14"/>
          <w:sz w:val="24"/>
        </w:rPr>
        <w:t xml:space="preserve"> </w:t>
      </w:r>
      <w:r>
        <w:rPr>
          <w:b/>
          <w:color w:val="0D0D0D"/>
          <w:sz w:val="24"/>
        </w:rPr>
        <w:t>ARRIAGADA DIPUTADA DE LA REPÚBLICA</w:t>
      </w:r>
    </w:p>
    <w:sectPr w:rsidR="002E2A06"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44A1"/>
    <w:multiLevelType w:val="hybridMultilevel"/>
    <w:tmpl w:val="475AD386"/>
    <w:lvl w:ilvl="0" w:tplc="576A0860">
      <w:start w:val="1"/>
      <w:numFmt w:val="decimal"/>
      <w:lvlText w:val="%1."/>
      <w:lvlJc w:val="left"/>
      <w:pPr>
        <w:ind w:left="1701" w:hanging="72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s-ES" w:eastAsia="en-US" w:bidi="ar-SA"/>
      </w:rPr>
    </w:lvl>
    <w:lvl w:ilvl="1" w:tplc="A60498B6">
      <w:numFmt w:val="bullet"/>
      <w:lvlText w:val="•"/>
      <w:lvlJc w:val="left"/>
      <w:pPr>
        <w:ind w:left="2466" w:hanging="720"/>
      </w:pPr>
      <w:rPr>
        <w:rFonts w:hint="default"/>
        <w:lang w:val="es-ES" w:eastAsia="en-US" w:bidi="ar-SA"/>
      </w:rPr>
    </w:lvl>
    <w:lvl w:ilvl="2" w:tplc="F926B110">
      <w:numFmt w:val="bullet"/>
      <w:lvlText w:val="•"/>
      <w:lvlJc w:val="left"/>
      <w:pPr>
        <w:ind w:left="3232" w:hanging="720"/>
      </w:pPr>
      <w:rPr>
        <w:rFonts w:hint="default"/>
        <w:lang w:val="es-ES" w:eastAsia="en-US" w:bidi="ar-SA"/>
      </w:rPr>
    </w:lvl>
    <w:lvl w:ilvl="3" w:tplc="36A00CFE">
      <w:numFmt w:val="bullet"/>
      <w:lvlText w:val="•"/>
      <w:lvlJc w:val="left"/>
      <w:pPr>
        <w:ind w:left="3998" w:hanging="720"/>
      </w:pPr>
      <w:rPr>
        <w:rFonts w:hint="default"/>
        <w:lang w:val="es-ES" w:eastAsia="en-US" w:bidi="ar-SA"/>
      </w:rPr>
    </w:lvl>
    <w:lvl w:ilvl="4" w:tplc="B3AC3978">
      <w:numFmt w:val="bullet"/>
      <w:lvlText w:val="•"/>
      <w:lvlJc w:val="left"/>
      <w:pPr>
        <w:ind w:left="4764" w:hanging="720"/>
      </w:pPr>
      <w:rPr>
        <w:rFonts w:hint="default"/>
        <w:lang w:val="es-ES" w:eastAsia="en-US" w:bidi="ar-SA"/>
      </w:rPr>
    </w:lvl>
    <w:lvl w:ilvl="5" w:tplc="FD7AF066">
      <w:numFmt w:val="bullet"/>
      <w:lvlText w:val="•"/>
      <w:lvlJc w:val="left"/>
      <w:pPr>
        <w:ind w:left="5530" w:hanging="720"/>
      </w:pPr>
      <w:rPr>
        <w:rFonts w:hint="default"/>
        <w:lang w:val="es-ES" w:eastAsia="en-US" w:bidi="ar-SA"/>
      </w:rPr>
    </w:lvl>
    <w:lvl w:ilvl="6" w:tplc="2476307C">
      <w:numFmt w:val="bullet"/>
      <w:lvlText w:val="•"/>
      <w:lvlJc w:val="left"/>
      <w:pPr>
        <w:ind w:left="6296" w:hanging="720"/>
      </w:pPr>
      <w:rPr>
        <w:rFonts w:hint="default"/>
        <w:lang w:val="es-ES" w:eastAsia="en-US" w:bidi="ar-SA"/>
      </w:rPr>
    </w:lvl>
    <w:lvl w:ilvl="7" w:tplc="8B48C356">
      <w:numFmt w:val="bullet"/>
      <w:lvlText w:val="•"/>
      <w:lvlJc w:val="left"/>
      <w:pPr>
        <w:ind w:left="7062" w:hanging="720"/>
      </w:pPr>
      <w:rPr>
        <w:rFonts w:hint="default"/>
        <w:lang w:val="es-ES" w:eastAsia="en-US" w:bidi="ar-SA"/>
      </w:rPr>
    </w:lvl>
    <w:lvl w:ilvl="8" w:tplc="4A48303C">
      <w:numFmt w:val="bullet"/>
      <w:lvlText w:val="•"/>
      <w:lvlJc w:val="left"/>
      <w:pPr>
        <w:ind w:left="7828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6807146D"/>
    <w:multiLevelType w:val="hybridMultilevel"/>
    <w:tmpl w:val="A33A7660"/>
    <w:lvl w:ilvl="0" w:tplc="D6BEB7A4">
      <w:numFmt w:val="bullet"/>
      <w:lvlText w:val="•"/>
      <w:lvlJc w:val="left"/>
      <w:pPr>
        <w:ind w:left="261" w:hanging="72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93E5D1C">
      <w:numFmt w:val="bullet"/>
      <w:lvlText w:val="•"/>
      <w:lvlJc w:val="left"/>
      <w:pPr>
        <w:ind w:left="1170" w:hanging="720"/>
      </w:pPr>
      <w:rPr>
        <w:rFonts w:hint="default"/>
        <w:lang w:val="es-ES" w:eastAsia="en-US" w:bidi="ar-SA"/>
      </w:rPr>
    </w:lvl>
    <w:lvl w:ilvl="2" w:tplc="8A822856">
      <w:numFmt w:val="bullet"/>
      <w:lvlText w:val="•"/>
      <w:lvlJc w:val="left"/>
      <w:pPr>
        <w:ind w:left="2080" w:hanging="720"/>
      </w:pPr>
      <w:rPr>
        <w:rFonts w:hint="default"/>
        <w:lang w:val="es-ES" w:eastAsia="en-US" w:bidi="ar-SA"/>
      </w:rPr>
    </w:lvl>
    <w:lvl w:ilvl="3" w:tplc="BEA66AEC">
      <w:numFmt w:val="bullet"/>
      <w:lvlText w:val="•"/>
      <w:lvlJc w:val="left"/>
      <w:pPr>
        <w:ind w:left="2990" w:hanging="720"/>
      </w:pPr>
      <w:rPr>
        <w:rFonts w:hint="default"/>
        <w:lang w:val="es-ES" w:eastAsia="en-US" w:bidi="ar-SA"/>
      </w:rPr>
    </w:lvl>
    <w:lvl w:ilvl="4" w:tplc="805266A6">
      <w:numFmt w:val="bullet"/>
      <w:lvlText w:val="•"/>
      <w:lvlJc w:val="left"/>
      <w:pPr>
        <w:ind w:left="3900" w:hanging="720"/>
      </w:pPr>
      <w:rPr>
        <w:rFonts w:hint="default"/>
        <w:lang w:val="es-ES" w:eastAsia="en-US" w:bidi="ar-SA"/>
      </w:rPr>
    </w:lvl>
    <w:lvl w:ilvl="5" w:tplc="499EAC56">
      <w:numFmt w:val="bullet"/>
      <w:lvlText w:val="•"/>
      <w:lvlJc w:val="left"/>
      <w:pPr>
        <w:ind w:left="4810" w:hanging="720"/>
      </w:pPr>
      <w:rPr>
        <w:rFonts w:hint="default"/>
        <w:lang w:val="es-ES" w:eastAsia="en-US" w:bidi="ar-SA"/>
      </w:rPr>
    </w:lvl>
    <w:lvl w:ilvl="6" w:tplc="025E16F8">
      <w:numFmt w:val="bullet"/>
      <w:lvlText w:val="•"/>
      <w:lvlJc w:val="left"/>
      <w:pPr>
        <w:ind w:left="5720" w:hanging="720"/>
      </w:pPr>
      <w:rPr>
        <w:rFonts w:hint="default"/>
        <w:lang w:val="es-ES" w:eastAsia="en-US" w:bidi="ar-SA"/>
      </w:rPr>
    </w:lvl>
    <w:lvl w:ilvl="7" w:tplc="A8C4E4AC">
      <w:numFmt w:val="bullet"/>
      <w:lvlText w:val="•"/>
      <w:lvlJc w:val="left"/>
      <w:pPr>
        <w:ind w:left="6630" w:hanging="720"/>
      </w:pPr>
      <w:rPr>
        <w:rFonts w:hint="default"/>
        <w:lang w:val="es-ES" w:eastAsia="en-US" w:bidi="ar-SA"/>
      </w:rPr>
    </w:lvl>
    <w:lvl w:ilvl="8" w:tplc="2AE26D58">
      <w:numFmt w:val="bullet"/>
      <w:lvlText w:val="•"/>
      <w:lvlJc w:val="left"/>
      <w:pPr>
        <w:ind w:left="7540" w:hanging="720"/>
      </w:pPr>
      <w:rPr>
        <w:rFonts w:hint="default"/>
        <w:lang w:val="es-ES" w:eastAsia="en-US" w:bidi="ar-SA"/>
      </w:rPr>
    </w:lvl>
  </w:abstractNum>
  <w:num w:numId="1" w16cid:durableId="565454355">
    <w:abstractNumId w:val="0"/>
  </w:num>
  <w:num w:numId="2" w16cid:durableId="66481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2A06"/>
    <w:rsid w:val="002E2A06"/>
    <w:rsid w:val="003A5626"/>
    <w:rsid w:val="00647290"/>
    <w:rsid w:val="00A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2A4B-2EAD-48EB-8687-390F64D2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ind w:left="26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700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1092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Jesus Caro Arroyo</dc:creator>
  <cp:lastModifiedBy>Guillermo Diaz Vallejos</cp:lastModifiedBy>
  <cp:revision>1</cp:revision>
  <dcterms:created xsi:type="dcterms:W3CDTF">2025-03-04T22:19:00Z</dcterms:created>
  <dcterms:modified xsi:type="dcterms:W3CDTF">2025-03-05T14:50:00Z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Aspose.Words for .NET 16.6.0.0</vt:lpwstr>
  </property>
</Properties>
</file>