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36B" w:rsidRDefault="00DE236B">
      <w:pPr>
        <w:pStyle w:val="Textoindependiente"/>
        <w:spacing w:before="103"/>
        <w:rPr>
          <w:rFonts w:ascii="Times New Roman"/>
          <w:sz w:val="20"/>
        </w:rPr>
      </w:pPr>
    </w:p>
    <w:p w:rsidR="00DE236B" w:rsidRDefault="00000000">
      <w:pPr>
        <w:pStyle w:val="Textoindependiente"/>
        <w:ind w:left="3997"/>
        <w:rPr>
          <w:rFonts w:ascii="Times New Roman"/>
          <w:sz w:val="20"/>
        </w:rPr>
      </w:pPr>
      <w:r>
        <w:rPr>
          <w:rFonts w:ascii="Times New Roman"/>
          <w:noProof/>
          <w:sz w:val="20"/>
        </w:rPr>
        <w:drawing>
          <wp:inline distT="0" distB="0" distL="0" distR="0">
            <wp:extent cx="851966" cy="851916"/>
            <wp:effectExtent l="0" t="0" r="0" b="0"/>
            <wp:docPr id="1" name="Image 1" descr="Logotipo, nombre de la empres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 nombre de la empresa  Descripción generada automáticamente"/>
                    <pic:cNvPicPr/>
                  </pic:nvPicPr>
                  <pic:blipFill>
                    <a:blip r:embed="rId5" cstate="print"/>
                    <a:stretch>
                      <a:fillRect/>
                    </a:stretch>
                  </pic:blipFill>
                  <pic:spPr>
                    <a:xfrm>
                      <a:off x="0" y="0"/>
                      <a:ext cx="851966" cy="851916"/>
                    </a:xfrm>
                    <a:prstGeom prst="rect">
                      <a:avLst/>
                    </a:prstGeom>
                  </pic:spPr>
                </pic:pic>
              </a:graphicData>
            </a:graphic>
          </wp:inline>
        </w:drawing>
      </w:r>
    </w:p>
    <w:p w:rsidR="00DE236B" w:rsidRDefault="00DE236B">
      <w:pPr>
        <w:pStyle w:val="Textoindependiente"/>
        <w:rPr>
          <w:rFonts w:ascii="Times New Roman"/>
          <w:sz w:val="22"/>
        </w:rPr>
      </w:pPr>
    </w:p>
    <w:p w:rsidR="00DE236B" w:rsidRDefault="00DE236B">
      <w:pPr>
        <w:pStyle w:val="Textoindependiente"/>
        <w:spacing w:before="170"/>
        <w:rPr>
          <w:rFonts w:ascii="Times New Roman"/>
          <w:sz w:val="22"/>
        </w:rPr>
      </w:pPr>
    </w:p>
    <w:p w:rsidR="00DE236B" w:rsidRDefault="00000000">
      <w:pPr>
        <w:pStyle w:val="Ttulo"/>
        <w:spacing w:line="340" w:lineRule="auto"/>
        <w:rPr>
          <w:b/>
        </w:rPr>
      </w:pPr>
      <w:r>
        <w:rPr>
          <w:b/>
          <w:smallCaps/>
        </w:rPr>
        <w:t xml:space="preserve">Dispone medidas para el control y registro de vehículos blindados e incorpora a las empresas de servicios de blindaje de vehículos como entidades obligadas a reportar operaciones </w:t>
      </w:r>
      <w:r>
        <w:rPr>
          <w:b/>
          <w:smallCaps/>
          <w:spacing w:val="-2"/>
        </w:rPr>
        <w:t>sospechosas</w:t>
      </w:r>
    </w:p>
    <w:p w:rsidR="00DE236B" w:rsidRDefault="00DE236B">
      <w:pPr>
        <w:pStyle w:val="Textoindependiente"/>
        <w:spacing w:before="11"/>
        <w:rPr>
          <w:b/>
          <w:sz w:val="22"/>
        </w:rPr>
      </w:pPr>
    </w:p>
    <w:p w:rsidR="00DE236B" w:rsidRDefault="00000000">
      <w:pPr>
        <w:pStyle w:val="Textoindependiente"/>
        <w:ind w:left="2"/>
        <w:jc w:val="center"/>
      </w:pPr>
      <w:r>
        <w:rPr>
          <w:spacing w:val="-2"/>
          <w:u w:val="single"/>
        </w:rPr>
        <w:t>Fundamentos</w:t>
      </w:r>
    </w:p>
    <w:p w:rsidR="00DE236B" w:rsidRDefault="00DE236B">
      <w:pPr>
        <w:pStyle w:val="Textoindependiente"/>
        <w:spacing w:before="85"/>
      </w:pPr>
    </w:p>
    <w:p w:rsidR="00DE236B" w:rsidRDefault="00000000">
      <w:pPr>
        <w:pStyle w:val="Textoindependiente"/>
        <w:spacing w:line="276" w:lineRule="auto"/>
        <w:ind w:left="111" w:right="107" w:firstLine="707"/>
        <w:jc w:val="both"/>
        <w:rPr>
          <w:sz w:val="16"/>
        </w:rPr>
      </w:pPr>
      <w:r>
        <w:t>Se ha hecho noticia en Chile la comercialización y empleo de vehículos blindados,</w:t>
      </w:r>
      <w:r>
        <w:rPr>
          <w:spacing w:val="-14"/>
        </w:rPr>
        <w:t xml:space="preserve"> </w:t>
      </w:r>
      <w:r>
        <w:t>lo</w:t>
      </w:r>
      <w:r>
        <w:rPr>
          <w:spacing w:val="-13"/>
        </w:rPr>
        <w:t xml:space="preserve"> </w:t>
      </w:r>
      <w:r>
        <w:t>que</w:t>
      </w:r>
      <w:r>
        <w:rPr>
          <w:spacing w:val="-13"/>
        </w:rPr>
        <w:t xml:space="preserve"> </w:t>
      </w:r>
      <w:r>
        <w:t>estaría</w:t>
      </w:r>
      <w:r>
        <w:rPr>
          <w:spacing w:val="-13"/>
        </w:rPr>
        <w:t xml:space="preserve"> </w:t>
      </w:r>
      <w:r>
        <w:t>muy</w:t>
      </w:r>
      <w:r>
        <w:rPr>
          <w:spacing w:val="-13"/>
        </w:rPr>
        <w:t xml:space="preserve"> </w:t>
      </w:r>
      <w:r>
        <w:t>probablemente</w:t>
      </w:r>
      <w:r>
        <w:rPr>
          <w:spacing w:val="-13"/>
        </w:rPr>
        <w:t xml:space="preserve"> </w:t>
      </w:r>
      <w:r>
        <w:t>asociado</w:t>
      </w:r>
      <w:r>
        <w:rPr>
          <w:spacing w:val="-13"/>
        </w:rPr>
        <w:t xml:space="preserve"> </w:t>
      </w:r>
      <w:r>
        <w:t>a</w:t>
      </w:r>
      <w:r>
        <w:rPr>
          <w:spacing w:val="-13"/>
        </w:rPr>
        <w:t xml:space="preserve"> </w:t>
      </w:r>
      <w:r>
        <w:t>la</w:t>
      </w:r>
      <w:r>
        <w:rPr>
          <w:spacing w:val="-13"/>
        </w:rPr>
        <w:t xml:space="preserve"> </w:t>
      </w:r>
      <w:r>
        <w:t>comisión</w:t>
      </w:r>
      <w:r>
        <w:rPr>
          <w:spacing w:val="-13"/>
        </w:rPr>
        <w:t xml:space="preserve"> </w:t>
      </w:r>
      <w:r>
        <w:t>de</w:t>
      </w:r>
      <w:r>
        <w:rPr>
          <w:spacing w:val="-13"/>
        </w:rPr>
        <w:t xml:space="preserve"> </w:t>
      </w:r>
      <w:r>
        <w:t>hechos delictivos.</w:t>
      </w:r>
      <w:r>
        <w:rPr>
          <w:spacing w:val="-9"/>
        </w:rPr>
        <w:t xml:space="preserve"> </w:t>
      </w:r>
      <w:r>
        <w:t>Ya</w:t>
      </w:r>
      <w:r>
        <w:rPr>
          <w:spacing w:val="-8"/>
        </w:rPr>
        <w:t xml:space="preserve"> </w:t>
      </w:r>
      <w:r>
        <w:t>en</w:t>
      </w:r>
      <w:r>
        <w:rPr>
          <w:spacing w:val="-8"/>
        </w:rPr>
        <w:t xml:space="preserve"> </w:t>
      </w:r>
      <w:r>
        <w:t>octubre</w:t>
      </w:r>
      <w:r>
        <w:rPr>
          <w:spacing w:val="-8"/>
        </w:rPr>
        <w:t xml:space="preserve"> </w:t>
      </w:r>
      <w:r>
        <w:t>de</w:t>
      </w:r>
      <w:r>
        <w:rPr>
          <w:spacing w:val="-8"/>
        </w:rPr>
        <w:t xml:space="preserve"> </w:t>
      </w:r>
      <w:r>
        <w:t>2023</w:t>
      </w:r>
      <w:r>
        <w:rPr>
          <w:spacing w:val="-8"/>
        </w:rPr>
        <w:t xml:space="preserve"> </w:t>
      </w:r>
      <w:r>
        <w:t>un</w:t>
      </w:r>
      <w:r>
        <w:rPr>
          <w:spacing w:val="-8"/>
        </w:rPr>
        <w:t xml:space="preserve"> </w:t>
      </w:r>
      <w:r>
        <w:t>importante</w:t>
      </w:r>
      <w:r>
        <w:rPr>
          <w:spacing w:val="-8"/>
        </w:rPr>
        <w:t xml:space="preserve"> </w:t>
      </w:r>
      <w:r>
        <w:t>medio</w:t>
      </w:r>
      <w:r>
        <w:rPr>
          <w:spacing w:val="-8"/>
        </w:rPr>
        <w:t xml:space="preserve"> </w:t>
      </w:r>
      <w:r>
        <w:t>de</w:t>
      </w:r>
      <w:r>
        <w:rPr>
          <w:spacing w:val="-8"/>
        </w:rPr>
        <w:t xml:space="preserve"> </w:t>
      </w:r>
      <w:r>
        <w:t>circulación</w:t>
      </w:r>
      <w:r>
        <w:rPr>
          <w:spacing w:val="-8"/>
        </w:rPr>
        <w:t xml:space="preserve"> </w:t>
      </w:r>
      <w:r>
        <w:t>nacional reportaba cómo es que ha ido incrementando la demanda por el servicio de blindaje</w:t>
      </w:r>
      <w:r>
        <w:rPr>
          <w:spacing w:val="-2"/>
        </w:rPr>
        <w:t xml:space="preserve"> </w:t>
      </w:r>
      <w:r>
        <w:t>de</w:t>
      </w:r>
      <w:r>
        <w:rPr>
          <w:spacing w:val="-2"/>
        </w:rPr>
        <w:t xml:space="preserve"> </w:t>
      </w:r>
      <w:r>
        <w:t>vehículos,</w:t>
      </w:r>
      <w:r>
        <w:rPr>
          <w:spacing w:val="-2"/>
        </w:rPr>
        <w:t xml:space="preserve"> </w:t>
      </w:r>
      <w:r>
        <w:t>realizando</w:t>
      </w:r>
      <w:r>
        <w:rPr>
          <w:spacing w:val="-2"/>
        </w:rPr>
        <w:t xml:space="preserve"> </w:t>
      </w:r>
      <w:r>
        <w:t>estas</w:t>
      </w:r>
      <w:r>
        <w:rPr>
          <w:spacing w:val="-2"/>
        </w:rPr>
        <w:t xml:space="preserve"> </w:t>
      </w:r>
      <w:r>
        <w:t>modificaciones</w:t>
      </w:r>
      <w:r>
        <w:rPr>
          <w:spacing w:val="-2"/>
        </w:rPr>
        <w:t xml:space="preserve"> </w:t>
      </w:r>
      <w:r>
        <w:t>por</w:t>
      </w:r>
      <w:r>
        <w:rPr>
          <w:spacing w:val="-2"/>
        </w:rPr>
        <w:t xml:space="preserve"> </w:t>
      </w:r>
      <w:r>
        <w:t>sumas</w:t>
      </w:r>
      <w:r>
        <w:rPr>
          <w:spacing w:val="-2"/>
        </w:rPr>
        <w:t xml:space="preserve"> </w:t>
      </w:r>
      <w:r>
        <w:t>superiores</w:t>
      </w:r>
      <w:r>
        <w:rPr>
          <w:spacing w:val="-2"/>
        </w:rPr>
        <w:t xml:space="preserve"> </w:t>
      </w:r>
      <w:r>
        <w:t>a los $20.000.000.-</w:t>
      </w:r>
      <w:hyperlink w:anchor="_bookmark0" w:history="1">
        <w:r>
          <w:rPr>
            <w:position w:val="6"/>
            <w:sz w:val="16"/>
          </w:rPr>
          <w:t>1</w:t>
        </w:r>
      </w:hyperlink>
    </w:p>
    <w:p w:rsidR="00DE236B" w:rsidRDefault="00DE236B">
      <w:pPr>
        <w:pStyle w:val="Textoindependiente"/>
        <w:spacing w:before="42"/>
      </w:pPr>
    </w:p>
    <w:p w:rsidR="00DE236B" w:rsidRDefault="00000000">
      <w:pPr>
        <w:pStyle w:val="Textoindependiente"/>
        <w:spacing w:before="1" w:line="276" w:lineRule="auto"/>
        <w:ind w:left="111" w:right="107" w:firstLine="707"/>
        <w:jc w:val="both"/>
      </w:pPr>
      <w:r>
        <w:t>El blindaje de vehículos puede llegar a constituir una necesidad en materia</w:t>
      </w:r>
      <w:r>
        <w:rPr>
          <w:spacing w:val="-2"/>
        </w:rPr>
        <w:t xml:space="preserve"> </w:t>
      </w:r>
      <w:r>
        <w:t>de</w:t>
      </w:r>
      <w:r>
        <w:rPr>
          <w:spacing w:val="-2"/>
        </w:rPr>
        <w:t xml:space="preserve"> </w:t>
      </w:r>
      <w:r>
        <w:t>seguridad,</w:t>
      </w:r>
      <w:r>
        <w:rPr>
          <w:spacing w:val="-2"/>
        </w:rPr>
        <w:t xml:space="preserve"> </w:t>
      </w:r>
      <w:r>
        <w:t>ya</w:t>
      </w:r>
      <w:r>
        <w:rPr>
          <w:spacing w:val="-2"/>
        </w:rPr>
        <w:t xml:space="preserve"> </w:t>
      </w:r>
      <w:r>
        <w:t>que,</w:t>
      </w:r>
      <w:r>
        <w:rPr>
          <w:spacing w:val="-2"/>
        </w:rPr>
        <w:t xml:space="preserve"> </w:t>
      </w:r>
      <w:r>
        <w:t>de</w:t>
      </w:r>
      <w:r>
        <w:rPr>
          <w:spacing w:val="-5"/>
        </w:rPr>
        <w:t xml:space="preserve"> </w:t>
      </w:r>
      <w:r>
        <w:t>manera</w:t>
      </w:r>
      <w:r>
        <w:rPr>
          <w:spacing w:val="-2"/>
        </w:rPr>
        <w:t xml:space="preserve"> </w:t>
      </w:r>
      <w:r>
        <w:t>obvia,</w:t>
      </w:r>
      <w:r>
        <w:rPr>
          <w:spacing w:val="-2"/>
        </w:rPr>
        <w:t xml:space="preserve"> </w:t>
      </w:r>
      <w:r>
        <w:t>los</w:t>
      </w:r>
      <w:r>
        <w:rPr>
          <w:spacing w:val="-2"/>
        </w:rPr>
        <w:t xml:space="preserve"> </w:t>
      </w:r>
      <w:r>
        <w:t>vehículos</w:t>
      </w:r>
      <w:r>
        <w:rPr>
          <w:spacing w:val="-2"/>
        </w:rPr>
        <w:t xml:space="preserve"> </w:t>
      </w:r>
      <w:r>
        <w:t>policiales,</w:t>
      </w:r>
      <w:r>
        <w:rPr>
          <w:spacing w:val="-2"/>
        </w:rPr>
        <w:t xml:space="preserve"> </w:t>
      </w:r>
      <w:r>
        <w:t>de</w:t>
      </w:r>
      <w:r>
        <w:rPr>
          <w:spacing w:val="-2"/>
        </w:rPr>
        <w:t xml:space="preserve"> </w:t>
      </w:r>
      <w:r>
        <w:t>las Fuerzas Armadas o</w:t>
      </w:r>
      <w:r>
        <w:rPr>
          <w:spacing w:val="-2"/>
        </w:rPr>
        <w:t xml:space="preserve"> </w:t>
      </w:r>
      <w:r>
        <w:t>de distintos servicios asociados al ámbito de la seguridad, incluyendo aquellos dispuestos para el traslado de altas autoridades, investiduras y magistraturas, requieren blindaje con el objeto de prevenir resultados lesivos ante ataques. Misma situación se puede verificar respecto de los vehículos empleados para rescate o ante emergencias, así como de empresas</w:t>
      </w:r>
      <w:r>
        <w:rPr>
          <w:spacing w:val="-6"/>
        </w:rPr>
        <w:t xml:space="preserve"> </w:t>
      </w:r>
      <w:r>
        <w:t>de</w:t>
      </w:r>
      <w:r>
        <w:rPr>
          <w:spacing w:val="-6"/>
        </w:rPr>
        <w:t xml:space="preserve"> </w:t>
      </w:r>
      <w:r>
        <w:t>sectores</w:t>
      </w:r>
      <w:r>
        <w:rPr>
          <w:spacing w:val="-6"/>
        </w:rPr>
        <w:t xml:space="preserve"> </w:t>
      </w:r>
      <w:r>
        <w:t>estratégicos</w:t>
      </w:r>
      <w:r>
        <w:rPr>
          <w:spacing w:val="-5"/>
        </w:rPr>
        <w:t xml:space="preserve"> </w:t>
      </w:r>
      <w:r>
        <w:t>(forestal</w:t>
      </w:r>
      <w:r>
        <w:rPr>
          <w:spacing w:val="-6"/>
        </w:rPr>
        <w:t xml:space="preserve"> </w:t>
      </w:r>
      <w:r>
        <w:t>o</w:t>
      </w:r>
      <w:r>
        <w:rPr>
          <w:spacing w:val="-6"/>
        </w:rPr>
        <w:t xml:space="preserve"> </w:t>
      </w:r>
      <w:r>
        <w:t>eléctrico,</w:t>
      </w:r>
      <w:r>
        <w:rPr>
          <w:spacing w:val="-6"/>
        </w:rPr>
        <w:t xml:space="preserve"> </w:t>
      </w:r>
      <w:r>
        <w:t>entre</w:t>
      </w:r>
      <w:r>
        <w:rPr>
          <w:spacing w:val="-4"/>
        </w:rPr>
        <w:t xml:space="preserve"> </w:t>
      </w:r>
      <w:r>
        <w:t>otros)</w:t>
      </w:r>
      <w:r>
        <w:rPr>
          <w:spacing w:val="-5"/>
        </w:rPr>
        <w:t xml:space="preserve"> </w:t>
      </w:r>
      <w:r>
        <w:t>que</w:t>
      </w:r>
      <w:r>
        <w:rPr>
          <w:spacing w:val="-6"/>
        </w:rPr>
        <w:t xml:space="preserve"> </w:t>
      </w:r>
      <w:r>
        <w:t>pueden también sufrir asaltos, robos u otra clase de afectaciones.</w:t>
      </w:r>
    </w:p>
    <w:p w:rsidR="00DE236B" w:rsidRDefault="00DE236B">
      <w:pPr>
        <w:pStyle w:val="Textoindependiente"/>
        <w:spacing w:before="42"/>
      </w:pPr>
    </w:p>
    <w:p w:rsidR="00DE236B" w:rsidRDefault="00000000">
      <w:pPr>
        <w:pStyle w:val="Textoindependiente"/>
        <w:spacing w:before="1" w:line="276" w:lineRule="auto"/>
        <w:ind w:left="111" w:right="108" w:firstLine="707"/>
        <w:jc w:val="both"/>
      </w:pPr>
      <w:r>
        <w:t>Sin embargo, al mismo tiempo, estos vehículos pueden ser empleados para la comisión de hechos delictivos, especialmente por asociaciones criminales,</w:t>
      </w:r>
      <w:r>
        <w:rPr>
          <w:spacing w:val="37"/>
        </w:rPr>
        <w:t xml:space="preserve"> </w:t>
      </w:r>
      <w:r>
        <w:t>puesto</w:t>
      </w:r>
      <w:r>
        <w:rPr>
          <w:spacing w:val="40"/>
        </w:rPr>
        <w:t xml:space="preserve"> </w:t>
      </w:r>
      <w:r>
        <w:t>que</w:t>
      </w:r>
      <w:r>
        <w:rPr>
          <w:spacing w:val="38"/>
        </w:rPr>
        <w:t xml:space="preserve"> </w:t>
      </w:r>
      <w:r>
        <w:t>brindan</w:t>
      </w:r>
      <w:r>
        <w:rPr>
          <w:spacing w:val="38"/>
        </w:rPr>
        <w:t xml:space="preserve"> </w:t>
      </w:r>
      <w:r>
        <w:t>una</w:t>
      </w:r>
      <w:r>
        <w:rPr>
          <w:spacing w:val="37"/>
        </w:rPr>
        <w:t xml:space="preserve"> </w:t>
      </w:r>
      <w:r>
        <w:t>mayor</w:t>
      </w:r>
      <w:r>
        <w:rPr>
          <w:spacing w:val="37"/>
        </w:rPr>
        <w:t xml:space="preserve"> </w:t>
      </w:r>
      <w:r>
        <w:t>protección</w:t>
      </w:r>
      <w:r>
        <w:rPr>
          <w:spacing w:val="39"/>
        </w:rPr>
        <w:t xml:space="preserve"> </w:t>
      </w:r>
      <w:r>
        <w:t>para</w:t>
      </w:r>
      <w:r>
        <w:rPr>
          <w:spacing w:val="37"/>
        </w:rPr>
        <w:t xml:space="preserve"> </w:t>
      </w:r>
      <w:r>
        <w:t>sus</w:t>
      </w:r>
      <w:r>
        <w:rPr>
          <w:spacing w:val="38"/>
        </w:rPr>
        <w:t xml:space="preserve"> </w:t>
      </w:r>
      <w:r>
        <w:rPr>
          <w:spacing w:val="-2"/>
        </w:rPr>
        <w:t>actividades</w:t>
      </w:r>
    </w:p>
    <w:p w:rsidR="00DE236B" w:rsidRDefault="00000000">
      <w:pPr>
        <w:pStyle w:val="Textoindependiente"/>
        <w:spacing w:before="68"/>
        <w:rPr>
          <w:sz w:val="20"/>
        </w:rPr>
      </w:pPr>
      <w:r>
        <w:rPr>
          <w:noProof/>
        </w:rPr>
        <mc:AlternateContent>
          <mc:Choice Requires="wps">
            <w:drawing>
              <wp:anchor distT="0" distB="0" distL="0" distR="0" simplePos="0" relativeHeight="487587840" behindDoc="1" locked="0" layoutInCell="1" allowOverlap="1">
                <wp:simplePos x="0" y="0"/>
                <wp:positionH relativeFrom="page">
                  <wp:posOffset>972616</wp:posOffset>
                </wp:positionH>
                <wp:positionV relativeFrom="paragraph">
                  <wp:posOffset>207727</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364C84" id="Graphic 2" o:spid="_x0000_s1026" style="position:absolute;margin-left:76.6pt;margin-top:16.3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SwYt/4AAAAAkBAAAPAAAAZHJzL2Rvd25yZXYueG1sTI/B&#10;SsNAEIbvgu+wjOBF2k2TWEvMpqggFtqCxuJ5kx2TYHY2ZLdtfHvHkx7/mY9/vsnXk+3FCUffOVKw&#10;mEcgkGpnOmoUHN6fZysQPmgyuneECr7Rw7q4vMh1ZtyZ3vBUhkZwCflMK2hDGDIpfd2i1X7uBiTe&#10;fbrR6sBxbKQZ9ZnLbS/jKFpKqzviC60e8KnF+qs8WgUvZr9Zvd7gdr9JysdwmHZV+rFT6vpqergH&#10;EXAKfzD86rM6FOxUuSMZL3rOt0nMqIIkvgPBQJouEhAVD9IYZJHL/x8UPwAAAP//AwBQSwECLQAU&#10;AAYACAAAACEAtoM4kv4AAADhAQAAEwAAAAAAAAAAAAAAAAAAAAAAW0NvbnRlbnRfVHlwZXNdLnht&#10;bFBLAQItABQABgAIAAAAIQA4/SH/1gAAAJQBAAALAAAAAAAAAAAAAAAAAC8BAABfcmVscy8ucmVs&#10;c1BLAQItABQABgAIAAAAIQAi9cqlIwIAAL0EAAAOAAAAAAAAAAAAAAAAAC4CAABkcnMvZTJvRG9j&#10;LnhtbFBLAQItABQABgAIAAAAIQCSwYt/4AAAAAkBAAAPAAAAAAAAAAAAAAAAAH0EAABkcnMvZG93&#10;bnJldi54bWxQSwUGAAAAAAQABADzAAAAigUAAAAA&#10;" path="m1829054,l,,,9143r1829054,l1829054,xe" fillcolor="black" stroked="f">
                <v:path arrowok="t"/>
                <w10:wrap type="topAndBottom" anchorx="page"/>
              </v:shape>
            </w:pict>
          </mc:Fallback>
        </mc:AlternateContent>
      </w:r>
    </w:p>
    <w:p w:rsidR="00DE236B" w:rsidRDefault="00000000">
      <w:pPr>
        <w:spacing w:before="102"/>
        <w:ind w:left="111" w:right="111"/>
        <w:rPr>
          <w:rFonts w:ascii="Calibri"/>
          <w:sz w:val="20"/>
        </w:rPr>
      </w:pPr>
      <w:bookmarkStart w:id="0" w:name="_bookmark0"/>
      <w:bookmarkEnd w:id="0"/>
      <w:r>
        <w:rPr>
          <w:rFonts w:ascii="Calibri"/>
          <w:sz w:val="20"/>
          <w:vertAlign w:val="superscript"/>
        </w:rPr>
        <w:t>1</w:t>
      </w:r>
      <w:r>
        <w:rPr>
          <w:rFonts w:ascii="Calibri"/>
          <w:spacing w:val="40"/>
          <w:sz w:val="20"/>
        </w:rPr>
        <w:t xml:space="preserve">  </w:t>
      </w:r>
      <w:r>
        <w:rPr>
          <w:rFonts w:ascii="Calibri"/>
          <w:sz w:val="20"/>
        </w:rPr>
        <w:t>Nota</w:t>
      </w:r>
      <w:r>
        <w:rPr>
          <w:rFonts w:ascii="Calibri"/>
          <w:spacing w:val="49"/>
          <w:sz w:val="20"/>
        </w:rPr>
        <w:t xml:space="preserve">  </w:t>
      </w:r>
      <w:r>
        <w:rPr>
          <w:rFonts w:ascii="Calibri"/>
          <w:sz w:val="20"/>
        </w:rPr>
        <w:t>de</w:t>
      </w:r>
      <w:r>
        <w:rPr>
          <w:rFonts w:ascii="Calibri"/>
          <w:spacing w:val="40"/>
          <w:sz w:val="20"/>
        </w:rPr>
        <w:t xml:space="preserve">  </w:t>
      </w:r>
      <w:r>
        <w:rPr>
          <w:rFonts w:ascii="Calibri"/>
          <w:sz w:val="20"/>
        </w:rPr>
        <w:t>prensa</w:t>
      </w:r>
      <w:r>
        <w:rPr>
          <w:rFonts w:ascii="Calibri"/>
          <w:spacing w:val="49"/>
          <w:sz w:val="20"/>
        </w:rPr>
        <w:t xml:space="preserve">  </w:t>
      </w:r>
      <w:r>
        <w:rPr>
          <w:rFonts w:ascii="Calibri"/>
          <w:sz w:val="20"/>
        </w:rPr>
        <w:t>del</w:t>
      </w:r>
      <w:r>
        <w:rPr>
          <w:rFonts w:ascii="Calibri"/>
          <w:spacing w:val="40"/>
          <w:sz w:val="20"/>
        </w:rPr>
        <w:t xml:space="preserve">  </w:t>
      </w:r>
      <w:r>
        <w:rPr>
          <w:rFonts w:ascii="Calibri"/>
          <w:sz w:val="20"/>
        </w:rPr>
        <w:t>medio</w:t>
      </w:r>
      <w:r>
        <w:rPr>
          <w:rFonts w:ascii="Calibri"/>
          <w:spacing w:val="51"/>
          <w:sz w:val="20"/>
        </w:rPr>
        <w:t xml:space="preserve">  </w:t>
      </w:r>
      <w:r>
        <w:rPr>
          <w:rFonts w:ascii="Calibri"/>
          <w:sz w:val="20"/>
        </w:rPr>
        <w:t>L</w:t>
      </w:r>
      <w:r>
        <w:rPr>
          <w:rFonts w:ascii="Calibri"/>
          <w:sz w:val="16"/>
        </w:rPr>
        <w:t>A</w:t>
      </w:r>
      <w:r>
        <w:rPr>
          <w:rFonts w:ascii="Calibri"/>
          <w:spacing w:val="51"/>
          <w:sz w:val="16"/>
        </w:rPr>
        <w:t xml:space="preserve">  </w:t>
      </w:r>
      <w:r>
        <w:rPr>
          <w:rFonts w:ascii="Calibri"/>
          <w:sz w:val="20"/>
        </w:rPr>
        <w:t>T</w:t>
      </w:r>
      <w:r>
        <w:rPr>
          <w:rFonts w:ascii="Calibri"/>
          <w:sz w:val="16"/>
        </w:rPr>
        <w:t>ERCERA</w:t>
      </w:r>
      <w:r>
        <w:rPr>
          <w:rFonts w:ascii="Calibri"/>
          <w:spacing w:val="59"/>
          <w:sz w:val="16"/>
        </w:rPr>
        <w:t xml:space="preserve">  </w:t>
      </w:r>
      <w:r>
        <w:rPr>
          <w:rFonts w:ascii="Calibri"/>
          <w:sz w:val="20"/>
        </w:rPr>
        <w:t>de</w:t>
      </w:r>
      <w:r>
        <w:rPr>
          <w:rFonts w:ascii="Calibri"/>
          <w:spacing w:val="40"/>
          <w:sz w:val="20"/>
        </w:rPr>
        <w:t xml:space="preserve">  </w:t>
      </w:r>
      <w:r>
        <w:rPr>
          <w:rFonts w:ascii="Calibri"/>
          <w:sz w:val="20"/>
        </w:rPr>
        <w:t>fecha</w:t>
      </w:r>
      <w:r>
        <w:rPr>
          <w:rFonts w:ascii="Calibri"/>
          <w:spacing w:val="50"/>
          <w:sz w:val="20"/>
        </w:rPr>
        <w:t xml:space="preserve">  </w:t>
      </w:r>
      <w:r>
        <w:rPr>
          <w:rFonts w:ascii="Calibri"/>
          <w:sz w:val="20"/>
        </w:rPr>
        <w:t>7</w:t>
      </w:r>
      <w:r>
        <w:rPr>
          <w:rFonts w:ascii="Calibri"/>
          <w:spacing w:val="40"/>
          <w:sz w:val="20"/>
        </w:rPr>
        <w:t xml:space="preserve">  </w:t>
      </w:r>
      <w:r>
        <w:rPr>
          <w:rFonts w:ascii="Calibri"/>
          <w:sz w:val="20"/>
        </w:rPr>
        <w:t>de</w:t>
      </w:r>
      <w:r>
        <w:rPr>
          <w:rFonts w:ascii="Calibri"/>
          <w:spacing w:val="40"/>
          <w:sz w:val="20"/>
        </w:rPr>
        <w:t xml:space="preserve">  </w:t>
      </w:r>
      <w:r>
        <w:rPr>
          <w:rFonts w:ascii="Calibri"/>
          <w:sz w:val="20"/>
        </w:rPr>
        <w:t>octubre</w:t>
      </w:r>
      <w:r>
        <w:rPr>
          <w:rFonts w:ascii="Calibri"/>
          <w:spacing w:val="40"/>
          <w:sz w:val="20"/>
        </w:rPr>
        <w:t xml:space="preserve">  </w:t>
      </w:r>
      <w:r>
        <w:rPr>
          <w:rFonts w:ascii="Calibri"/>
          <w:sz w:val="20"/>
        </w:rPr>
        <w:t>de</w:t>
      </w:r>
      <w:r>
        <w:rPr>
          <w:rFonts w:ascii="Calibri"/>
          <w:spacing w:val="50"/>
          <w:sz w:val="20"/>
        </w:rPr>
        <w:t xml:space="preserve">  </w:t>
      </w:r>
      <w:r>
        <w:rPr>
          <w:rFonts w:ascii="Calibri"/>
          <w:sz w:val="20"/>
        </w:rPr>
        <w:t>2023,</w:t>
      </w:r>
      <w:r>
        <w:rPr>
          <w:rFonts w:ascii="Calibri"/>
          <w:spacing w:val="49"/>
          <w:sz w:val="20"/>
        </w:rPr>
        <w:t xml:space="preserve">  </w:t>
      </w:r>
      <w:r>
        <w:rPr>
          <w:rFonts w:ascii="Calibri"/>
          <w:sz w:val="20"/>
        </w:rPr>
        <w:t>disponible</w:t>
      </w:r>
      <w:r>
        <w:rPr>
          <w:rFonts w:ascii="Calibri"/>
          <w:spacing w:val="40"/>
          <w:sz w:val="20"/>
        </w:rPr>
        <w:t xml:space="preserve">  </w:t>
      </w:r>
      <w:r>
        <w:rPr>
          <w:rFonts w:ascii="Calibri"/>
          <w:sz w:val="20"/>
        </w:rPr>
        <w:t xml:space="preserve">en: </w:t>
      </w:r>
      <w:r>
        <w:rPr>
          <w:rFonts w:ascii="Calibri"/>
          <w:spacing w:val="-2"/>
          <w:sz w:val="20"/>
        </w:rPr>
        <w:t>https:/</w:t>
      </w:r>
      <w:hyperlink r:id="rId6">
        <w:r>
          <w:rPr>
            <w:rFonts w:ascii="Calibri"/>
            <w:spacing w:val="-2"/>
            <w:sz w:val="20"/>
          </w:rPr>
          <w:t>/www.latercera.com/pulso/noticia/de-4-autos-al-ano-a-4-autos-al-mes-el-creciente-mercado-de-</w:t>
        </w:r>
      </w:hyperlink>
      <w:r>
        <w:rPr>
          <w:rFonts w:ascii="Calibri"/>
          <w:spacing w:val="80"/>
          <w:w w:val="150"/>
          <w:sz w:val="20"/>
        </w:rPr>
        <w:t xml:space="preserve"> </w:t>
      </w:r>
      <w:r>
        <w:rPr>
          <w:rFonts w:ascii="Calibri"/>
          <w:spacing w:val="-2"/>
          <w:sz w:val="20"/>
        </w:rPr>
        <w:t>vehiculos-blindados-en-chile/AINSAGAHLRBRLAAEBFO7VN5D3Y/</w:t>
      </w:r>
    </w:p>
    <w:p w:rsidR="00DE236B" w:rsidRDefault="00DE236B">
      <w:pPr>
        <w:rPr>
          <w:rFonts w:ascii="Calibri"/>
          <w:sz w:val="20"/>
        </w:rPr>
        <w:sectPr w:rsidR="00DE236B">
          <w:type w:val="continuous"/>
          <w:pgSz w:w="12240" w:h="15840"/>
          <w:pgMar w:top="1820" w:right="1420" w:bottom="280" w:left="1420" w:header="720" w:footer="720" w:gutter="0"/>
          <w:cols w:space="720"/>
        </w:sectPr>
      </w:pPr>
    </w:p>
    <w:p w:rsidR="00DE236B" w:rsidRDefault="00000000">
      <w:pPr>
        <w:pStyle w:val="Textoindependiente"/>
        <w:spacing w:before="71" w:line="276" w:lineRule="auto"/>
        <w:ind w:left="111" w:right="107"/>
        <w:jc w:val="both"/>
      </w:pPr>
      <w:r>
        <w:lastRenderedPageBreak/>
        <w:t>ilícitas</w:t>
      </w:r>
      <w:hyperlink w:anchor="_bookmark1" w:history="1">
        <w:r>
          <w:rPr>
            <w:position w:val="6"/>
            <w:sz w:val="16"/>
          </w:rPr>
          <w:t>2</w:t>
        </w:r>
      </w:hyperlink>
      <w:r>
        <w:t>. Efectivamente, el acceso al servicio de blindaje en nuestro país y la comercialización</w:t>
      </w:r>
      <w:r>
        <w:rPr>
          <w:spacing w:val="-9"/>
        </w:rPr>
        <w:t xml:space="preserve"> </w:t>
      </w:r>
      <w:r>
        <w:t>de</w:t>
      </w:r>
      <w:r>
        <w:rPr>
          <w:spacing w:val="-9"/>
        </w:rPr>
        <w:t xml:space="preserve"> </w:t>
      </w:r>
      <w:r>
        <w:t>vehículos</w:t>
      </w:r>
      <w:r>
        <w:rPr>
          <w:spacing w:val="-9"/>
        </w:rPr>
        <w:t xml:space="preserve"> </w:t>
      </w:r>
      <w:r>
        <w:t>blindados</w:t>
      </w:r>
      <w:r>
        <w:rPr>
          <w:spacing w:val="-9"/>
        </w:rPr>
        <w:t xml:space="preserve"> </w:t>
      </w:r>
      <w:r>
        <w:t>no</w:t>
      </w:r>
      <w:r>
        <w:rPr>
          <w:spacing w:val="-9"/>
        </w:rPr>
        <w:t xml:space="preserve"> </w:t>
      </w:r>
      <w:r>
        <w:t>requiere</w:t>
      </w:r>
      <w:r>
        <w:rPr>
          <w:spacing w:val="-9"/>
        </w:rPr>
        <w:t xml:space="preserve"> </w:t>
      </w:r>
      <w:r>
        <w:t>un</w:t>
      </w:r>
      <w:r>
        <w:rPr>
          <w:spacing w:val="-9"/>
        </w:rPr>
        <w:t xml:space="preserve"> </w:t>
      </w:r>
      <w:r>
        <w:t>control</w:t>
      </w:r>
      <w:r>
        <w:rPr>
          <w:spacing w:val="-9"/>
        </w:rPr>
        <w:t xml:space="preserve"> </w:t>
      </w:r>
      <w:r>
        <w:t>especial,</w:t>
      </w:r>
      <w:r>
        <w:rPr>
          <w:spacing w:val="-9"/>
        </w:rPr>
        <w:t xml:space="preserve"> </w:t>
      </w:r>
      <w:r>
        <w:t>por</w:t>
      </w:r>
      <w:r>
        <w:rPr>
          <w:spacing w:val="-9"/>
        </w:rPr>
        <w:t xml:space="preserve"> </w:t>
      </w:r>
      <w:r>
        <w:t>lo que</w:t>
      </w:r>
      <w:r>
        <w:rPr>
          <w:spacing w:val="-13"/>
        </w:rPr>
        <w:t xml:space="preserve"> </w:t>
      </w:r>
      <w:r>
        <w:t>los</w:t>
      </w:r>
      <w:r>
        <w:rPr>
          <w:spacing w:val="-13"/>
        </w:rPr>
        <w:t xml:space="preserve"> </w:t>
      </w:r>
      <w:r>
        <w:t>vehículos</w:t>
      </w:r>
      <w:r>
        <w:rPr>
          <w:spacing w:val="-13"/>
        </w:rPr>
        <w:t xml:space="preserve"> </w:t>
      </w:r>
      <w:r>
        <w:t>blindados</w:t>
      </w:r>
      <w:r>
        <w:rPr>
          <w:spacing w:val="-13"/>
        </w:rPr>
        <w:t xml:space="preserve"> </w:t>
      </w:r>
      <w:r>
        <w:t>que</w:t>
      </w:r>
      <w:r>
        <w:rPr>
          <w:spacing w:val="-13"/>
        </w:rPr>
        <w:t xml:space="preserve"> </w:t>
      </w:r>
      <w:r>
        <w:t>son</w:t>
      </w:r>
      <w:r>
        <w:rPr>
          <w:spacing w:val="-13"/>
        </w:rPr>
        <w:t xml:space="preserve"> </w:t>
      </w:r>
      <w:r>
        <w:t>“dados</w:t>
      </w:r>
      <w:r>
        <w:rPr>
          <w:spacing w:val="-13"/>
        </w:rPr>
        <w:t xml:space="preserve"> </w:t>
      </w:r>
      <w:r>
        <w:t>de</w:t>
      </w:r>
      <w:r>
        <w:rPr>
          <w:spacing w:val="-13"/>
        </w:rPr>
        <w:t xml:space="preserve"> </w:t>
      </w:r>
      <w:r>
        <w:t>baja”</w:t>
      </w:r>
      <w:r>
        <w:rPr>
          <w:spacing w:val="-13"/>
        </w:rPr>
        <w:t xml:space="preserve"> </w:t>
      </w:r>
      <w:r>
        <w:t>por</w:t>
      </w:r>
      <w:r>
        <w:rPr>
          <w:spacing w:val="-13"/>
        </w:rPr>
        <w:t xml:space="preserve"> </w:t>
      </w:r>
      <w:r>
        <w:t>distintas</w:t>
      </w:r>
      <w:r>
        <w:rPr>
          <w:spacing w:val="-13"/>
        </w:rPr>
        <w:t xml:space="preserve"> </w:t>
      </w:r>
      <w:r>
        <w:t>instituciones o entidades pueden llegar a manos de asociaciones criminales o bien estas contratar el servicio.</w:t>
      </w:r>
    </w:p>
    <w:p w:rsidR="00DE236B" w:rsidRDefault="00DE236B">
      <w:pPr>
        <w:pStyle w:val="Textoindependiente"/>
        <w:spacing w:before="42"/>
      </w:pPr>
    </w:p>
    <w:p w:rsidR="00DE236B" w:rsidRDefault="00000000">
      <w:pPr>
        <w:pStyle w:val="Textoindependiente"/>
        <w:spacing w:line="276" w:lineRule="auto"/>
        <w:ind w:left="111" w:right="107" w:firstLine="707"/>
        <w:jc w:val="both"/>
      </w:pPr>
      <w:r>
        <w:t>Conociendo esta realidad, países como México o Colombia, donde el crimen organizado tiene una presencia mucho más antigua, han adoptado registros</w:t>
      </w:r>
      <w:r>
        <w:rPr>
          <w:spacing w:val="-20"/>
        </w:rPr>
        <w:t xml:space="preserve"> </w:t>
      </w:r>
      <w:r>
        <w:t>oficiales</w:t>
      </w:r>
      <w:r>
        <w:rPr>
          <w:spacing w:val="-19"/>
        </w:rPr>
        <w:t xml:space="preserve"> </w:t>
      </w:r>
      <w:r>
        <w:t>de</w:t>
      </w:r>
      <w:r>
        <w:rPr>
          <w:spacing w:val="-19"/>
        </w:rPr>
        <w:t xml:space="preserve"> </w:t>
      </w:r>
      <w:r>
        <w:t>esta</w:t>
      </w:r>
      <w:r>
        <w:rPr>
          <w:spacing w:val="-19"/>
        </w:rPr>
        <w:t xml:space="preserve"> </w:t>
      </w:r>
      <w:r>
        <w:t>clase</w:t>
      </w:r>
      <w:r>
        <w:rPr>
          <w:spacing w:val="-19"/>
        </w:rPr>
        <w:t xml:space="preserve"> </w:t>
      </w:r>
      <w:r>
        <w:t>de</w:t>
      </w:r>
      <w:r>
        <w:rPr>
          <w:spacing w:val="-20"/>
        </w:rPr>
        <w:t xml:space="preserve"> </w:t>
      </w:r>
      <w:r>
        <w:t>vehículos</w:t>
      </w:r>
      <w:r>
        <w:rPr>
          <w:spacing w:val="-19"/>
        </w:rPr>
        <w:t xml:space="preserve"> </w:t>
      </w:r>
      <w:r>
        <w:t>para</w:t>
      </w:r>
      <w:r>
        <w:rPr>
          <w:spacing w:val="-19"/>
        </w:rPr>
        <w:t xml:space="preserve"> </w:t>
      </w:r>
      <w:r>
        <w:t>controlar</w:t>
      </w:r>
      <w:r>
        <w:rPr>
          <w:spacing w:val="-19"/>
        </w:rPr>
        <w:t xml:space="preserve"> </w:t>
      </w:r>
      <w:r>
        <w:t>el</w:t>
      </w:r>
      <w:r>
        <w:rPr>
          <w:spacing w:val="-19"/>
        </w:rPr>
        <w:t xml:space="preserve"> </w:t>
      </w:r>
      <w:r>
        <w:t>acceso</w:t>
      </w:r>
      <w:r>
        <w:rPr>
          <w:spacing w:val="-20"/>
        </w:rPr>
        <w:t xml:space="preserve"> </w:t>
      </w:r>
      <w:r>
        <w:t>al</w:t>
      </w:r>
      <w:r>
        <w:rPr>
          <w:spacing w:val="-19"/>
        </w:rPr>
        <w:t xml:space="preserve"> </w:t>
      </w:r>
      <w:r>
        <w:t>blindaje, la modificación de los vehículos o su circulación, lo que sin duda debe replicarse</w:t>
      </w:r>
      <w:r>
        <w:rPr>
          <w:spacing w:val="-15"/>
        </w:rPr>
        <w:t xml:space="preserve"> </w:t>
      </w:r>
      <w:r>
        <w:t>en</w:t>
      </w:r>
      <w:r>
        <w:rPr>
          <w:spacing w:val="-15"/>
        </w:rPr>
        <w:t xml:space="preserve"> </w:t>
      </w:r>
      <w:r>
        <w:t>Chile</w:t>
      </w:r>
      <w:r>
        <w:rPr>
          <w:spacing w:val="-15"/>
        </w:rPr>
        <w:t xml:space="preserve"> </w:t>
      </w:r>
      <w:r>
        <w:t>ante</w:t>
      </w:r>
      <w:r>
        <w:rPr>
          <w:spacing w:val="-15"/>
        </w:rPr>
        <w:t xml:space="preserve"> </w:t>
      </w:r>
      <w:r>
        <w:t>la</w:t>
      </w:r>
      <w:r>
        <w:rPr>
          <w:spacing w:val="-15"/>
        </w:rPr>
        <w:t xml:space="preserve"> </w:t>
      </w:r>
      <w:r>
        <w:t>eventualidad</w:t>
      </w:r>
      <w:r>
        <w:rPr>
          <w:spacing w:val="-15"/>
        </w:rPr>
        <w:t xml:space="preserve"> </w:t>
      </w:r>
      <w:r>
        <w:t>de</w:t>
      </w:r>
      <w:r>
        <w:rPr>
          <w:spacing w:val="-15"/>
        </w:rPr>
        <w:t xml:space="preserve"> </w:t>
      </w:r>
      <w:r>
        <w:t>que</w:t>
      </w:r>
      <w:r>
        <w:rPr>
          <w:spacing w:val="-15"/>
        </w:rPr>
        <w:t xml:space="preserve"> </w:t>
      </w:r>
      <w:r>
        <w:t>estos</w:t>
      </w:r>
      <w:r>
        <w:rPr>
          <w:spacing w:val="-15"/>
        </w:rPr>
        <w:t xml:space="preserve"> </w:t>
      </w:r>
      <w:r>
        <w:t>vehículos</w:t>
      </w:r>
      <w:r>
        <w:rPr>
          <w:spacing w:val="-13"/>
        </w:rPr>
        <w:t xml:space="preserve"> </w:t>
      </w:r>
      <w:r>
        <w:t>sean</w:t>
      </w:r>
      <w:r>
        <w:rPr>
          <w:spacing w:val="-15"/>
        </w:rPr>
        <w:t xml:space="preserve"> </w:t>
      </w:r>
      <w:r>
        <w:t>adquiridos por bandas delictivas o estas transformen aquellos que están en su poder.</w:t>
      </w:r>
    </w:p>
    <w:p w:rsidR="00DE236B" w:rsidRDefault="00DE236B">
      <w:pPr>
        <w:pStyle w:val="Textoindependiente"/>
        <w:spacing w:before="43"/>
      </w:pPr>
    </w:p>
    <w:p w:rsidR="00DE236B" w:rsidRDefault="00000000">
      <w:pPr>
        <w:pStyle w:val="Textoindependiente"/>
        <w:spacing w:line="276" w:lineRule="auto"/>
        <w:ind w:left="111" w:right="108" w:firstLine="707"/>
        <w:jc w:val="both"/>
      </w:pPr>
      <w:r>
        <w:t>En consecuencia, con el objeto de incrementar el control ante la adquisición y circulación de vehículos blindados, así como la transformación de vehículos regulare a esta clase de vehículos, e imponer además nuevas obligaciones en el otorgamiento del servicio, se propone la incorporación de la característica como anotación en el Registro Nacional de Vehículos Motorizados, debiendo el propietario del vehículo informar si aquel que tiene inscrito a su favor será modificado en este sentido.</w:t>
      </w:r>
    </w:p>
    <w:p w:rsidR="00DE236B" w:rsidRDefault="00DE236B">
      <w:pPr>
        <w:pStyle w:val="Textoindependiente"/>
        <w:spacing w:before="43"/>
      </w:pPr>
    </w:p>
    <w:p w:rsidR="00DE236B" w:rsidRDefault="00000000">
      <w:pPr>
        <w:pStyle w:val="Textoindependiente"/>
        <w:spacing w:line="276" w:lineRule="auto"/>
        <w:ind w:left="111" w:right="109" w:firstLine="707"/>
        <w:jc w:val="both"/>
      </w:pPr>
      <w:r>
        <w:t>Asimismo, se propone incluir a las empresas que ofrecen el servicio de blindaje de vehículos dentro del catálogo de entidades obligadas a reportar transacciones a la Unidad de Análisis Financiero.</w:t>
      </w:r>
    </w:p>
    <w:p w:rsidR="00DE236B" w:rsidRDefault="00DE236B">
      <w:pPr>
        <w:pStyle w:val="Textoindependiente"/>
        <w:spacing w:before="42"/>
      </w:pPr>
    </w:p>
    <w:p w:rsidR="00DE236B" w:rsidRDefault="00000000">
      <w:pPr>
        <w:pStyle w:val="Textoindependiente"/>
        <w:ind w:left="819"/>
      </w:pPr>
      <w:r>
        <w:t>Por</w:t>
      </w:r>
      <w:r>
        <w:rPr>
          <w:spacing w:val="-1"/>
        </w:rPr>
        <w:t xml:space="preserve"> </w:t>
      </w:r>
      <w:r>
        <w:t>lo dicho, los diputados suscritos</w:t>
      </w:r>
      <w:r>
        <w:rPr>
          <w:spacing w:val="-1"/>
        </w:rPr>
        <w:t xml:space="preserve"> </w:t>
      </w:r>
      <w:r>
        <w:t xml:space="preserve">venimos en proponer el </w:t>
      </w:r>
      <w:r>
        <w:rPr>
          <w:spacing w:val="-2"/>
        </w:rPr>
        <w:t>siguiente:</w:t>
      </w:r>
    </w:p>
    <w:p w:rsidR="00DE236B" w:rsidRDefault="00DE236B">
      <w:pPr>
        <w:pStyle w:val="Textoindependiente"/>
        <w:spacing w:before="85"/>
      </w:pPr>
    </w:p>
    <w:p w:rsidR="00DE236B" w:rsidRDefault="00000000">
      <w:pPr>
        <w:pStyle w:val="Textoindependiente"/>
        <w:tabs>
          <w:tab w:val="left" w:pos="2316"/>
          <w:tab w:val="left" w:pos="3084"/>
        </w:tabs>
        <w:ind w:left="2"/>
        <w:jc w:val="center"/>
        <w:rPr>
          <w:b/>
        </w:rPr>
      </w:pPr>
      <w:r>
        <w:rPr>
          <w:b/>
        </w:rPr>
        <w:t>P R O Y E</w:t>
      </w:r>
      <w:r>
        <w:rPr>
          <w:b/>
          <w:spacing w:val="-1"/>
        </w:rPr>
        <w:t xml:space="preserve"> </w:t>
      </w:r>
      <w:r>
        <w:rPr>
          <w:b/>
        </w:rPr>
        <w:t xml:space="preserve">C T </w:t>
      </w:r>
      <w:r>
        <w:rPr>
          <w:b/>
          <w:spacing w:val="-10"/>
        </w:rPr>
        <w:t>O</w:t>
      </w:r>
      <w:r>
        <w:rPr>
          <w:b/>
        </w:rPr>
        <w:tab/>
        <w:t>D</w:t>
      </w:r>
      <w:r>
        <w:rPr>
          <w:b/>
          <w:spacing w:val="-2"/>
        </w:rPr>
        <w:t xml:space="preserve"> </w:t>
      </w:r>
      <w:r>
        <w:rPr>
          <w:b/>
          <w:spacing w:val="-10"/>
        </w:rPr>
        <w:t>E</w:t>
      </w:r>
      <w:r>
        <w:rPr>
          <w:b/>
        </w:rPr>
        <w:tab/>
        <w:t>L</w:t>
      </w:r>
      <w:r>
        <w:rPr>
          <w:b/>
          <w:spacing w:val="-2"/>
        </w:rPr>
        <w:t xml:space="preserve"> </w:t>
      </w:r>
      <w:r>
        <w:rPr>
          <w:b/>
        </w:rPr>
        <w:t>E</w:t>
      </w:r>
      <w:r>
        <w:rPr>
          <w:b/>
          <w:spacing w:val="-1"/>
        </w:rPr>
        <w:t xml:space="preserve"> </w:t>
      </w:r>
      <w:r>
        <w:rPr>
          <w:b/>
          <w:spacing w:val="-10"/>
        </w:rPr>
        <w:t>Y</w:t>
      </w:r>
    </w:p>
    <w:p w:rsidR="00DE236B" w:rsidRDefault="00DE236B">
      <w:pPr>
        <w:pStyle w:val="Textoindependiente"/>
        <w:spacing w:before="84"/>
        <w:rPr>
          <w:b/>
        </w:rPr>
      </w:pPr>
    </w:p>
    <w:p w:rsidR="00DE236B" w:rsidRDefault="00000000">
      <w:pPr>
        <w:pStyle w:val="Textoindependiente"/>
        <w:spacing w:line="276" w:lineRule="auto"/>
        <w:ind w:left="111" w:right="109"/>
        <w:jc w:val="both"/>
      </w:pPr>
      <w:r>
        <w:t>“</w:t>
      </w:r>
      <w:r>
        <w:rPr>
          <w:b/>
        </w:rPr>
        <w:t>Artículo Primero</w:t>
      </w:r>
      <w:r>
        <w:t>: Introdúcense las siguientes modificaciones en la Ley N°18.290, de Tránsito:</w:t>
      </w:r>
    </w:p>
    <w:p w:rsidR="00DE236B" w:rsidRDefault="00DE236B">
      <w:pPr>
        <w:pStyle w:val="Textoindependiente"/>
        <w:spacing w:before="43"/>
      </w:pPr>
    </w:p>
    <w:p w:rsidR="00DE236B" w:rsidRDefault="00000000">
      <w:pPr>
        <w:pStyle w:val="Prrafodelista"/>
        <w:numPr>
          <w:ilvl w:val="0"/>
          <w:numId w:val="1"/>
        </w:numPr>
        <w:tabs>
          <w:tab w:val="left" w:pos="831"/>
        </w:tabs>
        <w:spacing w:line="276" w:lineRule="auto"/>
        <w:jc w:val="both"/>
        <w:rPr>
          <w:sz w:val="24"/>
        </w:rPr>
      </w:pPr>
      <w:r>
        <w:rPr>
          <w:sz w:val="24"/>
        </w:rPr>
        <w:t>Incorpórense unos incisos cuarto, quinto y sexto nuevos en el artículo 39, pasando los actuales a ser los incisos quinto, sexto y séptimo, y así sucesivamente, del siguiente tenor:</w:t>
      </w:r>
    </w:p>
    <w:p w:rsidR="00DE236B" w:rsidRDefault="00DE236B">
      <w:pPr>
        <w:pStyle w:val="Textoindependiente"/>
        <w:rPr>
          <w:sz w:val="20"/>
        </w:rPr>
      </w:pPr>
    </w:p>
    <w:p w:rsidR="00DE236B" w:rsidRDefault="00000000">
      <w:pPr>
        <w:pStyle w:val="Textoindependiente"/>
        <w:spacing w:before="98"/>
        <w:rPr>
          <w:sz w:val="20"/>
        </w:rPr>
      </w:pPr>
      <w:r>
        <w:rPr>
          <w:noProof/>
        </w:rPr>
        <mc:AlternateContent>
          <mc:Choice Requires="wps">
            <w:drawing>
              <wp:anchor distT="0" distB="0" distL="0" distR="0" simplePos="0" relativeHeight="487588352" behindDoc="1" locked="0" layoutInCell="1" allowOverlap="1">
                <wp:simplePos x="0" y="0"/>
                <wp:positionH relativeFrom="page">
                  <wp:posOffset>972616</wp:posOffset>
                </wp:positionH>
                <wp:positionV relativeFrom="paragraph">
                  <wp:posOffset>226679</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B848B" id="Graphic 3" o:spid="_x0000_s1026" style="position:absolute;margin-left:76.6pt;margin-top:17.8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H5RDk4AAAAAkBAAAPAAAAZHJzL2Rvd25yZXYueG1sTI/B&#10;SsNAEIbvgu+wjOBF7KZJakvMpqggFtqCxuJ5kx2TYHY2ZLdtfHvHkx7/mY9/vsnXk+3FCUffOVIw&#10;n0UgkGpnOmoUHN6fb1cgfNBkdO8IFXyjh3VxeZHrzLgzveGpDI3gEvKZVtCGMGRS+rpFq/3MDUi8&#10;+3Sj1YHj2Egz6jOX217GUXQnre6IL7R6wKcW66/yaBW8mP1m9XqD2/0mKR/DYdpV6cdOqeur6eEe&#10;RMAp/MHwq8/qULBT5Y5kvOg5L5KYUQXJYgmCgTSdJyAqHixj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CH5RDk4AAAAAkBAAAPAAAAAAAAAAAAAAAAAH0EAABkcnMvZG93&#10;bnJldi54bWxQSwUGAAAAAAQABADzAAAAigUAAAAA&#10;" path="m1829054,l,,,9143r1829054,l1829054,xe" fillcolor="black" stroked="f">
                <v:path arrowok="t"/>
                <w10:wrap type="topAndBottom" anchorx="page"/>
              </v:shape>
            </w:pict>
          </mc:Fallback>
        </mc:AlternateContent>
      </w:r>
    </w:p>
    <w:p w:rsidR="00DE236B" w:rsidRDefault="00000000">
      <w:pPr>
        <w:tabs>
          <w:tab w:val="left" w:pos="399"/>
          <w:tab w:val="left" w:pos="1020"/>
          <w:tab w:val="left" w:pos="1446"/>
          <w:tab w:val="left" w:pos="2221"/>
          <w:tab w:val="left" w:pos="2693"/>
          <w:tab w:val="left" w:pos="3433"/>
          <w:tab w:val="left" w:pos="4144"/>
          <w:tab w:val="left" w:pos="4570"/>
          <w:tab w:val="left" w:pos="5241"/>
          <w:tab w:val="left" w:pos="5666"/>
          <w:tab w:val="left" w:pos="6093"/>
          <w:tab w:val="left" w:pos="6862"/>
          <w:tab w:val="left" w:pos="7286"/>
          <w:tab w:val="left" w:pos="7963"/>
          <w:tab w:val="left" w:pos="9027"/>
        </w:tabs>
        <w:spacing w:before="102"/>
        <w:ind w:left="111" w:right="113"/>
        <w:rPr>
          <w:rFonts w:ascii="Calibri" w:hAnsi="Calibri"/>
          <w:sz w:val="20"/>
        </w:rPr>
      </w:pPr>
      <w:bookmarkStart w:id="1" w:name="_bookmark1"/>
      <w:bookmarkEnd w:id="1"/>
      <w:r>
        <w:rPr>
          <w:rFonts w:ascii="Calibri" w:hAnsi="Calibri"/>
          <w:spacing w:val="-10"/>
          <w:sz w:val="20"/>
          <w:vertAlign w:val="superscript"/>
        </w:rPr>
        <w:t>2</w:t>
      </w:r>
      <w:r>
        <w:rPr>
          <w:rFonts w:ascii="Calibri" w:hAnsi="Calibri"/>
          <w:sz w:val="20"/>
        </w:rPr>
        <w:tab/>
      </w:r>
      <w:r>
        <w:rPr>
          <w:rFonts w:ascii="Calibri" w:hAnsi="Calibri"/>
          <w:spacing w:val="-4"/>
          <w:sz w:val="20"/>
        </w:rPr>
        <w:t>Nota</w:t>
      </w:r>
      <w:r>
        <w:rPr>
          <w:rFonts w:ascii="Calibri" w:hAnsi="Calibri"/>
          <w:sz w:val="20"/>
        </w:rPr>
        <w:tab/>
      </w:r>
      <w:r>
        <w:rPr>
          <w:rFonts w:ascii="Calibri" w:hAnsi="Calibri"/>
          <w:spacing w:val="-6"/>
          <w:sz w:val="20"/>
        </w:rPr>
        <w:t>de</w:t>
      </w:r>
      <w:r>
        <w:rPr>
          <w:rFonts w:ascii="Calibri" w:hAnsi="Calibri"/>
          <w:sz w:val="20"/>
        </w:rPr>
        <w:tab/>
      </w:r>
      <w:r>
        <w:rPr>
          <w:rFonts w:ascii="Calibri" w:hAnsi="Calibri"/>
          <w:spacing w:val="-2"/>
          <w:sz w:val="20"/>
        </w:rPr>
        <w:t>prensa</w:t>
      </w:r>
      <w:r>
        <w:rPr>
          <w:rFonts w:ascii="Calibri" w:hAnsi="Calibri"/>
          <w:sz w:val="20"/>
        </w:rPr>
        <w:tab/>
      </w:r>
      <w:r>
        <w:rPr>
          <w:rFonts w:ascii="Calibri" w:hAnsi="Calibri"/>
          <w:spacing w:val="-4"/>
          <w:sz w:val="20"/>
        </w:rPr>
        <w:t>del</w:t>
      </w:r>
      <w:r>
        <w:rPr>
          <w:rFonts w:ascii="Calibri" w:hAnsi="Calibri"/>
          <w:sz w:val="20"/>
        </w:rPr>
        <w:tab/>
      </w:r>
      <w:r>
        <w:rPr>
          <w:rFonts w:ascii="Calibri" w:hAnsi="Calibri"/>
          <w:spacing w:val="-4"/>
          <w:sz w:val="20"/>
        </w:rPr>
        <w:t>medio</w:t>
      </w:r>
      <w:r>
        <w:rPr>
          <w:rFonts w:ascii="Calibri" w:hAnsi="Calibri"/>
          <w:sz w:val="20"/>
        </w:rPr>
        <w:tab/>
      </w:r>
      <w:r>
        <w:rPr>
          <w:rFonts w:ascii="Calibri" w:hAnsi="Calibri"/>
          <w:spacing w:val="-2"/>
          <w:sz w:val="20"/>
        </w:rPr>
        <w:t>B</w:t>
      </w:r>
      <w:r>
        <w:rPr>
          <w:rFonts w:ascii="Calibri" w:hAnsi="Calibri"/>
          <w:spacing w:val="-2"/>
          <w:sz w:val="16"/>
        </w:rPr>
        <w:t>IOBÍO</w:t>
      </w:r>
      <w:r>
        <w:rPr>
          <w:rFonts w:ascii="Calibri" w:hAnsi="Calibri"/>
          <w:sz w:val="16"/>
        </w:rPr>
        <w:tab/>
      </w:r>
      <w:r>
        <w:rPr>
          <w:rFonts w:ascii="Calibri" w:hAnsi="Calibri"/>
          <w:spacing w:val="-6"/>
          <w:sz w:val="20"/>
        </w:rPr>
        <w:t>de</w:t>
      </w:r>
      <w:r>
        <w:rPr>
          <w:rFonts w:ascii="Calibri" w:hAnsi="Calibri"/>
          <w:sz w:val="20"/>
        </w:rPr>
        <w:tab/>
      </w:r>
      <w:r>
        <w:rPr>
          <w:rFonts w:ascii="Calibri" w:hAnsi="Calibri"/>
          <w:spacing w:val="-4"/>
          <w:sz w:val="20"/>
        </w:rPr>
        <w:t>fecha</w:t>
      </w:r>
      <w:r>
        <w:rPr>
          <w:rFonts w:ascii="Calibri" w:hAnsi="Calibri"/>
          <w:sz w:val="20"/>
        </w:rPr>
        <w:tab/>
      </w:r>
      <w:r>
        <w:rPr>
          <w:rFonts w:ascii="Calibri" w:hAnsi="Calibri"/>
          <w:spacing w:val="-6"/>
          <w:sz w:val="20"/>
        </w:rPr>
        <w:t>20</w:t>
      </w:r>
      <w:r>
        <w:rPr>
          <w:rFonts w:ascii="Calibri" w:hAnsi="Calibri"/>
          <w:sz w:val="20"/>
        </w:rPr>
        <w:tab/>
      </w:r>
      <w:r>
        <w:rPr>
          <w:rFonts w:ascii="Calibri" w:hAnsi="Calibri"/>
          <w:spacing w:val="-6"/>
          <w:sz w:val="20"/>
        </w:rPr>
        <w:t>de</w:t>
      </w:r>
      <w:r>
        <w:rPr>
          <w:rFonts w:ascii="Calibri" w:hAnsi="Calibri"/>
          <w:sz w:val="20"/>
        </w:rPr>
        <w:tab/>
      </w:r>
      <w:r>
        <w:rPr>
          <w:rFonts w:ascii="Calibri" w:hAnsi="Calibri"/>
          <w:spacing w:val="-2"/>
          <w:sz w:val="20"/>
        </w:rPr>
        <w:t>agosto</w:t>
      </w:r>
      <w:r>
        <w:rPr>
          <w:rFonts w:ascii="Calibri" w:hAnsi="Calibri"/>
          <w:sz w:val="20"/>
        </w:rPr>
        <w:tab/>
      </w:r>
      <w:r>
        <w:rPr>
          <w:rFonts w:ascii="Calibri" w:hAnsi="Calibri"/>
          <w:spacing w:val="-6"/>
          <w:sz w:val="20"/>
        </w:rPr>
        <w:t>de</w:t>
      </w:r>
      <w:r>
        <w:rPr>
          <w:rFonts w:ascii="Calibri" w:hAnsi="Calibri"/>
          <w:sz w:val="20"/>
        </w:rPr>
        <w:tab/>
      </w:r>
      <w:r>
        <w:rPr>
          <w:rFonts w:ascii="Calibri" w:hAnsi="Calibri"/>
          <w:spacing w:val="-2"/>
          <w:sz w:val="20"/>
        </w:rPr>
        <w:t>2024,</w:t>
      </w:r>
      <w:r>
        <w:rPr>
          <w:rFonts w:ascii="Calibri" w:hAnsi="Calibri"/>
          <w:sz w:val="20"/>
        </w:rPr>
        <w:tab/>
      </w:r>
      <w:r>
        <w:rPr>
          <w:rFonts w:ascii="Calibri" w:hAnsi="Calibri"/>
          <w:spacing w:val="-2"/>
          <w:sz w:val="20"/>
        </w:rPr>
        <w:t>disponible</w:t>
      </w:r>
      <w:r>
        <w:rPr>
          <w:rFonts w:ascii="Calibri" w:hAnsi="Calibri"/>
          <w:sz w:val="20"/>
        </w:rPr>
        <w:tab/>
      </w:r>
      <w:r>
        <w:rPr>
          <w:rFonts w:ascii="Calibri" w:hAnsi="Calibri"/>
          <w:spacing w:val="-4"/>
          <w:sz w:val="20"/>
        </w:rPr>
        <w:t xml:space="preserve">en: </w:t>
      </w:r>
      <w:r>
        <w:rPr>
          <w:rFonts w:ascii="Calibri" w:hAnsi="Calibri"/>
          <w:spacing w:val="-2"/>
          <w:sz w:val="20"/>
        </w:rPr>
        <w:t>https:/</w:t>
      </w:r>
      <w:hyperlink r:id="rId7">
        <w:r>
          <w:rPr>
            <w:rFonts w:ascii="Calibri" w:hAnsi="Calibri"/>
            <w:spacing w:val="-2"/>
            <w:sz w:val="20"/>
          </w:rPr>
          <w:t>/www.biobiochile.cl/biobiotv/programas/radiograma-biobiotv/2024/08/20/quien-puede-comprarlos-</w:t>
        </w:r>
      </w:hyperlink>
      <w:r>
        <w:rPr>
          <w:rFonts w:ascii="Calibri" w:hAnsi="Calibri"/>
          <w:spacing w:val="-2"/>
          <w:sz w:val="20"/>
        </w:rPr>
        <w:t xml:space="preserve"> temor-ante-posibilidad-que-vehiculos-blindados-caigan-en-manos-del-narco.shtml</w:t>
      </w:r>
    </w:p>
    <w:p w:rsidR="00DE236B" w:rsidRDefault="00DE236B">
      <w:pPr>
        <w:rPr>
          <w:rFonts w:ascii="Calibri" w:hAnsi="Calibri"/>
          <w:sz w:val="20"/>
        </w:rPr>
        <w:sectPr w:rsidR="00DE236B">
          <w:pgSz w:w="12240" w:h="15840"/>
          <w:pgMar w:top="1460" w:right="1420" w:bottom="280" w:left="1420" w:header="720" w:footer="720" w:gutter="0"/>
          <w:cols w:space="720"/>
        </w:sectPr>
      </w:pPr>
    </w:p>
    <w:p w:rsidR="00DE236B" w:rsidRDefault="00000000">
      <w:pPr>
        <w:pStyle w:val="Textoindependiente"/>
        <w:spacing w:before="71" w:line="276" w:lineRule="auto"/>
        <w:ind w:left="831" w:right="105"/>
        <w:jc w:val="both"/>
      </w:pPr>
      <w:r>
        <w:lastRenderedPageBreak/>
        <w:t>“Deberá anotarse especialmente si el vehículo cumple con la característica de ser blindado. El Reglamento establecerá los requisitos de la anotación para que resalte y sea especialmente distinguible en el conjunto de anotaciones del Registro.</w:t>
      </w:r>
    </w:p>
    <w:p w:rsidR="00DE236B" w:rsidRDefault="00DE236B">
      <w:pPr>
        <w:pStyle w:val="Textoindependiente"/>
        <w:spacing w:before="42"/>
      </w:pPr>
    </w:p>
    <w:p w:rsidR="00DE236B" w:rsidRDefault="00000000">
      <w:pPr>
        <w:pStyle w:val="Textoindependiente"/>
        <w:spacing w:line="276" w:lineRule="auto"/>
        <w:ind w:left="831" w:right="104"/>
        <w:jc w:val="both"/>
      </w:pPr>
      <w:r>
        <w:t>En el caso de vehículos adquiridos sin blindaje y que fueran blindados con posterioridad a su adquisición, el propietario a cuyo nombre esté inscrito el dominio sobre el vehículo deberá informarlo y requerir la anotación prevista en el inciso anterior dentro de los 30 días siguientes a que el vehículo se modificare y blindare total o parcialmente. El incumplimiento de esta obligación se sancionará como infracción o contravención</w:t>
      </w:r>
      <w:r>
        <w:rPr>
          <w:spacing w:val="-5"/>
        </w:rPr>
        <w:t xml:space="preserve"> </w:t>
      </w:r>
      <w:r>
        <w:t>grave,</w:t>
      </w:r>
      <w:r>
        <w:rPr>
          <w:spacing w:val="-6"/>
        </w:rPr>
        <w:t xml:space="preserve"> </w:t>
      </w:r>
      <w:r>
        <w:t>de</w:t>
      </w:r>
      <w:r>
        <w:rPr>
          <w:spacing w:val="-6"/>
        </w:rPr>
        <w:t xml:space="preserve"> </w:t>
      </w:r>
      <w:r>
        <w:t>aquellas</w:t>
      </w:r>
      <w:r>
        <w:rPr>
          <w:spacing w:val="-6"/>
        </w:rPr>
        <w:t xml:space="preserve"> </w:t>
      </w:r>
      <w:r>
        <w:t>previstas</w:t>
      </w:r>
      <w:r>
        <w:rPr>
          <w:spacing w:val="-6"/>
        </w:rPr>
        <w:t xml:space="preserve"> </w:t>
      </w:r>
      <w:r>
        <w:t>en</w:t>
      </w:r>
      <w:r>
        <w:rPr>
          <w:spacing w:val="-6"/>
        </w:rPr>
        <w:t xml:space="preserve"> </w:t>
      </w:r>
      <w:r>
        <w:t>el</w:t>
      </w:r>
      <w:r>
        <w:rPr>
          <w:spacing w:val="-6"/>
        </w:rPr>
        <w:t xml:space="preserve"> </w:t>
      </w:r>
      <w:r>
        <w:t>artículo</w:t>
      </w:r>
      <w:r>
        <w:rPr>
          <w:spacing w:val="-6"/>
        </w:rPr>
        <w:t xml:space="preserve"> </w:t>
      </w:r>
      <w:r>
        <w:t>200</w:t>
      </w:r>
      <w:r>
        <w:rPr>
          <w:spacing w:val="-6"/>
        </w:rPr>
        <w:t xml:space="preserve"> </w:t>
      </w:r>
      <w:r>
        <w:t>de</w:t>
      </w:r>
      <w:r>
        <w:rPr>
          <w:spacing w:val="-6"/>
        </w:rPr>
        <w:t xml:space="preserve"> </w:t>
      </w:r>
      <w:r>
        <w:t>esta</w:t>
      </w:r>
      <w:r>
        <w:rPr>
          <w:spacing w:val="-6"/>
        </w:rPr>
        <w:t xml:space="preserve"> </w:t>
      </w:r>
      <w:r>
        <w:t>ley, al</w:t>
      </w:r>
      <w:r>
        <w:rPr>
          <w:spacing w:val="-2"/>
        </w:rPr>
        <w:t xml:space="preserve"> </w:t>
      </w:r>
      <w:r>
        <w:t>momento</w:t>
      </w:r>
      <w:r>
        <w:rPr>
          <w:spacing w:val="-2"/>
        </w:rPr>
        <w:t xml:space="preserve"> </w:t>
      </w:r>
      <w:r>
        <w:t>de</w:t>
      </w:r>
      <w:r>
        <w:rPr>
          <w:spacing w:val="-2"/>
        </w:rPr>
        <w:t xml:space="preserve"> </w:t>
      </w:r>
      <w:r>
        <w:t>sorprenderse</w:t>
      </w:r>
      <w:r>
        <w:rPr>
          <w:spacing w:val="-2"/>
        </w:rPr>
        <w:t xml:space="preserve"> </w:t>
      </w:r>
      <w:r>
        <w:t>el</w:t>
      </w:r>
      <w:r>
        <w:rPr>
          <w:spacing w:val="-2"/>
        </w:rPr>
        <w:t xml:space="preserve"> </w:t>
      </w:r>
      <w:r>
        <w:t>vehículo</w:t>
      </w:r>
      <w:r>
        <w:rPr>
          <w:spacing w:val="-4"/>
        </w:rPr>
        <w:t xml:space="preserve"> </w:t>
      </w:r>
      <w:r>
        <w:t>blindado</w:t>
      </w:r>
      <w:r>
        <w:rPr>
          <w:spacing w:val="-1"/>
        </w:rPr>
        <w:t xml:space="preserve"> </w:t>
      </w:r>
      <w:r>
        <w:t>sin</w:t>
      </w:r>
      <w:r>
        <w:rPr>
          <w:spacing w:val="-2"/>
        </w:rPr>
        <w:t xml:space="preserve"> </w:t>
      </w:r>
      <w:r>
        <w:t>la</w:t>
      </w:r>
      <w:r>
        <w:rPr>
          <w:spacing w:val="-2"/>
        </w:rPr>
        <w:t xml:space="preserve"> </w:t>
      </w:r>
      <w:r>
        <w:t>anotación</w:t>
      </w:r>
      <w:r>
        <w:rPr>
          <w:spacing w:val="-2"/>
        </w:rPr>
        <w:t xml:space="preserve"> </w:t>
      </w:r>
      <w:r>
        <w:t>de</w:t>
      </w:r>
      <w:r>
        <w:rPr>
          <w:spacing w:val="-1"/>
        </w:rPr>
        <w:t xml:space="preserve"> </w:t>
      </w:r>
      <w:r>
        <w:t xml:space="preserve">tal </w:t>
      </w:r>
      <w:r>
        <w:rPr>
          <w:spacing w:val="-2"/>
        </w:rPr>
        <w:t>característica.</w:t>
      </w:r>
    </w:p>
    <w:p w:rsidR="00DE236B" w:rsidRDefault="00DE236B">
      <w:pPr>
        <w:pStyle w:val="Textoindependiente"/>
        <w:spacing w:before="43"/>
      </w:pPr>
    </w:p>
    <w:p w:rsidR="00DE236B" w:rsidRDefault="00000000">
      <w:pPr>
        <w:pStyle w:val="Textoindependiente"/>
        <w:spacing w:line="276" w:lineRule="auto"/>
        <w:ind w:left="831" w:right="107"/>
        <w:jc w:val="both"/>
      </w:pPr>
      <w:r>
        <w:t>No podrá requerir la inscripción del dominio por sobre un vehículo blindado, ya sea total o parcialmente, ni informar el blindaje total o parcial de un vehículo cuyo dominio esté inscrito aquella persona que hubiere sido condenada por su participación en un crimen o simple delito. La persona impedida de solicitar la inscripción de conformidad con</w:t>
      </w:r>
      <w:r>
        <w:rPr>
          <w:spacing w:val="-14"/>
        </w:rPr>
        <w:t xml:space="preserve"> </w:t>
      </w:r>
      <w:r>
        <w:t>este</w:t>
      </w:r>
      <w:r>
        <w:rPr>
          <w:spacing w:val="-14"/>
        </w:rPr>
        <w:t xml:space="preserve"> </w:t>
      </w:r>
      <w:r>
        <w:t>inciso</w:t>
      </w:r>
      <w:r>
        <w:rPr>
          <w:spacing w:val="-14"/>
        </w:rPr>
        <w:t xml:space="preserve"> </w:t>
      </w:r>
      <w:r>
        <w:t>que</w:t>
      </w:r>
      <w:r>
        <w:rPr>
          <w:spacing w:val="-14"/>
        </w:rPr>
        <w:t xml:space="preserve"> </w:t>
      </w:r>
      <w:r>
        <w:t>realizare</w:t>
      </w:r>
      <w:r>
        <w:rPr>
          <w:spacing w:val="-14"/>
        </w:rPr>
        <w:t xml:space="preserve"> </w:t>
      </w:r>
      <w:r>
        <w:t>la</w:t>
      </w:r>
      <w:r>
        <w:rPr>
          <w:spacing w:val="-14"/>
        </w:rPr>
        <w:t xml:space="preserve"> </w:t>
      </w:r>
      <w:r>
        <w:t>transferencia</w:t>
      </w:r>
      <w:r>
        <w:rPr>
          <w:spacing w:val="-14"/>
        </w:rPr>
        <w:t xml:space="preserve"> </w:t>
      </w:r>
      <w:r>
        <w:t>por</w:t>
      </w:r>
      <w:r>
        <w:rPr>
          <w:spacing w:val="-14"/>
        </w:rPr>
        <w:t xml:space="preserve"> </w:t>
      </w:r>
      <w:r>
        <w:t>interpósita</w:t>
      </w:r>
      <w:r>
        <w:rPr>
          <w:spacing w:val="-14"/>
        </w:rPr>
        <w:t xml:space="preserve"> </w:t>
      </w:r>
      <w:r>
        <w:t>persona</w:t>
      </w:r>
      <w:r>
        <w:rPr>
          <w:spacing w:val="-14"/>
        </w:rPr>
        <w:t xml:space="preserve"> </w:t>
      </w:r>
      <w:r>
        <w:t>o</w:t>
      </w:r>
      <w:r>
        <w:rPr>
          <w:spacing w:val="-14"/>
        </w:rPr>
        <w:t xml:space="preserve"> </w:t>
      </w:r>
      <w:r>
        <w:t>se valiere de mecanismos fraudulentos para obtener la inscripción será sancionada con la pena de presidio menor en su grado medio a máximo y el comiso del vehículo.”</w:t>
      </w:r>
    </w:p>
    <w:p w:rsidR="00DE236B" w:rsidRDefault="00DE236B">
      <w:pPr>
        <w:pStyle w:val="Textoindependiente"/>
        <w:spacing w:before="43"/>
      </w:pPr>
    </w:p>
    <w:p w:rsidR="00DE236B" w:rsidRDefault="00000000">
      <w:pPr>
        <w:pStyle w:val="Prrafodelista"/>
        <w:numPr>
          <w:ilvl w:val="0"/>
          <w:numId w:val="1"/>
        </w:numPr>
        <w:tabs>
          <w:tab w:val="left" w:pos="831"/>
        </w:tabs>
        <w:spacing w:line="276" w:lineRule="auto"/>
        <w:ind w:right="109"/>
        <w:rPr>
          <w:sz w:val="24"/>
        </w:rPr>
      </w:pPr>
      <w:r>
        <w:rPr>
          <w:sz w:val="24"/>
        </w:rPr>
        <w:t>Incorpórese</w:t>
      </w:r>
      <w:r>
        <w:rPr>
          <w:spacing w:val="40"/>
          <w:sz w:val="24"/>
        </w:rPr>
        <w:t xml:space="preserve"> </w:t>
      </w:r>
      <w:r>
        <w:rPr>
          <w:sz w:val="24"/>
        </w:rPr>
        <w:t>unos</w:t>
      </w:r>
      <w:r>
        <w:rPr>
          <w:spacing w:val="40"/>
          <w:sz w:val="24"/>
        </w:rPr>
        <w:t xml:space="preserve"> </w:t>
      </w:r>
      <w:r>
        <w:rPr>
          <w:sz w:val="24"/>
        </w:rPr>
        <w:t>incisos</w:t>
      </w:r>
      <w:r>
        <w:rPr>
          <w:spacing w:val="40"/>
          <w:sz w:val="24"/>
        </w:rPr>
        <w:t xml:space="preserve"> </w:t>
      </w:r>
      <w:r>
        <w:rPr>
          <w:sz w:val="24"/>
        </w:rPr>
        <w:t>cuarto</w:t>
      </w:r>
      <w:r>
        <w:rPr>
          <w:spacing w:val="40"/>
          <w:sz w:val="24"/>
        </w:rPr>
        <w:t xml:space="preserve"> </w:t>
      </w:r>
      <w:r>
        <w:rPr>
          <w:sz w:val="24"/>
        </w:rPr>
        <w:t>y</w:t>
      </w:r>
      <w:r>
        <w:rPr>
          <w:spacing w:val="40"/>
          <w:sz w:val="24"/>
        </w:rPr>
        <w:t xml:space="preserve"> </w:t>
      </w:r>
      <w:r>
        <w:rPr>
          <w:sz w:val="24"/>
        </w:rPr>
        <w:t>final</w:t>
      </w:r>
      <w:r>
        <w:rPr>
          <w:spacing w:val="40"/>
          <w:sz w:val="24"/>
        </w:rPr>
        <w:t xml:space="preserve"> </w:t>
      </w:r>
      <w:r>
        <w:rPr>
          <w:sz w:val="24"/>
        </w:rPr>
        <w:t>nuevos</w:t>
      </w:r>
      <w:r>
        <w:rPr>
          <w:spacing w:val="40"/>
          <w:sz w:val="24"/>
        </w:rPr>
        <w:t xml:space="preserve"> </w:t>
      </w:r>
      <w:r>
        <w:rPr>
          <w:sz w:val="24"/>
        </w:rPr>
        <w:t>en</w:t>
      </w:r>
      <w:r>
        <w:rPr>
          <w:spacing w:val="40"/>
          <w:sz w:val="24"/>
        </w:rPr>
        <w:t xml:space="preserve"> </w:t>
      </w:r>
      <w:r>
        <w:rPr>
          <w:sz w:val="24"/>
        </w:rPr>
        <w:t>el</w:t>
      </w:r>
      <w:r>
        <w:rPr>
          <w:spacing w:val="40"/>
          <w:sz w:val="24"/>
        </w:rPr>
        <w:t xml:space="preserve"> </w:t>
      </w:r>
      <w:r>
        <w:rPr>
          <w:sz w:val="24"/>
        </w:rPr>
        <w:t>artículo</w:t>
      </w:r>
      <w:r>
        <w:rPr>
          <w:spacing w:val="40"/>
          <w:sz w:val="24"/>
        </w:rPr>
        <w:t xml:space="preserve"> </w:t>
      </w:r>
      <w:r>
        <w:rPr>
          <w:sz w:val="24"/>
        </w:rPr>
        <w:t>62,</w:t>
      </w:r>
      <w:r>
        <w:rPr>
          <w:spacing w:val="40"/>
          <w:sz w:val="24"/>
        </w:rPr>
        <w:t xml:space="preserve"> </w:t>
      </w:r>
      <w:r>
        <w:rPr>
          <w:sz w:val="24"/>
        </w:rPr>
        <w:t>del siguiente tenor:</w:t>
      </w:r>
    </w:p>
    <w:p w:rsidR="00DE236B" w:rsidRDefault="00DE236B">
      <w:pPr>
        <w:pStyle w:val="Textoindependiente"/>
        <w:spacing w:before="42"/>
      </w:pPr>
    </w:p>
    <w:p w:rsidR="00DE236B" w:rsidRDefault="00000000">
      <w:pPr>
        <w:pStyle w:val="Textoindependiente"/>
        <w:spacing w:line="276" w:lineRule="auto"/>
        <w:ind w:left="831" w:right="108"/>
        <w:jc w:val="both"/>
      </w:pPr>
      <w:r>
        <w:t>“Quien hubiera sido condenado por su participación en un crimen o simple delito estará impedido de requerir el blindaje del vehículo cuyo dominio</w:t>
      </w:r>
      <w:r>
        <w:rPr>
          <w:spacing w:val="-11"/>
        </w:rPr>
        <w:t xml:space="preserve"> </w:t>
      </w:r>
      <w:r>
        <w:t>esté</w:t>
      </w:r>
      <w:r>
        <w:rPr>
          <w:spacing w:val="-11"/>
        </w:rPr>
        <w:t xml:space="preserve"> </w:t>
      </w:r>
      <w:r>
        <w:t>inscrito</w:t>
      </w:r>
      <w:r>
        <w:rPr>
          <w:spacing w:val="-11"/>
        </w:rPr>
        <w:t xml:space="preserve"> </w:t>
      </w:r>
      <w:r>
        <w:t>a</w:t>
      </w:r>
      <w:r>
        <w:rPr>
          <w:spacing w:val="-11"/>
        </w:rPr>
        <w:t xml:space="preserve"> </w:t>
      </w:r>
      <w:r>
        <w:t>su</w:t>
      </w:r>
      <w:r>
        <w:rPr>
          <w:spacing w:val="-11"/>
        </w:rPr>
        <w:t xml:space="preserve"> </w:t>
      </w:r>
      <w:r>
        <w:t>favor.</w:t>
      </w:r>
      <w:r>
        <w:rPr>
          <w:spacing w:val="-11"/>
        </w:rPr>
        <w:t xml:space="preserve"> </w:t>
      </w:r>
      <w:r>
        <w:t>Para</w:t>
      </w:r>
      <w:r>
        <w:rPr>
          <w:spacing w:val="-11"/>
        </w:rPr>
        <w:t xml:space="preserve"> </w:t>
      </w:r>
      <w:r>
        <w:t>tales</w:t>
      </w:r>
      <w:r>
        <w:rPr>
          <w:spacing w:val="-11"/>
        </w:rPr>
        <w:t xml:space="preserve"> </w:t>
      </w:r>
      <w:r>
        <w:t>efectos,</w:t>
      </w:r>
      <w:r>
        <w:rPr>
          <w:spacing w:val="-11"/>
        </w:rPr>
        <w:t xml:space="preserve"> </w:t>
      </w:r>
      <w:r>
        <w:t>la</w:t>
      </w:r>
      <w:r>
        <w:rPr>
          <w:spacing w:val="-11"/>
        </w:rPr>
        <w:t xml:space="preserve"> </w:t>
      </w:r>
      <w:r>
        <w:t>persona</w:t>
      </w:r>
      <w:r>
        <w:rPr>
          <w:spacing w:val="-8"/>
        </w:rPr>
        <w:t xml:space="preserve"> </w:t>
      </w:r>
      <w:r>
        <w:t>o</w:t>
      </w:r>
      <w:r>
        <w:rPr>
          <w:spacing w:val="-11"/>
        </w:rPr>
        <w:t xml:space="preserve"> </w:t>
      </w:r>
      <w:r>
        <w:t>empresa que brinde el servicio de blindaje estará facultada para requerir los antecedentes y registros penales respectivos, sin que aquello constituya una medida discriminatoria o una vulneración de los derechos que al solicitante le correspondieren en cuanto consumidor.</w:t>
      </w:r>
    </w:p>
    <w:p w:rsidR="00DE236B" w:rsidRDefault="00DE236B">
      <w:pPr>
        <w:pStyle w:val="Textoindependiente"/>
        <w:spacing w:before="43"/>
      </w:pPr>
    </w:p>
    <w:p w:rsidR="00DE236B" w:rsidRDefault="00000000">
      <w:pPr>
        <w:pStyle w:val="Textoindependiente"/>
        <w:spacing w:line="276" w:lineRule="auto"/>
        <w:ind w:left="831" w:right="107"/>
        <w:jc w:val="both"/>
      </w:pPr>
      <w:r>
        <w:t>La empresa o persona que no solicitare los antecedentes o registros en los términos precedentes o consintiere en blindar a pesar de tener el solicitante</w:t>
      </w:r>
      <w:r>
        <w:rPr>
          <w:spacing w:val="59"/>
        </w:rPr>
        <w:t xml:space="preserve"> </w:t>
      </w:r>
      <w:r>
        <w:t>antecedentes</w:t>
      </w:r>
      <w:r>
        <w:rPr>
          <w:spacing w:val="63"/>
        </w:rPr>
        <w:t xml:space="preserve"> </w:t>
      </w:r>
      <w:r>
        <w:t>penales</w:t>
      </w:r>
      <w:r>
        <w:rPr>
          <w:spacing w:val="61"/>
        </w:rPr>
        <w:t xml:space="preserve"> </w:t>
      </w:r>
      <w:r>
        <w:t>por</w:t>
      </w:r>
      <w:r>
        <w:rPr>
          <w:spacing w:val="62"/>
        </w:rPr>
        <w:t xml:space="preserve"> </w:t>
      </w:r>
      <w:r>
        <w:t>su</w:t>
      </w:r>
      <w:r>
        <w:rPr>
          <w:spacing w:val="62"/>
        </w:rPr>
        <w:t xml:space="preserve"> </w:t>
      </w:r>
      <w:r>
        <w:t>participación</w:t>
      </w:r>
      <w:r>
        <w:rPr>
          <w:spacing w:val="61"/>
        </w:rPr>
        <w:t xml:space="preserve"> </w:t>
      </w:r>
      <w:r>
        <w:t>en</w:t>
      </w:r>
      <w:r>
        <w:rPr>
          <w:spacing w:val="65"/>
        </w:rPr>
        <w:t xml:space="preserve"> </w:t>
      </w:r>
      <w:r>
        <w:t>crímenes</w:t>
      </w:r>
      <w:r>
        <w:rPr>
          <w:spacing w:val="66"/>
        </w:rPr>
        <w:t xml:space="preserve"> </w:t>
      </w:r>
      <w:r>
        <w:rPr>
          <w:spacing w:val="-10"/>
        </w:rPr>
        <w:t>o</w:t>
      </w:r>
    </w:p>
    <w:p w:rsidR="00DE236B" w:rsidRDefault="00DE236B">
      <w:pPr>
        <w:spacing w:line="276" w:lineRule="auto"/>
        <w:jc w:val="both"/>
        <w:sectPr w:rsidR="00DE236B">
          <w:pgSz w:w="12240" w:h="15840"/>
          <w:pgMar w:top="1460" w:right="1420" w:bottom="280" w:left="1420" w:header="720" w:footer="720" w:gutter="0"/>
          <w:cols w:space="720"/>
        </w:sectPr>
      </w:pPr>
    </w:p>
    <w:p w:rsidR="00DE236B" w:rsidRDefault="00000000">
      <w:pPr>
        <w:pStyle w:val="Textoindependiente"/>
        <w:spacing w:before="71" w:line="276" w:lineRule="auto"/>
        <w:ind w:left="831" w:right="107"/>
        <w:jc w:val="both"/>
      </w:pPr>
      <w:r>
        <w:lastRenderedPageBreak/>
        <w:t>simples delitos, será sancionada con multa de 50 a 200 unidades tributarias</w:t>
      </w:r>
      <w:r>
        <w:rPr>
          <w:spacing w:val="-19"/>
        </w:rPr>
        <w:t xml:space="preserve"> </w:t>
      </w:r>
      <w:r>
        <w:t>mensuales</w:t>
      </w:r>
      <w:r>
        <w:rPr>
          <w:spacing w:val="-19"/>
        </w:rPr>
        <w:t xml:space="preserve"> </w:t>
      </w:r>
      <w:r>
        <w:t>y</w:t>
      </w:r>
      <w:r>
        <w:rPr>
          <w:spacing w:val="-19"/>
        </w:rPr>
        <w:t xml:space="preserve"> </w:t>
      </w:r>
      <w:r>
        <w:t>la</w:t>
      </w:r>
      <w:r>
        <w:rPr>
          <w:spacing w:val="-4"/>
        </w:rPr>
        <w:t xml:space="preserve"> </w:t>
      </w:r>
      <w:r>
        <w:t>clausura</w:t>
      </w:r>
      <w:r>
        <w:rPr>
          <w:spacing w:val="-4"/>
        </w:rPr>
        <w:t xml:space="preserve"> </w:t>
      </w:r>
      <w:r>
        <w:t>del</w:t>
      </w:r>
      <w:r>
        <w:rPr>
          <w:spacing w:val="-19"/>
        </w:rPr>
        <w:t xml:space="preserve"> </w:t>
      </w:r>
      <w:r>
        <w:t>establecimiento</w:t>
      </w:r>
      <w:r>
        <w:rPr>
          <w:spacing w:val="-18"/>
        </w:rPr>
        <w:t xml:space="preserve"> </w:t>
      </w:r>
      <w:r>
        <w:t>por</w:t>
      </w:r>
      <w:r>
        <w:rPr>
          <w:spacing w:val="-19"/>
        </w:rPr>
        <w:t xml:space="preserve"> </w:t>
      </w:r>
      <w:r>
        <w:t>un</w:t>
      </w:r>
      <w:r>
        <w:rPr>
          <w:spacing w:val="-19"/>
        </w:rPr>
        <w:t xml:space="preserve"> </w:t>
      </w:r>
      <w:r>
        <w:t>plazo</w:t>
      </w:r>
      <w:r>
        <w:rPr>
          <w:spacing w:val="-18"/>
        </w:rPr>
        <w:t xml:space="preserve"> </w:t>
      </w:r>
      <w:r>
        <w:t>que no podrá ser inferior a treinta, ni superior a sesenta días. En caso de reincidencia el juez decretará su clausura definitiva.”</w:t>
      </w:r>
    </w:p>
    <w:p w:rsidR="00DE236B" w:rsidRDefault="00DE236B">
      <w:pPr>
        <w:pStyle w:val="Textoindependiente"/>
        <w:spacing w:before="42"/>
      </w:pPr>
    </w:p>
    <w:p w:rsidR="00DE236B" w:rsidRDefault="00000000">
      <w:pPr>
        <w:spacing w:line="276" w:lineRule="auto"/>
        <w:ind w:left="111" w:right="107"/>
        <w:jc w:val="both"/>
        <w:rPr>
          <w:sz w:val="24"/>
        </w:rPr>
      </w:pPr>
      <w:r>
        <w:rPr>
          <w:b/>
          <w:sz w:val="24"/>
        </w:rPr>
        <w:t>Artículo Segundo</w:t>
      </w:r>
      <w:r>
        <w:rPr>
          <w:sz w:val="24"/>
        </w:rPr>
        <w:t>: Incorpórese, en el inciso primero del artículo 3 de la Ley N°19.913, que crea la Unidad de Análisis Financiero y modifica diversas disposiciones en materia de lavado y blanqueo de activos, entre la expresión “</w:t>
      </w:r>
      <w:r>
        <w:rPr>
          <w:i/>
          <w:sz w:val="24"/>
        </w:rPr>
        <w:t>arriendo de vehículos;</w:t>
      </w:r>
      <w:r>
        <w:rPr>
          <w:sz w:val="24"/>
        </w:rPr>
        <w:t>” y la expresión “</w:t>
      </w:r>
      <w:r>
        <w:rPr>
          <w:i/>
          <w:sz w:val="24"/>
        </w:rPr>
        <w:t>las personas que se dediquen</w:t>
      </w:r>
      <w:r>
        <w:rPr>
          <w:sz w:val="24"/>
        </w:rPr>
        <w:t>”, lo siguiente: “</w:t>
      </w:r>
      <w:r>
        <w:rPr>
          <w:i/>
          <w:sz w:val="24"/>
        </w:rPr>
        <w:t>las empresas de servicios de blindaje de vehículos;</w:t>
      </w:r>
      <w:r>
        <w:rPr>
          <w:sz w:val="24"/>
        </w:rPr>
        <w:t>””.</w:t>
      </w:r>
    </w:p>
    <w:p w:rsidR="00DE236B" w:rsidRDefault="00DE236B">
      <w:pPr>
        <w:pStyle w:val="Textoindependiente"/>
      </w:pPr>
    </w:p>
    <w:p w:rsidR="00DE236B" w:rsidRDefault="00DE236B">
      <w:pPr>
        <w:pStyle w:val="Textoindependiente"/>
      </w:pPr>
    </w:p>
    <w:p w:rsidR="00DE236B" w:rsidRDefault="00DE236B">
      <w:pPr>
        <w:pStyle w:val="Textoindependiente"/>
      </w:pPr>
    </w:p>
    <w:p w:rsidR="00DE236B" w:rsidRDefault="00DE236B">
      <w:pPr>
        <w:pStyle w:val="Textoindependiente"/>
      </w:pPr>
    </w:p>
    <w:p w:rsidR="00DE236B" w:rsidRDefault="00DE236B">
      <w:pPr>
        <w:pStyle w:val="Textoindependiente"/>
      </w:pPr>
    </w:p>
    <w:p w:rsidR="00DE236B" w:rsidRDefault="00DE236B">
      <w:pPr>
        <w:pStyle w:val="Textoindependiente"/>
      </w:pPr>
    </w:p>
    <w:p w:rsidR="00DE236B" w:rsidRDefault="00DE236B">
      <w:pPr>
        <w:pStyle w:val="Textoindependiente"/>
      </w:pPr>
    </w:p>
    <w:p w:rsidR="00DE236B" w:rsidRDefault="00DE236B">
      <w:pPr>
        <w:pStyle w:val="Textoindependiente"/>
      </w:pPr>
    </w:p>
    <w:p w:rsidR="00DE236B" w:rsidRDefault="00DE236B">
      <w:pPr>
        <w:pStyle w:val="Textoindependiente"/>
      </w:pPr>
    </w:p>
    <w:p w:rsidR="00DE236B" w:rsidRDefault="00DE236B">
      <w:pPr>
        <w:pStyle w:val="Textoindependiente"/>
      </w:pPr>
    </w:p>
    <w:p w:rsidR="00DE236B" w:rsidRDefault="00DE236B">
      <w:pPr>
        <w:pStyle w:val="Textoindependiente"/>
      </w:pPr>
    </w:p>
    <w:p w:rsidR="00DE236B" w:rsidRDefault="00DE236B">
      <w:pPr>
        <w:pStyle w:val="Textoindependiente"/>
        <w:spacing w:before="184"/>
      </w:pPr>
    </w:p>
    <w:p w:rsidR="00DE236B" w:rsidRDefault="00000000">
      <w:pPr>
        <w:pStyle w:val="Textoindependiente"/>
        <w:tabs>
          <w:tab w:val="left" w:pos="6222"/>
          <w:tab w:val="left" w:pos="6885"/>
        </w:tabs>
        <w:spacing w:line="276" w:lineRule="auto"/>
        <w:ind w:left="1417" w:right="558" w:hanging="1152"/>
      </w:pPr>
      <w:r>
        <w:t>José Miguel Castro Bascuñán</w:t>
      </w:r>
      <w:r>
        <w:tab/>
        <w:t>Jorge</w:t>
      </w:r>
      <w:r>
        <w:rPr>
          <w:spacing w:val="-19"/>
        </w:rPr>
        <w:t xml:space="preserve"> </w:t>
      </w:r>
      <w:r>
        <w:t>Durán</w:t>
      </w:r>
      <w:r>
        <w:rPr>
          <w:spacing w:val="-19"/>
        </w:rPr>
        <w:t xml:space="preserve"> </w:t>
      </w:r>
      <w:r>
        <w:t xml:space="preserve">Espinoza </w:t>
      </w:r>
      <w:r>
        <w:rPr>
          <w:spacing w:val="-2"/>
        </w:rPr>
        <w:t>Diputado</w:t>
      </w:r>
      <w:r>
        <w:tab/>
      </w:r>
      <w:r>
        <w:tab/>
      </w:r>
      <w:r>
        <w:rPr>
          <w:spacing w:val="-2"/>
        </w:rPr>
        <w:t>Diputado</w:t>
      </w:r>
    </w:p>
    <w:sectPr w:rsidR="00DE236B">
      <w:pgSz w:w="12240" w:h="15840"/>
      <w:pgMar w:top="1460" w:right="142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557E3"/>
    <w:multiLevelType w:val="hybridMultilevel"/>
    <w:tmpl w:val="BDBC6C84"/>
    <w:lvl w:ilvl="0" w:tplc="6F0A5B0E">
      <w:start w:val="1"/>
      <w:numFmt w:val="decimal"/>
      <w:lvlText w:val="%1."/>
      <w:lvlJc w:val="left"/>
      <w:pPr>
        <w:ind w:left="831" w:hanging="360"/>
        <w:jc w:val="left"/>
      </w:pPr>
      <w:rPr>
        <w:rFonts w:ascii="Bookman Old Style" w:eastAsia="Bookman Old Style" w:hAnsi="Bookman Old Style" w:cs="Bookman Old Style" w:hint="default"/>
        <w:b/>
        <w:bCs/>
        <w:i w:val="0"/>
        <w:iCs w:val="0"/>
        <w:spacing w:val="0"/>
        <w:w w:val="100"/>
        <w:sz w:val="24"/>
        <w:szCs w:val="24"/>
        <w:lang w:val="es-ES" w:eastAsia="en-US" w:bidi="ar-SA"/>
      </w:rPr>
    </w:lvl>
    <w:lvl w:ilvl="1" w:tplc="B92669EC">
      <w:numFmt w:val="bullet"/>
      <w:lvlText w:val="•"/>
      <w:lvlJc w:val="left"/>
      <w:pPr>
        <w:ind w:left="1696" w:hanging="360"/>
      </w:pPr>
      <w:rPr>
        <w:rFonts w:hint="default"/>
        <w:lang w:val="es-ES" w:eastAsia="en-US" w:bidi="ar-SA"/>
      </w:rPr>
    </w:lvl>
    <w:lvl w:ilvl="2" w:tplc="04EE5792">
      <w:numFmt w:val="bullet"/>
      <w:lvlText w:val="•"/>
      <w:lvlJc w:val="left"/>
      <w:pPr>
        <w:ind w:left="2552" w:hanging="360"/>
      </w:pPr>
      <w:rPr>
        <w:rFonts w:hint="default"/>
        <w:lang w:val="es-ES" w:eastAsia="en-US" w:bidi="ar-SA"/>
      </w:rPr>
    </w:lvl>
    <w:lvl w:ilvl="3" w:tplc="FCFE2C32">
      <w:numFmt w:val="bullet"/>
      <w:lvlText w:val="•"/>
      <w:lvlJc w:val="left"/>
      <w:pPr>
        <w:ind w:left="3408" w:hanging="360"/>
      </w:pPr>
      <w:rPr>
        <w:rFonts w:hint="default"/>
        <w:lang w:val="es-ES" w:eastAsia="en-US" w:bidi="ar-SA"/>
      </w:rPr>
    </w:lvl>
    <w:lvl w:ilvl="4" w:tplc="C6F8BE28">
      <w:numFmt w:val="bullet"/>
      <w:lvlText w:val="•"/>
      <w:lvlJc w:val="left"/>
      <w:pPr>
        <w:ind w:left="4264" w:hanging="360"/>
      </w:pPr>
      <w:rPr>
        <w:rFonts w:hint="default"/>
        <w:lang w:val="es-ES" w:eastAsia="en-US" w:bidi="ar-SA"/>
      </w:rPr>
    </w:lvl>
    <w:lvl w:ilvl="5" w:tplc="A2562672">
      <w:numFmt w:val="bullet"/>
      <w:lvlText w:val="•"/>
      <w:lvlJc w:val="left"/>
      <w:pPr>
        <w:ind w:left="5120" w:hanging="360"/>
      </w:pPr>
      <w:rPr>
        <w:rFonts w:hint="default"/>
        <w:lang w:val="es-ES" w:eastAsia="en-US" w:bidi="ar-SA"/>
      </w:rPr>
    </w:lvl>
    <w:lvl w:ilvl="6" w:tplc="347A93FA">
      <w:numFmt w:val="bullet"/>
      <w:lvlText w:val="•"/>
      <w:lvlJc w:val="left"/>
      <w:pPr>
        <w:ind w:left="5976" w:hanging="360"/>
      </w:pPr>
      <w:rPr>
        <w:rFonts w:hint="default"/>
        <w:lang w:val="es-ES" w:eastAsia="en-US" w:bidi="ar-SA"/>
      </w:rPr>
    </w:lvl>
    <w:lvl w:ilvl="7" w:tplc="410CD7CC">
      <w:numFmt w:val="bullet"/>
      <w:lvlText w:val="•"/>
      <w:lvlJc w:val="left"/>
      <w:pPr>
        <w:ind w:left="6832" w:hanging="360"/>
      </w:pPr>
      <w:rPr>
        <w:rFonts w:hint="default"/>
        <w:lang w:val="es-ES" w:eastAsia="en-US" w:bidi="ar-SA"/>
      </w:rPr>
    </w:lvl>
    <w:lvl w:ilvl="8" w:tplc="42D69CB4">
      <w:numFmt w:val="bullet"/>
      <w:lvlText w:val="•"/>
      <w:lvlJc w:val="left"/>
      <w:pPr>
        <w:ind w:left="7688" w:hanging="360"/>
      </w:pPr>
      <w:rPr>
        <w:rFonts w:hint="default"/>
        <w:lang w:val="es-ES" w:eastAsia="en-US" w:bidi="ar-SA"/>
      </w:rPr>
    </w:lvl>
  </w:abstractNum>
  <w:num w:numId="1" w16cid:durableId="59028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E236B"/>
    <w:rsid w:val="008F15EC"/>
    <w:rsid w:val="00995DD0"/>
    <w:rsid w:val="00DE23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ACC6A-6442-4829-B812-5FEDB3A2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111" w:right="108"/>
      <w:jc w:val="both"/>
    </w:pPr>
    <w:rPr>
      <w:sz w:val="28"/>
      <w:szCs w:val="28"/>
    </w:rPr>
  </w:style>
  <w:style w:type="paragraph" w:styleId="Prrafodelista">
    <w:name w:val="List Paragraph"/>
    <w:basedOn w:val="Normal"/>
    <w:uiPriority w:val="1"/>
    <w:qFormat/>
    <w:pPr>
      <w:ind w:left="831" w:right="1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obiochile.cl/biobiotv/programas/radiograma-biobiotv/2024/08/20/quien-puede-comprarl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ercera.com/pulso/noticia/de-4-autos-al-ano-a-4-autos-al-mes-el-creciente-mercado-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5969</Characters>
  <Application>Microsoft Office Word</Application>
  <DocSecurity>0</DocSecurity>
  <Lines>49</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Mera Schmidt</dc:creator>
  <cp:lastModifiedBy>Guillermo Diaz Vallejos</cp:lastModifiedBy>
  <cp:revision>1</cp:revision>
  <dcterms:created xsi:type="dcterms:W3CDTF">2024-09-04T15:40:00Z</dcterms:created>
  <dcterms:modified xsi:type="dcterms:W3CDTF">2025-01-08T13:27:00Z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2019</vt:lpwstr>
  </property>
  <property fmtid="{D5CDD505-2E9C-101B-9397-08002B2CF9AE}" pid="4" name="LastSaved">
    <vt:filetime>2024-09-04T00:00:00Z</vt:filetime>
  </property>
  <property fmtid="{D5CDD505-2E9C-101B-9397-08002B2CF9AE}" pid="5" name="Producer">
    <vt:lpwstr>Microsoft® Word 2019</vt:lpwstr>
  </property>
</Properties>
</file>