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6C6" w:rsidRDefault="00000000">
      <w:pPr>
        <w:pStyle w:val="Textoindependiente"/>
        <w:ind w:left="3842"/>
        <w:rPr>
          <w:rFonts w:ascii="Times New Roman"/>
          <w:sz w:val="20"/>
        </w:rPr>
      </w:pPr>
      <w:r>
        <w:rPr>
          <w:rFonts w:ascii="Times New Roman"/>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DB06C6" w:rsidRDefault="00DB06C6">
      <w:pPr>
        <w:pStyle w:val="Textoindependiente"/>
        <w:spacing w:before="229"/>
        <w:rPr>
          <w:rFonts w:ascii="Times New Roman"/>
        </w:rPr>
      </w:pPr>
    </w:p>
    <w:p w:rsidR="00DB06C6" w:rsidRDefault="00000000">
      <w:pPr>
        <w:pStyle w:val="Ttulo1"/>
        <w:ind w:right="90" w:firstLine="0"/>
        <w:jc w:val="center"/>
      </w:pPr>
      <w:r>
        <w:t>PROHÍBE</w:t>
      </w:r>
      <w:r>
        <w:rPr>
          <w:spacing w:val="-4"/>
        </w:rPr>
        <w:t xml:space="preserve"> </w:t>
      </w:r>
      <w:r>
        <w:t>QUE</w:t>
      </w:r>
      <w:r>
        <w:rPr>
          <w:spacing w:val="-4"/>
        </w:rPr>
        <w:t xml:space="preserve"> </w:t>
      </w:r>
      <w:r>
        <w:t>SE</w:t>
      </w:r>
      <w:r>
        <w:rPr>
          <w:spacing w:val="-4"/>
        </w:rPr>
        <w:t xml:space="preserve"> </w:t>
      </w:r>
      <w:r>
        <w:t>PAGUE</w:t>
      </w:r>
      <w:r>
        <w:rPr>
          <w:spacing w:val="-4"/>
        </w:rPr>
        <w:t xml:space="preserve"> </w:t>
      </w:r>
      <w:r>
        <w:t>CON</w:t>
      </w:r>
      <w:r>
        <w:rPr>
          <w:spacing w:val="-4"/>
        </w:rPr>
        <w:t xml:space="preserve"> </w:t>
      </w:r>
      <w:r>
        <w:t>DINERO</w:t>
      </w:r>
      <w:r>
        <w:rPr>
          <w:spacing w:val="-4"/>
        </w:rPr>
        <w:t xml:space="preserve"> </w:t>
      </w:r>
      <w:r>
        <w:t>DE</w:t>
      </w:r>
      <w:r>
        <w:rPr>
          <w:spacing w:val="-4"/>
        </w:rPr>
        <w:t xml:space="preserve"> </w:t>
      </w:r>
      <w:r>
        <w:t>ORIGEN</w:t>
      </w:r>
      <w:r>
        <w:rPr>
          <w:spacing w:val="-4"/>
        </w:rPr>
        <w:t xml:space="preserve"> </w:t>
      </w:r>
      <w:r>
        <w:t>ILÍCITO</w:t>
      </w:r>
      <w:r>
        <w:rPr>
          <w:spacing w:val="-4"/>
        </w:rPr>
        <w:t xml:space="preserve"> </w:t>
      </w:r>
      <w:r>
        <w:t>LA</w:t>
      </w:r>
      <w:r>
        <w:rPr>
          <w:spacing w:val="-4"/>
        </w:rPr>
        <w:t xml:space="preserve"> </w:t>
      </w:r>
      <w:r>
        <w:t>CAUCIÓN</w:t>
      </w:r>
      <w:r>
        <w:rPr>
          <w:spacing w:val="-5"/>
        </w:rPr>
        <w:t xml:space="preserve"> </w:t>
      </w:r>
      <w:r>
        <w:t>ECONÓMICA PARA EL REEMPLAZO DE LA MEDIDA CAUTELAR DE PRISIÓN PREVENTIVA Y LOS HONORARIOS DE ABOGADOS, EN LOS CASOS QUE INDICA</w:t>
      </w:r>
    </w:p>
    <w:p w:rsidR="00DB06C6" w:rsidRDefault="00DB06C6">
      <w:pPr>
        <w:pStyle w:val="Textoindependiente"/>
        <w:rPr>
          <w:b/>
        </w:rPr>
      </w:pPr>
    </w:p>
    <w:p w:rsidR="00DB06C6" w:rsidRDefault="00DB06C6">
      <w:pPr>
        <w:pStyle w:val="Textoindependiente"/>
        <w:spacing w:before="3"/>
        <w:rPr>
          <w:b/>
        </w:rPr>
      </w:pPr>
    </w:p>
    <w:p w:rsidR="00DB06C6" w:rsidRDefault="00000000">
      <w:pPr>
        <w:pStyle w:val="Prrafodelista"/>
        <w:numPr>
          <w:ilvl w:val="0"/>
          <w:numId w:val="1"/>
        </w:numPr>
        <w:tabs>
          <w:tab w:val="left" w:pos="627"/>
        </w:tabs>
        <w:rPr>
          <w:b/>
          <w:sz w:val="24"/>
        </w:rPr>
      </w:pPr>
      <w:r>
        <w:rPr>
          <w:b/>
          <w:spacing w:val="-2"/>
          <w:sz w:val="24"/>
        </w:rPr>
        <w:t>ANTECEDENTES</w:t>
      </w:r>
    </w:p>
    <w:p w:rsidR="00DB06C6" w:rsidRDefault="00DB06C6">
      <w:pPr>
        <w:pStyle w:val="Textoindependiente"/>
        <w:rPr>
          <w:b/>
        </w:rPr>
      </w:pPr>
    </w:p>
    <w:p w:rsidR="00DB06C6" w:rsidRDefault="00000000">
      <w:pPr>
        <w:pStyle w:val="Textoindependiente"/>
        <w:spacing w:line="264" w:lineRule="auto"/>
        <w:ind w:left="119" w:right="111"/>
        <w:jc w:val="both"/>
      </w:pPr>
      <w:r>
        <w:t>El</w:t>
      </w:r>
      <w:r>
        <w:rPr>
          <w:spacing w:val="-6"/>
        </w:rPr>
        <w:t xml:space="preserve"> </w:t>
      </w:r>
      <w:r>
        <w:t>aumento</w:t>
      </w:r>
      <w:r>
        <w:rPr>
          <w:spacing w:val="-6"/>
        </w:rPr>
        <w:t xml:space="preserve"> </w:t>
      </w:r>
      <w:r>
        <w:t>de</w:t>
      </w:r>
      <w:r>
        <w:rPr>
          <w:spacing w:val="-6"/>
        </w:rPr>
        <w:t xml:space="preserve"> </w:t>
      </w:r>
      <w:r>
        <w:t>los</w:t>
      </w:r>
      <w:r>
        <w:rPr>
          <w:spacing w:val="-6"/>
        </w:rPr>
        <w:t xml:space="preserve"> </w:t>
      </w:r>
      <w:r>
        <w:t>ilicitos</w:t>
      </w:r>
      <w:r>
        <w:rPr>
          <w:spacing w:val="-6"/>
        </w:rPr>
        <w:t xml:space="preserve"> </w:t>
      </w:r>
      <w:r>
        <w:t>violentos</w:t>
      </w:r>
      <w:r>
        <w:rPr>
          <w:spacing w:val="-6"/>
        </w:rPr>
        <w:t xml:space="preserve"> </w:t>
      </w:r>
      <w:r>
        <w:t>ha</w:t>
      </w:r>
      <w:r>
        <w:rPr>
          <w:spacing w:val="-6"/>
        </w:rPr>
        <w:t xml:space="preserve"> </w:t>
      </w:r>
      <w:r>
        <w:t>afectado</w:t>
      </w:r>
      <w:r>
        <w:rPr>
          <w:spacing w:val="-6"/>
        </w:rPr>
        <w:t xml:space="preserve"> </w:t>
      </w:r>
      <w:r>
        <w:t>notoriamente</w:t>
      </w:r>
      <w:r>
        <w:rPr>
          <w:spacing w:val="-6"/>
        </w:rPr>
        <w:t xml:space="preserve"> </w:t>
      </w:r>
      <w:r>
        <w:t>las</w:t>
      </w:r>
      <w:r>
        <w:rPr>
          <w:spacing w:val="-6"/>
        </w:rPr>
        <w:t xml:space="preserve"> </w:t>
      </w:r>
      <w:r>
        <w:t>condiciones</w:t>
      </w:r>
      <w:r>
        <w:rPr>
          <w:spacing w:val="-6"/>
        </w:rPr>
        <w:t xml:space="preserve"> </w:t>
      </w:r>
      <w:r>
        <w:t>de</w:t>
      </w:r>
      <w:r>
        <w:rPr>
          <w:spacing w:val="-6"/>
        </w:rPr>
        <w:t xml:space="preserve"> </w:t>
      </w:r>
      <w:r>
        <w:t>seguridad y la percepción ciudadana respecto de la eficacia del Estado de Derecho en materia de persecución</w:t>
      </w:r>
      <w:r>
        <w:rPr>
          <w:spacing w:val="-11"/>
        </w:rPr>
        <w:t xml:space="preserve"> </w:t>
      </w:r>
      <w:r>
        <w:t>del</w:t>
      </w:r>
      <w:r>
        <w:rPr>
          <w:spacing w:val="-11"/>
        </w:rPr>
        <w:t xml:space="preserve"> </w:t>
      </w:r>
      <w:r>
        <w:t>delito,</w:t>
      </w:r>
      <w:r>
        <w:rPr>
          <w:spacing w:val="-11"/>
        </w:rPr>
        <w:t xml:space="preserve"> </w:t>
      </w:r>
      <w:r>
        <w:t>sobre</w:t>
      </w:r>
      <w:r>
        <w:rPr>
          <w:spacing w:val="-11"/>
        </w:rPr>
        <w:t xml:space="preserve"> </w:t>
      </w:r>
      <w:r>
        <w:t>todo</w:t>
      </w:r>
      <w:r>
        <w:rPr>
          <w:spacing w:val="-11"/>
        </w:rPr>
        <w:t xml:space="preserve"> </w:t>
      </w:r>
      <w:r>
        <w:t>luego</w:t>
      </w:r>
      <w:r>
        <w:rPr>
          <w:spacing w:val="-11"/>
        </w:rPr>
        <w:t xml:space="preserve"> </w:t>
      </w:r>
      <w:r>
        <w:t>de</w:t>
      </w:r>
      <w:r>
        <w:rPr>
          <w:spacing w:val="-11"/>
        </w:rPr>
        <w:t xml:space="preserve"> </w:t>
      </w:r>
      <w:r>
        <w:t>la</w:t>
      </w:r>
      <w:r>
        <w:rPr>
          <w:spacing w:val="-11"/>
        </w:rPr>
        <w:t xml:space="preserve"> </w:t>
      </w:r>
      <w:r>
        <w:t>llegada</w:t>
      </w:r>
      <w:r>
        <w:rPr>
          <w:spacing w:val="-11"/>
        </w:rPr>
        <w:t xml:space="preserve"> </w:t>
      </w:r>
      <w:r>
        <w:t>de</w:t>
      </w:r>
      <w:r>
        <w:rPr>
          <w:spacing w:val="-11"/>
        </w:rPr>
        <w:t xml:space="preserve"> </w:t>
      </w:r>
      <w:r>
        <w:t>peligrosas</w:t>
      </w:r>
      <w:r>
        <w:rPr>
          <w:spacing w:val="-11"/>
        </w:rPr>
        <w:t xml:space="preserve"> </w:t>
      </w:r>
      <w:r>
        <w:t>bandas</w:t>
      </w:r>
      <w:r>
        <w:rPr>
          <w:spacing w:val="-11"/>
        </w:rPr>
        <w:t xml:space="preserve"> </w:t>
      </w:r>
      <w:r>
        <w:t>transnacionales cuyo comportamiento criminógeno se ha traspasado a otros delincuentes acentuando la intensidad de la violencia y la perpetración de conductas punibles que hasta hace un tiempo eran inusuales en el país, tales como el sicariato y el secuestro extorsivo.</w:t>
      </w:r>
    </w:p>
    <w:p w:rsidR="00DB06C6" w:rsidRDefault="00DB06C6">
      <w:pPr>
        <w:pStyle w:val="Textoindependiente"/>
        <w:spacing w:before="29"/>
      </w:pPr>
    </w:p>
    <w:p w:rsidR="00DB06C6" w:rsidRDefault="00000000">
      <w:pPr>
        <w:pStyle w:val="Textoindependiente"/>
        <w:spacing w:before="1" w:line="264" w:lineRule="auto"/>
        <w:ind w:left="119" w:right="111"/>
        <w:jc w:val="both"/>
      </w:pPr>
      <w:r>
        <w:t>La participación cada vez más frecuente de asociaciones criminales en la comisión de delitos</w:t>
      </w:r>
      <w:r>
        <w:rPr>
          <w:spacing w:val="-1"/>
        </w:rPr>
        <w:t xml:space="preserve"> </w:t>
      </w:r>
      <w:r>
        <w:t>graves</w:t>
      </w:r>
      <w:r>
        <w:rPr>
          <w:spacing w:val="-1"/>
        </w:rPr>
        <w:t xml:space="preserve"> </w:t>
      </w:r>
      <w:r>
        <w:t>ha</w:t>
      </w:r>
      <w:r>
        <w:rPr>
          <w:spacing w:val="-1"/>
        </w:rPr>
        <w:t xml:space="preserve"> </w:t>
      </w:r>
      <w:r>
        <w:t>sido</w:t>
      </w:r>
      <w:r>
        <w:rPr>
          <w:spacing w:val="-1"/>
        </w:rPr>
        <w:t xml:space="preserve"> </w:t>
      </w:r>
      <w:r>
        <w:t>una</w:t>
      </w:r>
      <w:r>
        <w:rPr>
          <w:spacing w:val="-1"/>
        </w:rPr>
        <w:t xml:space="preserve"> </w:t>
      </w:r>
      <w:r>
        <w:t>de</w:t>
      </w:r>
      <w:r>
        <w:rPr>
          <w:spacing w:val="-1"/>
        </w:rPr>
        <w:t xml:space="preserve"> </w:t>
      </w:r>
      <w:r>
        <w:t>las</w:t>
      </w:r>
      <w:r>
        <w:rPr>
          <w:spacing w:val="-1"/>
        </w:rPr>
        <w:t xml:space="preserve"> </w:t>
      </w:r>
      <w:r>
        <w:t>principales</w:t>
      </w:r>
      <w:r>
        <w:rPr>
          <w:spacing w:val="-1"/>
        </w:rPr>
        <w:t xml:space="preserve"> </w:t>
      </w:r>
      <w:r>
        <w:t>preocupaciones</w:t>
      </w:r>
      <w:r>
        <w:rPr>
          <w:spacing w:val="-1"/>
        </w:rPr>
        <w:t xml:space="preserve"> </w:t>
      </w:r>
      <w:r>
        <w:t>del</w:t>
      </w:r>
      <w:r>
        <w:rPr>
          <w:spacing w:val="-1"/>
        </w:rPr>
        <w:t xml:space="preserve"> </w:t>
      </w:r>
      <w:r>
        <w:t>último</w:t>
      </w:r>
      <w:r>
        <w:rPr>
          <w:spacing w:val="-1"/>
        </w:rPr>
        <w:t xml:space="preserve"> </w:t>
      </w:r>
      <w:r>
        <w:t>tiempo,</w:t>
      </w:r>
      <w:r>
        <w:rPr>
          <w:spacing w:val="-1"/>
        </w:rPr>
        <w:t xml:space="preserve"> </w:t>
      </w:r>
      <w:r>
        <w:t>por</w:t>
      </w:r>
      <w:r>
        <w:rPr>
          <w:spacing w:val="-1"/>
        </w:rPr>
        <w:t xml:space="preserve"> </w:t>
      </w:r>
      <w:r>
        <w:t>lo</w:t>
      </w:r>
      <w:r>
        <w:rPr>
          <w:spacing w:val="-1"/>
        </w:rPr>
        <w:t xml:space="preserve"> </w:t>
      </w:r>
      <w:r>
        <w:t>que la legislación debe avanzar en la línea de sancionar efectivamente a quienes actúen al margen de la ley estableciendo requisitos más estrictos a la hora de aplicar justicia por medio</w:t>
      </w:r>
      <w:r>
        <w:rPr>
          <w:spacing w:val="-7"/>
        </w:rPr>
        <w:t xml:space="preserve"> </w:t>
      </w:r>
      <w:r>
        <w:t>de</w:t>
      </w:r>
      <w:r>
        <w:rPr>
          <w:spacing w:val="-7"/>
        </w:rPr>
        <w:t xml:space="preserve"> </w:t>
      </w:r>
      <w:r>
        <w:t>penas</w:t>
      </w:r>
      <w:r>
        <w:rPr>
          <w:spacing w:val="-7"/>
        </w:rPr>
        <w:t xml:space="preserve"> </w:t>
      </w:r>
      <w:r>
        <w:t>más</w:t>
      </w:r>
      <w:r>
        <w:rPr>
          <w:spacing w:val="-7"/>
        </w:rPr>
        <w:t xml:space="preserve"> </w:t>
      </w:r>
      <w:r>
        <w:t>severas</w:t>
      </w:r>
      <w:r>
        <w:rPr>
          <w:spacing w:val="-7"/>
        </w:rPr>
        <w:t xml:space="preserve"> </w:t>
      </w:r>
      <w:r>
        <w:t>y</w:t>
      </w:r>
      <w:r>
        <w:rPr>
          <w:spacing w:val="-7"/>
        </w:rPr>
        <w:t xml:space="preserve"> </w:t>
      </w:r>
      <w:r>
        <w:t>mayores</w:t>
      </w:r>
      <w:r>
        <w:rPr>
          <w:spacing w:val="-7"/>
        </w:rPr>
        <w:t xml:space="preserve"> </w:t>
      </w:r>
      <w:r>
        <w:t>exigencias</w:t>
      </w:r>
      <w:r>
        <w:rPr>
          <w:spacing w:val="-7"/>
        </w:rPr>
        <w:t xml:space="preserve"> </w:t>
      </w:r>
      <w:r>
        <w:t>procesales</w:t>
      </w:r>
      <w:r>
        <w:rPr>
          <w:spacing w:val="-7"/>
        </w:rPr>
        <w:t xml:space="preserve"> </w:t>
      </w:r>
      <w:r>
        <w:t>en</w:t>
      </w:r>
      <w:r>
        <w:rPr>
          <w:spacing w:val="-7"/>
        </w:rPr>
        <w:t xml:space="preserve"> </w:t>
      </w:r>
      <w:r>
        <w:t>cuanto</w:t>
      </w:r>
      <w:r>
        <w:rPr>
          <w:spacing w:val="-7"/>
        </w:rPr>
        <w:t xml:space="preserve"> </w:t>
      </w:r>
      <w:r>
        <w:t>a</w:t>
      </w:r>
      <w:r>
        <w:rPr>
          <w:spacing w:val="-7"/>
        </w:rPr>
        <w:t xml:space="preserve"> </w:t>
      </w:r>
      <w:r>
        <w:t>la</w:t>
      </w:r>
      <w:r>
        <w:rPr>
          <w:spacing w:val="-7"/>
        </w:rPr>
        <w:t xml:space="preserve"> </w:t>
      </w:r>
      <w:r>
        <w:t>procedencia</w:t>
      </w:r>
      <w:r>
        <w:rPr>
          <w:spacing w:val="-7"/>
        </w:rPr>
        <w:t xml:space="preserve"> </w:t>
      </w:r>
      <w:r>
        <w:t>y mérito de algunas medidas, entre ellas, la prisión preventiva y su reemplazo por una caución económica.</w:t>
      </w:r>
    </w:p>
    <w:p w:rsidR="00DB06C6" w:rsidRDefault="00DB06C6">
      <w:pPr>
        <w:pStyle w:val="Textoindependiente"/>
        <w:spacing w:before="28"/>
      </w:pPr>
    </w:p>
    <w:p w:rsidR="00DB06C6" w:rsidRDefault="00000000">
      <w:pPr>
        <w:pStyle w:val="Textoindependiente"/>
        <w:spacing w:line="264" w:lineRule="auto"/>
        <w:ind w:left="119" w:right="111"/>
        <w:jc w:val="both"/>
      </w:pPr>
      <w:r>
        <w:t>La prisión preventiva corresponde a la medida cautelar de mayor intensidad que procede una vez formalizada la investigación a petición del querellante o del Ministerio Público, siempre</w:t>
      </w:r>
      <w:r>
        <w:rPr>
          <w:spacing w:val="-7"/>
        </w:rPr>
        <w:t xml:space="preserve"> </w:t>
      </w:r>
      <w:r>
        <w:t>que</w:t>
      </w:r>
      <w:r>
        <w:rPr>
          <w:spacing w:val="-7"/>
        </w:rPr>
        <w:t xml:space="preserve"> </w:t>
      </w:r>
      <w:r>
        <w:t>el</w:t>
      </w:r>
      <w:r>
        <w:rPr>
          <w:spacing w:val="-7"/>
        </w:rPr>
        <w:t xml:space="preserve"> </w:t>
      </w:r>
      <w:r>
        <w:t>solicitante</w:t>
      </w:r>
      <w:r>
        <w:rPr>
          <w:spacing w:val="-7"/>
        </w:rPr>
        <w:t xml:space="preserve"> </w:t>
      </w:r>
      <w:r>
        <w:t>acreditare</w:t>
      </w:r>
      <w:r>
        <w:rPr>
          <w:spacing w:val="-7"/>
        </w:rPr>
        <w:t xml:space="preserve"> </w:t>
      </w:r>
      <w:r>
        <w:t>los</w:t>
      </w:r>
      <w:r>
        <w:rPr>
          <w:spacing w:val="-7"/>
        </w:rPr>
        <w:t xml:space="preserve"> </w:t>
      </w:r>
      <w:r>
        <w:t>presupuestos</w:t>
      </w:r>
      <w:r>
        <w:rPr>
          <w:spacing w:val="-7"/>
        </w:rPr>
        <w:t xml:space="preserve"> </w:t>
      </w:r>
      <w:r>
        <w:t>materiales</w:t>
      </w:r>
      <w:r>
        <w:rPr>
          <w:spacing w:val="-7"/>
        </w:rPr>
        <w:t xml:space="preserve"> </w:t>
      </w:r>
      <w:r>
        <w:t>y</w:t>
      </w:r>
      <w:r>
        <w:rPr>
          <w:spacing w:val="-7"/>
        </w:rPr>
        <w:t xml:space="preserve"> </w:t>
      </w:r>
      <w:r>
        <w:t>la</w:t>
      </w:r>
      <w:r>
        <w:rPr>
          <w:spacing w:val="-7"/>
        </w:rPr>
        <w:t xml:space="preserve"> </w:t>
      </w:r>
      <w:r>
        <w:t>necesidad</w:t>
      </w:r>
      <w:r>
        <w:rPr>
          <w:spacing w:val="-7"/>
        </w:rPr>
        <w:t xml:space="preserve"> </w:t>
      </w:r>
      <w:r>
        <w:t>de</w:t>
      </w:r>
      <w:r>
        <w:rPr>
          <w:spacing w:val="-7"/>
        </w:rPr>
        <w:t xml:space="preserve"> </w:t>
      </w:r>
      <w:r>
        <w:t>cautela a que se refiere el artículo 140 del Código Procesal Penal, en relación con la existencia de antecedentes calificados que permitieren al tribunal considerar que dicha medida es indispensable para el éxito de la investigación, que la libertad del imputado es peligrosa para la seguridad de la sociedad o del ofendido, o bien, por peligro de fuga.</w:t>
      </w:r>
    </w:p>
    <w:p w:rsidR="00DB06C6" w:rsidRDefault="00DB06C6">
      <w:pPr>
        <w:pStyle w:val="Textoindependiente"/>
        <w:spacing w:before="29"/>
      </w:pPr>
    </w:p>
    <w:p w:rsidR="00DB06C6" w:rsidRDefault="00000000">
      <w:pPr>
        <w:pStyle w:val="Textoindependiente"/>
        <w:spacing w:line="264" w:lineRule="auto"/>
        <w:ind w:left="119" w:right="111"/>
        <w:jc w:val="both"/>
      </w:pPr>
      <w:r>
        <w:t>El artículo 146 del referido cuerpo legal permite el reemplazo de la prisión preventiva por una caución económica suficiente, cuando la primera hubiera sido o debiera ser impuesta únicamente para garantizar la comparecencia del imputado al juicio y a la eventual ejecución</w:t>
      </w:r>
      <w:r>
        <w:rPr>
          <w:spacing w:val="-5"/>
        </w:rPr>
        <w:t xml:space="preserve"> </w:t>
      </w:r>
      <w:r>
        <w:t>de</w:t>
      </w:r>
      <w:r>
        <w:rPr>
          <w:spacing w:val="-5"/>
        </w:rPr>
        <w:t xml:space="preserve"> </w:t>
      </w:r>
      <w:r>
        <w:t>la</w:t>
      </w:r>
      <w:r>
        <w:rPr>
          <w:spacing w:val="-5"/>
        </w:rPr>
        <w:t xml:space="preserve"> </w:t>
      </w:r>
      <w:r>
        <w:t>pena.</w:t>
      </w:r>
      <w:r>
        <w:rPr>
          <w:spacing w:val="-5"/>
        </w:rPr>
        <w:t xml:space="preserve"> </w:t>
      </w:r>
      <w:r>
        <w:t>Con</w:t>
      </w:r>
      <w:r>
        <w:rPr>
          <w:spacing w:val="-5"/>
        </w:rPr>
        <w:t xml:space="preserve"> </w:t>
      </w:r>
      <w:r>
        <w:t>todo,</w:t>
      </w:r>
      <w:r>
        <w:rPr>
          <w:spacing w:val="-5"/>
        </w:rPr>
        <w:t xml:space="preserve"> </w:t>
      </w:r>
      <w:r>
        <w:t>la</w:t>
      </w:r>
      <w:r>
        <w:rPr>
          <w:spacing w:val="-5"/>
        </w:rPr>
        <w:t xml:space="preserve"> </w:t>
      </w:r>
      <w:r>
        <w:t>caución</w:t>
      </w:r>
      <w:r>
        <w:rPr>
          <w:spacing w:val="-4"/>
        </w:rPr>
        <w:t xml:space="preserve"> </w:t>
      </w:r>
      <w:r>
        <w:t>podrá</w:t>
      </w:r>
      <w:r>
        <w:rPr>
          <w:spacing w:val="-5"/>
        </w:rPr>
        <w:t xml:space="preserve"> </w:t>
      </w:r>
      <w:r>
        <w:t>consistir</w:t>
      </w:r>
      <w:r>
        <w:rPr>
          <w:spacing w:val="-5"/>
        </w:rPr>
        <w:t xml:space="preserve"> </w:t>
      </w:r>
      <w:r>
        <w:t>en</w:t>
      </w:r>
      <w:r>
        <w:rPr>
          <w:spacing w:val="-5"/>
        </w:rPr>
        <w:t xml:space="preserve"> </w:t>
      </w:r>
      <w:r>
        <w:t>el</w:t>
      </w:r>
      <w:r>
        <w:rPr>
          <w:spacing w:val="-5"/>
        </w:rPr>
        <w:t xml:space="preserve"> </w:t>
      </w:r>
      <w:r>
        <w:t>depósito</w:t>
      </w:r>
      <w:r>
        <w:rPr>
          <w:spacing w:val="-5"/>
        </w:rPr>
        <w:t xml:space="preserve"> </w:t>
      </w:r>
      <w:r>
        <w:t>por</w:t>
      </w:r>
      <w:r>
        <w:rPr>
          <w:spacing w:val="-5"/>
        </w:rPr>
        <w:t xml:space="preserve"> </w:t>
      </w:r>
      <w:r>
        <w:t>el</w:t>
      </w:r>
      <w:r>
        <w:rPr>
          <w:spacing w:val="-5"/>
        </w:rPr>
        <w:t xml:space="preserve"> </w:t>
      </w:r>
      <w:r>
        <w:t>imputado</w:t>
      </w:r>
      <w:r>
        <w:rPr>
          <w:spacing w:val="-5"/>
        </w:rPr>
        <w:t xml:space="preserve"> </w:t>
      </w:r>
      <w:r>
        <w:rPr>
          <w:spacing w:val="-10"/>
        </w:rPr>
        <w:t>u</w:t>
      </w:r>
    </w:p>
    <w:p w:rsidR="00DB06C6" w:rsidRDefault="00DB06C6">
      <w:pPr>
        <w:spacing w:line="264" w:lineRule="auto"/>
        <w:jc w:val="both"/>
        <w:sectPr w:rsidR="00DB06C6">
          <w:type w:val="continuous"/>
          <w:pgSz w:w="12240" w:h="15840"/>
          <w:pgMar w:top="1300" w:right="1640" w:bottom="280" w:left="1580" w:header="720" w:footer="720" w:gutter="0"/>
          <w:cols w:space="720"/>
        </w:sectPr>
      </w:pPr>
    </w:p>
    <w:p w:rsidR="00DB06C6" w:rsidRDefault="00000000">
      <w:pPr>
        <w:pStyle w:val="Textoindependiente"/>
        <w:spacing w:before="78" w:line="264" w:lineRule="auto"/>
        <w:ind w:left="119" w:right="112"/>
        <w:jc w:val="both"/>
      </w:pPr>
      <w:r>
        <w:lastRenderedPageBreak/>
        <w:t>otra</w:t>
      </w:r>
      <w:r>
        <w:rPr>
          <w:spacing w:val="-7"/>
        </w:rPr>
        <w:t xml:space="preserve"> </w:t>
      </w:r>
      <w:r>
        <w:t>persona</w:t>
      </w:r>
      <w:r>
        <w:rPr>
          <w:spacing w:val="-7"/>
        </w:rPr>
        <w:t xml:space="preserve"> </w:t>
      </w:r>
      <w:r>
        <w:t>de</w:t>
      </w:r>
      <w:r>
        <w:rPr>
          <w:spacing w:val="-7"/>
        </w:rPr>
        <w:t xml:space="preserve"> </w:t>
      </w:r>
      <w:r>
        <w:t>dinero</w:t>
      </w:r>
      <w:r>
        <w:rPr>
          <w:spacing w:val="-7"/>
        </w:rPr>
        <w:t xml:space="preserve"> </w:t>
      </w:r>
      <w:r>
        <w:t>o</w:t>
      </w:r>
      <w:r>
        <w:rPr>
          <w:spacing w:val="-7"/>
        </w:rPr>
        <w:t xml:space="preserve"> </w:t>
      </w:r>
      <w:r>
        <w:t>valores,</w:t>
      </w:r>
      <w:r>
        <w:rPr>
          <w:spacing w:val="-7"/>
        </w:rPr>
        <w:t xml:space="preserve"> </w:t>
      </w:r>
      <w:r>
        <w:t>la</w:t>
      </w:r>
      <w:r>
        <w:rPr>
          <w:spacing w:val="-7"/>
        </w:rPr>
        <w:t xml:space="preserve"> </w:t>
      </w:r>
      <w:r>
        <w:t>constitución</w:t>
      </w:r>
      <w:r>
        <w:rPr>
          <w:spacing w:val="-7"/>
        </w:rPr>
        <w:t xml:space="preserve"> </w:t>
      </w:r>
      <w:r>
        <w:t>de</w:t>
      </w:r>
      <w:r>
        <w:rPr>
          <w:spacing w:val="-7"/>
        </w:rPr>
        <w:t xml:space="preserve"> </w:t>
      </w:r>
      <w:r>
        <w:t>prendas</w:t>
      </w:r>
      <w:r>
        <w:rPr>
          <w:spacing w:val="-7"/>
        </w:rPr>
        <w:t xml:space="preserve"> </w:t>
      </w:r>
      <w:r>
        <w:t>o</w:t>
      </w:r>
      <w:r>
        <w:rPr>
          <w:spacing w:val="-7"/>
        </w:rPr>
        <w:t xml:space="preserve"> </w:t>
      </w:r>
      <w:r>
        <w:t>hipotecas,</w:t>
      </w:r>
      <w:r>
        <w:rPr>
          <w:spacing w:val="-7"/>
        </w:rPr>
        <w:t xml:space="preserve"> </w:t>
      </w:r>
      <w:r>
        <w:t>o</w:t>
      </w:r>
      <w:r>
        <w:rPr>
          <w:spacing w:val="-7"/>
        </w:rPr>
        <w:t xml:space="preserve"> </w:t>
      </w:r>
      <w:r>
        <w:t>la</w:t>
      </w:r>
      <w:r>
        <w:rPr>
          <w:spacing w:val="-7"/>
        </w:rPr>
        <w:t xml:space="preserve"> </w:t>
      </w:r>
      <w:r>
        <w:t>fianza</w:t>
      </w:r>
      <w:r>
        <w:rPr>
          <w:spacing w:val="-7"/>
        </w:rPr>
        <w:t xml:space="preserve"> </w:t>
      </w:r>
      <w:r>
        <w:t>de</w:t>
      </w:r>
      <w:r>
        <w:rPr>
          <w:spacing w:val="-7"/>
        </w:rPr>
        <w:t xml:space="preserve"> </w:t>
      </w:r>
      <w:r>
        <w:t>una o más personas idóneas calificadas por el tribunal.</w:t>
      </w:r>
    </w:p>
    <w:p w:rsidR="00DB06C6" w:rsidRDefault="00DB06C6">
      <w:pPr>
        <w:pStyle w:val="Textoindependiente"/>
        <w:spacing w:before="31"/>
      </w:pPr>
    </w:p>
    <w:p w:rsidR="00DB06C6" w:rsidRDefault="00000000">
      <w:pPr>
        <w:pStyle w:val="Textoindependiente"/>
        <w:spacing w:before="1" w:line="264" w:lineRule="auto"/>
        <w:ind w:left="119" w:right="110"/>
        <w:jc w:val="both"/>
      </w:pPr>
      <w:r>
        <w:t>En</w:t>
      </w:r>
      <w:r>
        <w:rPr>
          <w:spacing w:val="-3"/>
        </w:rPr>
        <w:t xml:space="preserve"> </w:t>
      </w:r>
      <w:r>
        <w:t>tal</w:t>
      </w:r>
      <w:r>
        <w:rPr>
          <w:spacing w:val="-3"/>
        </w:rPr>
        <w:t xml:space="preserve"> </w:t>
      </w:r>
      <w:r>
        <w:t>contexto,</w:t>
      </w:r>
      <w:r>
        <w:rPr>
          <w:spacing w:val="-3"/>
        </w:rPr>
        <w:t xml:space="preserve"> </w:t>
      </w:r>
      <w:r>
        <w:t>resulta</w:t>
      </w:r>
      <w:r>
        <w:rPr>
          <w:spacing w:val="-3"/>
        </w:rPr>
        <w:t xml:space="preserve"> </w:t>
      </w:r>
      <w:r>
        <w:t>inaceptable</w:t>
      </w:r>
      <w:r>
        <w:rPr>
          <w:spacing w:val="-3"/>
        </w:rPr>
        <w:t xml:space="preserve"> </w:t>
      </w:r>
      <w:r>
        <w:t>que</w:t>
      </w:r>
      <w:r>
        <w:rPr>
          <w:spacing w:val="-3"/>
        </w:rPr>
        <w:t xml:space="preserve"> </w:t>
      </w:r>
      <w:r>
        <w:t>el</w:t>
      </w:r>
      <w:r>
        <w:rPr>
          <w:spacing w:val="-3"/>
        </w:rPr>
        <w:t xml:space="preserve"> </w:t>
      </w:r>
      <w:r>
        <w:t>financiamiento</w:t>
      </w:r>
      <w:r>
        <w:rPr>
          <w:spacing w:val="-3"/>
        </w:rPr>
        <w:t xml:space="preserve"> </w:t>
      </w:r>
      <w:r>
        <w:t>obtenido</w:t>
      </w:r>
      <w:r>
        <w:rPr>
          <w:spacing w:val="-3"/>
        </w:rPr>
        <w:t xml:space="preserve"> </w:t>
      </w:r>
      <w:r>
        <w:t>a</w:t>
      </w:r>
      <w:r>
        <w:rPr>
          <w:spacing w:val="-3"/>
        </w:rPr>
        <w:t xml:space="preserve"> </w:t>
      </w:r>
      <w:r>
        <w:t>partir</w:t>
      </w:r>
      <w:r>
        <w:rPr>
          <w:spacing w:val="-3"/>
        </w:rPr>
        <w:t xml:space="preserve"> </w:t>
      </w:r>
      <w:r>
        <w:t>de</w:t>
      </w:r>
      <w:r>
        <w:rPr>
          <w:spacing w:val="-3"/>
        </w:rPr>
        <w:t xml:space="preserve"> </w:t>
      </w:r>
      <w:r>
        <w:t>actividades ilícitas sirva eventualmente para sustituir la medida cautelar más gravosa en perjuicio del interés de toda la sociedad, especialmente tratándose de delitos de tráfico de drogas o hechos vinculados al crimen organizado, donde la procedencia ilegal de los bienes de quienes han sido formalizados por dichos actos es aún más evidente.</w:t>
      </w:r>
    </w:p>
    <w:p w:rsidR="00DB06C6" w:rsidRDefault="00DB06C6">
      <w:pPr>
        <w:pStyle w:val="Textoindependiente"/>
        <w:spacing w:before="25"/>
      </w:pPr>
    </w:p>
    <w:p w:rsidR="00DB06C6" w:rsidRDefault="00000000">
      <w:pPr>
        <w:pStyle w:val="Textoindependiente"/>
        <w:spacing w:line="264" w:lineRule="auto"/>
        <w:ind w:left="119" w:right="111"/>
        <w:jc w:val="both"/>
      </w:pPr>
      <w:r>
        <w:t>Habitualmente, el reemplazo de la prisión preventiva es objeto de cuestionamientos por parte de la opinión pública, sobre todo respecto de delitos cometidos por miembros de organizaciones criminales. Sin ir más lejos, uno de los casos recientes más controvertidos surgió luego de que la magistrada del Juzgado de Garantía de Los Vilos sustituyera la cautelar de mayor intensidad a cambio de una caución de $5.000.000, en el caso de cinco integrantes del Tren de Aragua que estaban siendo investigados por los delitos de secuestro agravado, robo con intimidación y asociación ilícita.</w:t>
      </w:r>
    </w:p>
    <w:p w:rsidR="00DB06C6" w:rsidRDefault="00DB06C6">
      <w:pPr>
        <w:pStyle w:val="Textoindependiente"/>
        <w:spacing w:before="33"/>
      </w:pPr>
    </w:p>
    <w:p w:rsidR="00DB06C6" w:rsidRDefault="00000000">
      <w:pPr>
        <w:pStyle w:val="Textoindependiente"/>
        <w:spacing w:before="1" w:line="264" w:lineRule="auto"/>
        <w:ind w:left="119" w:right="111"/>
        <w:jc w:val="both"/>
      </w:pPr>
      <w:r>
        <w:t>Si bien el tribunal de alzada revocó la resolución que permitió el reemplazo de la prisión preventiva,</w:t>
      </w:r>
      <w:r>
        <w:rPr>
          <w:spacing w:val="-11"/>
        </w:rPr>
        <w:t xml:space="preserve"> </w:t>
      </w:r>
      <w:r>
        <w:t>el</w:t>
      </w:r>
      <w:r>
        <w:rPr>
          <w:spacing w:val="-11"/>
        </w:rPr>
        <w:t xml:space="preserve"> </w:t>
      </w:r>
      <w:r>
        <w:t>reproche</w:t>
      </w:r>
      <w:r>
        <w:rPr>
          <w:spacing w:val="-11"/>
        </w:rPr>
        <w:t xml:space="preserve"> </w:t>
      </w:r>
      <w:r>
        <w:t>no</w:t>
      </w:r>
      <w:r>
        <w:rPr>
          <w:spacing w:val="-11"/>
        </w:rPr>
        <w:t xml:space="preserve"> </w:t>
      </w:r>
      <w:r>
        <w:t>solo</w:t>
      </w:r>
      <w:r>
        <w:rPr>
          <w:spacing w:val="-11"/>
        </w:rPr>
        <w:t xml:space="preserve"> </w:t>
      </w:r>
      <w:r>
        <w:t>se</w:t>
      </w:r>
      <w:r>
        <w:rPr>
          <w:spacing w:val="-11"/>
        </w:rPr>
        <w:t xml:space="preserve"> </w:t>
      </w:r>
      <w:r>
        <w:t>originó</w:t>
      </w:r>
      <w:r>
        <w:rPr>
          <w:spacing w:val="-11"/>
        </w:rPr>
        <w:t xml:space="preserve"> </w:t>
      </w:r>
      <w:r>
        <w:t>por</w:t>
      </w:r>
      <w:r>
        <w:rPr>
          <w:spacing w:val="-11"/>
        </w:rPr>
        <w:t xml:space="preserve"> </w:t>
      </w:r>
      <w:r>
        <w:t>la</w:t>
      </w:r>
      <w:r>
        <w:rPr>
          <w:spacing w:val="-12"/>
        </w:rPr>
        <w:t xml:space="preserve"> </w:t>
      </w:r>
      <w:r>
        <w:t>decisión</w:t>
      </w:r>
      <w:r>
        <w:rPr>
          <w:spacing w:val="-11"/>
        </w:rPr>
        <w:t xml:space="preserve"> </w:t>
      </w:r>
      <w:r>
        <w:t>de</w:t>
      </w:r>
      <w:r>
        <w:rPr>
          <w:spacing w:val="-12"/>
        </w:rPr>
        <w:t xml:space="preserve"> </w:t>
      </w:r>
      <w:r>
        <w:t>sustituirla</w:t>
      </w:r>
      <w:r>
        <w:rPr>
          <w:spacing w:val="-11"/>
        </w:rPr>
        <w:t xml:space="preserve"> </w:t>
      </w:r>
      <w:r>
        <w:t>sin</w:t>
      </w:r>
      <w:r>
        <w:rPr>
          <w:spacing w:val="-11"/>
        </w:rPr>
        <w:t xml:space="preserve"> </w:t>
      </w:r>
      <w:r>
        <w:t>que</w:t>
      </w:r>
      <w:r>
        <w:rPr>
          <w:spacing w:val="-12"/>
        </w:rPr>
        <w:t xml:space="preserve"> </w:t>
      </w:r>
      <w:r>
        <w:t>se</w:t>
      </w:r>
      <w:r>
        <w:rPr>
          <w:spacing w:val="-11"/>
        </w:rPr>
        <w:t xml:space="preserve"> </w:t>
      </w:r>
      <w:r>
        <w:t xml:space="preserve">acreditara un cambio en los presupuestos materiales y la necesidad de cautela que inicialmente </w:t>
      </w:r>
      <w:r>
        <w:rPr>
          <w:spacing w:val="-2"/>
        </w:rPr>
        <w:t>justificaron</w:t>
      </w:r>
      <w:r>
        <w:rPr>
          <w:spacing w:val="-4"/>
        </w:rPr>
        <w:t xml:space="preserve"> </w:t>
      </w:r>
      <w:r>
        <w:rPr>
          <w:spacing w:val="-2"/>
        </w:rPr>
        <w:t>su</w:t>
      </w:r>
      <w:r>
        <w:rPr>
          <w:spacing w:val="-4"/>
        </w:rPr>
        <w:t xml:space="preserve"> </w:t>
      </w:r>
      <w:r>
        <w:rPr>
          <w:spacing w:val="-2"/>
        </w:rPr>
        <w:t>dictación,</w:t>
      </w:r>
      <w:r>
        <w:rPr>
          <w:spacing w:val="-4"/>
        </w:rPr>
        <w:t xml:space="preserve"> </w:t>
      </w:r>
      <w:r>
        <w:rPr>
          <w:spacing w:val="-2"/>
        </w:rPr>
        <w:t>además</w:t>
      </w:r>
      <w:r>
        <w:rPr>
          <w:spacing w:val="-4"/>
        </w:rPr>
        <w:t xml:space="preserve"> </w:t>
      </w:r>
      <w:r>
        <w:rPr>
          <w:spacing w:val="-2"/>
        </w:rPr>
        <w:t>de</w:t>
      </w:r>
      <w:r>
        <w:rPr>
          <w:spacing w:val="-4"/>
        </w:rPr>
        <w:t xml:space="preserve"> </w:t>
      </w:r>
      <w:r>
        <w:rPr>
          <w:spacing w:val="-2"/>
        </w:rPr>
        <w:t>la</w:t>
      </w:r>
      <w:r>
        <w:rPr>
          <w:spacing w:val="-4"/>
        </w:rPr>
        <w:t xml:space="preserve"> </w:t>
      </w:r>
      <w:r>
        <w:rPr>
          <w:spacing w:val="-2"/>
        </w:rPr>
        <w:t>poca</w:t>
      </w:r>
      <w:r>
        <w:rPr>
          <w:spacing w:val="-4"/>
        </w:rPr>
        <w:t xml:space="preserve"> </w:t>
      </w:r>
      <w:r>
        <w:rPr>
          <w:spacing w:val="-2"/>
        </w:rPr>
        <w:t>preparación</w:t>
      </w:r>
      <w:r>
        <w:rPr>
          <w:spacing w:val="-4"/>
        </w:rPr>
        <w:t xml:space="preserve"> </w:t>
      </w:r>
      <w:r>
        <w:rPr>
          <w:spacing w:val="-2"/>
        </w:rPr>
        <w:t>del</w:t>
      </w:r>
      <w:r>
        <w:rPr>
          <w:spacing w:val="-4"/>
        </w:rPr>
        <w:t xml:space="preserve"> </w:t>
      </w:r>
      <w:r>
        <w:rPr>
          <w:spacing w:val="-2"/>
        </w:rPr>
        <w:t>abogado</w:t>
      </w:r>
      <w:r>
        <w:rPr>
          <w:spacing w:val="-4"/>
        </w:rPr>
        <w:t xml:space="preserve"> </w:t>
      </w:r>
      <w:r>
        <w:rPr>
          <w:spacing w:val="-2"/>
        </w:rPr>
        <w:t>asistente</w:t>
      </w:r>
      <w:r>
        <w:rPr>
          <w:spacing w:val="-4"/>
        </w:rPr>
        <w:t xml:space="preserve"> </w:t>
      </w:r>
      <w:r>
        <w:rPr>
          <w:spacing w:val="-2"/>
        </w:rPr>
        <w:t>de</w:t>
      </w:r>
      <w:r>
        <w:rPr>
          <w:spacing w:val="-4"/>
        </w:rPr>
        <w:t xml:space="preserve"> </w:t>
      </w:r>
      <w:r>
        <w:rPr>
          <w:spacing w:val="-2"/>
        </w:rPr>
        <w:t>la</w:t>
      </w:r>
      <w:r>
        <w:rPr>
          <w:spacing w:val="-4"/>
        </w:rPr>
        <w:t xml:space="preserve"> </w:t>
      </w:r>
      <w:r>
        <w:rPr>
          <w:spacing w:val="-2"/>
        </w:rPr>
        <w:t xml:space="preserve">fiscalía, </w:t>
      </w:r>
      <w:r>
        <w:t>sino</w:t>
      </w:r>
      <w:r>
        <w:rPr>
          <w:spacing w:val="-3"/>
        </w:rPr>
        <w:t xml:space="preserve"> </w:t>
      </w:r>
      <w:r>
        <w:t>que</w:t>
      </w:r>
      <w:r>
        <w:rPr>
          <w:spacing w:val="-3"/>
        </w:rPr>
        <w:t xml:space="preserve"> </w:t>
      </w:r>
      <w:r>
        <w:t>el</w:t>
      </w:r>
      <w:r>
        <w:rPr>
          <w:spacing w:val="-3"/>
        </w:rPr>
        <w:t xml:space="preserve"> </w:t>
      </w:r>
      <w:r>
        <w:t>mismo</w:t>
      </w:r>
      <w:r>
        <w:rPr>
          <w:spacing w:val="-3"/>
        </w:rPr>
        <w:t xml:space="preserve"> </w:t>
      </w:r>
      <w:r>
        <w:t>caso</w:t>
      </w:r>
      <w:r>
        <w:rPr>
          <w:spacing w:val="-3"/>
        </w:rPr>
        <w:t xml:space="preserve"> </w:t>
      </w:r>
      <w:r>
        <w:t>abrió</w:t>
      </w:r>
      <w:r>
        <w:rPr>
          <w:spacing w:val="-3"/>
        </w:rPr>
        <w:t xml:space="preserve"> </w:t>
      </w:r>
      <w:r>
        <w:t>un</w:t>
      </w:r>
      <w:r>
        <w:rPr>
          <w:spacing w:val="-3"/>
        </w:rPr>
        <w:t xml:space="preserve"> </w:t>
      </w:r>
      <w:r>
        <w:t>debate</w:t>
      </w:r>
      <w:r>
        <w:rPr>
          <w:spacing w:val="-3"/>
        </w:rPr>
        <w:t xml:space="preserve"> </w:t>
      </w:r>
      <w:r>
        <w:t>en</w:t>
      </w:r>
      <w:r>
        <w:rPr>
          <w:spacing w:val="-3"/>
        </w:rPr>
        <w:t xml:space="preserve"> </w:t>
      </w:r>
      <w:r>
        <w:t>torno</w:t>
      </w:r>
      <w:r>
        <w:rPr>
          <w:spacing w:val="-3"/>
        </w:rPr>
        <w:t xml:space="preserve"> </w:t>
      </w:r>
      <w:r>
        <w:t>a</w:t>
      </w:r>
      <w:r>
        <w:rPr>
          <w:spacing w:val="-3"/>
        </w:rPr>
        <w:t xml:space="preserve"> </w:t>
      </w:r>
      <w:r>
        <w:t>la</w:t>
      </w:r>
      <w:r>
        <w:rPr>
          <w:spacing w:val="-3"/>
        </w:rPr>
        <w:t xml:space="preserve"> </w:t>
      </w:r>
      <w:r>
        <w:t>licitud</w:t>
      </w:r>
      <w:r>
        <w:rPr>
          <w:spacing w:val="-3"/>
        </w:rPr>
        <w:t xml:space="preserve"> </w:t>
      </w:r>
      <w:r>
        <w:t>del</w:t>
      </w:r>
      <w:r>
        <w:rPr>
          <w:spacing w:val="-3"/>
        </w:rPr>
        <w:t xml:space="preserve"> </w:t>
      </w:r>
      <w:r>
        <w:t>dinero</w:t>
      </w:r>
      <w:r>
        <w:rPr>
          <w:spacing w:val="-3"/>
        </w:rPr>
        <w:t xml:space="preserve"> </w:t>
      </w:r>
      <w:r>
        <w:t>que</w:t>
      </w:r>
      <w:r>
        <w:rPr>
          <w:spacing w:val="-3"/>
        </w:rPr>
        <w:t xml:space="preserve"> </w:t>
      </w:r>
      <w:r>
        <w:t>es</w:t>
      </w:r>
      <w:r>
        <w:rPr>
          <w:spacing w:val="-3"/>
        </w:rPr>
        <w:t xml:space="preserve"> </w:t>
      </w:r>
      <w:r>
        <w:t>destinado</w:t>
      </w:r>
      <w:r>
        <w:rPr>
          <w:spacing w:val="-3"/>
        </w:rPr>
        <w:t xml:space="preserve"> </w:t>
      </w:r>
      <w:r>
        <w:t>al pago de la caución económica determinada por el juez, cuestionamiento que también podría</w:t>
      </w:r>
      <w:r>
        <w:rPr>
          <w:spacing w:val="-1"/>
        </w:rPr>
        <w:t xml:space="preserve"> </w:t>
      </w:r>
      <w:r>
        <w:t>configurarse</w:t>
      </w:r>
      <w:r>
        <w:rPr>
          <w:spacing w:val="-1"/>
        </w:rPr>
        <w:t xml:space="preserve"> </w:t>
      </w:r>
      <w:r>
        <w:t>respecto</w:t>
      </w:r>
      <w:r>
        <w:rPr>
          <w:spacing w:val="-1"/>
        </w:rPr>
        <w:t xml:space="preserve"> </w:t>
      </w:r>
      <w:r>
        <w:t>del</w:t>
      </w:r>
      <w:r>
        <w:rPr>
          <w:spacing w:val="-1"/>
        </w:rPr>
        <w:t xml:space="preserve"> </w:t>
      </w:r>
      <w:r>
        <w:t>origen</w:t>
      </w:r>
      <w:r>
        <w:rPr>
          <w:spacing w:val="-1"/>
        </w:rPr>
        <w:t xml:space="preserve"> </w:t>
      </w:r>
      <w:r>
        <w:t>del</w:t>
      </w:r>
      <w:r>
        <w:rPr>
          <w:spacing w:val="-1"/>
        </w:rPr>
        <w:t xml:space="preserve"> </w:t>
      </w:r>
      <w:r>
        <w:t>financiamiento</w:t>
      </w:r>
      <w:r>
        <w:rPr>
          <w:spacing w:val="-1"/>
        </w:rPr>
        <w:t xml:space="preserve"> </w:t>
      </w:r>
      <w:r>
        <w:t>de</w:t>
      </w:r>
      <w:r>
        <w:rPr>
          <w:spacing w:val="-1"/>
        </w:rPr>
        <w:t xml:space="preserve"> </w:t>
      </w:r>
      <w:r>
        <w:t>los</w:t>
      </w:r>
      <w:r>
        <w:rPr>
          <w:spacing w:val="-1"/>
        </w:rPr>
        <w:t xml:space="preserve"> </w:t>
      </w:r>
      <w:r>
        <w:t>honorarios</w:t>
      </w:r>
      <w:r>
        <w:rPr>
          <w:spacing w:val="-1"/>
        </w:rPr>
        <w:t xml:space="preserve"> </w:t>
      </w:r>
      <w:r>
        <w:t>de</w:t>
      </w:r>
      <w:r>
        <w:rPr>
          <w:spacing w:val="-1"/>
        </w:rPr>
        <w:t xml:space="preserve"> </w:t>
      </w:r>
      <w:r>
        <w:t>abogados que</w:t>
      </w:r>
      <w:r>
        <w:rPr>
          <w:spacing w:val="-12"/>
        </w:rPr>
        <w:t xml:space="preserve"> </w:t>
      </w:r>
      <w:r>
        <w:t>asuman</w:t>
      </w:r>
      <w:r>
        <w:rPr>
          <w:spacing w:val="-12"/>
        </w:rPr>
        <w:t xml:space="preserve"> </w:t>
      </w:r>
      <w:r>
        <w:t>la</w:t>
      </w:r>
      <w:r>
        <w:rPr>
          <w:spacing w:val="-12"/>
        </w:rPr>
        <w:t xml:space="preserve"> </w:t>
      </w:r>
      <w:r>
        <w:t>representación</w:t>
      </w:r>
      <w:r>
        <w:rPr>
          <w:spacing w:val="-12"/>
        </w:rPr>
        <w:t xml:space="preserve"> </w:t>
      </w:r>
      <w:r>
        <w:t>de</w:t>
      </w:r>
      <w:r>
        <w:rPr>
          <w:spacing w:val="-12"/>
        </w:rPr>
        <w:t xml:space="preserve"> </w:t>
      </w:r>
      <w:r>
        <w:t>miembros</w:t>
      </w:r>
      <w:r>
        <w:rPr>
          <w:spacing w:val="-12"/>
        </w:rPr>
        <w:t xml:space="preserve"> </w:t>
      </w:r>
      <w:r>
        <w:t>del</w:t>
      </w:r>
      <w:r>
        <w:rPr>
          <w:spacing w:val="-12"/>
        </w:rPr>
        <w:t xml:space="preserve"> </w:t>
      </w:r>
      <w:r>
        <w:t>crimen</w:t>
      </w:r>
      <w:r>
        <w:rPr>
          <w:spacing w:val="-12"/>
        </w:rPr>
        <w:t xml:space="preserve"> </w:t>
      </w:r>
      <w:r>
        <w:t>organizado</w:t>
      </w:r>
      <w:r>
        <w:rPr>
          <w:spacing w:val="-12"/>
        </w:rPr>
        <w:t xml:space="preserve"> </w:t>
      </w:r>
      <w:r>
        <w:t>o</w:t>
      </w:r>
      <w:r>
        <w:rPr>
          <w:spacing w:val="-12"/>
        </w:rPr>
        <w:t xml:space="preserve"> </w:t>
      </w:r>
      <w:r>
        <w:t>imputados</w:t>
      </w:r>
      <w:r>
        <w:rPr>
          <w:spacing w:val="-12"/>
        </w:rPr>
        <w:t xml:space="preserve"> </w:t>
      </w:r>
      <w:r>
        <w:t>por</w:t>
      </w:r>
      <w:r>
        <w:rPr>
          <w:spacing w:val="-12"/>
        </w:rPr>
        <w:t xml:space="preserve"> </w:t>
      </w:r>
      <w:r>
        <w:t>delitos de la ley Nº20.000.</w:t>
      </w:r>
    </w:p>
    <w:p w:rsidR="00DB06C6" w:rsidRDefault="00DB06C6">
      <w:pPr>
        <w:pStyle w:val="Textoindependiente"/>
        <w:spacing w:before="27"/>
      </w:pPr>
    </w:p>
    <w:p w:rsidR="00DB06C6" w:rsidRDefault="00000000">
      <w:pPr>
        <w:pStyle w:val="Textoindependiente"/>
        <w:spacing w:line="264" w:lineRule="auto"/>
        <w:ind w:left="119" w:right="111"/>
        <w:jc w:val="both"/>
      </w:pPr>
      <w:r>
        <w:t>Por tales motivos, el régimen aplicable en esta materia requiere mayores requisitos para garantizar la legalidad de los recursos involucrados, toda vez que el ordenamiento penal necesariamente</w:t>
      </w:r>
      <w:r>
        <w:rPr>
          <w:spacing w:val="-2"/>
        </w:rPr>
        <w:t xml:space="preserve"> </w:t>
      </w:r>
      <w:r>
        <w:t>debe</w:t>
      </w:r>
      <w:r>
        <w:rPr>
          <w:spacing w:val="-2"/>
        </w:rPr>
        <w:t xml:space="preserve"> </w:t>
      </w:r>
      <w:r>
        <w:t>reaccionar</w:t>
      </w:r>
      <w:r>
        <w:rPr>
          <w:spacing w:val="-2"/>
        </w:rPr>
        <w:t xml:space="preserve"> </w:t>
      </w:r>
      <w:r>
        <w:t>con</w:t>
      </w:r>
      <w:r>
        <w:rPr>
          <w:spacing w:val="-2"/>
        </w:rPr>
        <w:t xml:space="preserve"> </w:t>
      </w:r>
      <w:r>
        <w:t>herramientas</w:t>
      </w:r>
      <w:r>
        <w:rPr>
          <w:spacing w:val="-2"/>
        </w:rPr>
        <w:t xml:space="preserve"> </w:t>
      </w:r>
      <w:r>
        <w:t>efectivas</w:t>
      </w:r>
      <w:r>
        <w:rPr>
          <w:spacing w:val="-2"/>
        </w:rPr>
        <w:t xml:space="preserve"> </w:t>
      </w:r>
      <w:r>
        <w:t>para</w:t>
      </w:r>
      <w:r>
        <w:rPr>
          <w:spacing w:val="-2"/>
        </w:rPr>
        <w:t xml:space="preserve"> </w:t>
      </w:r>
      <w:r>
        <w:t>asegurar</w:t>
      </w:r>
      <w:r>
        <w:rPr>
          <w:spacing w:val="-2"/>
        </w:rPr>
        <w:t xml:space="preserve"> </w:t>
      </w:r>
      <w:r>
        <w:t>la</w:t>
      </w:r>
      <w:r>
        <w:rPr>
          <w:spacing w:val="-2"/>
        </w:rPr>
        <w:t xml:space="preserve"> </w:t>
      </w:r>
      <w:r>
        <w:t>procedencia legal del dinero destinado a la caución económica y los honorarios de abogados, de modo de evitar que las ganancias obtenidas a través de actos delictuales sean utilizadas para estos fines y seguir avanzando en la misma línea de las últimas iniciativas aprobadas en materia de comiso.</w:t>
      </w:r>
    </w:p>
    <w:p w:rsidR="00DB06C6" w:rsidRDefault="00DB06C6">
      <w:pPr>
        <w:spacing w:line="264" w:lineRule="auto"/>
        <w:jc w:val="both"/>
        <w:sectPr w:rsidR="00DB06C6">
          <w:pgSz w:w="12240" w:h="15840"/>
          <w:pgMar w:top="1340" w:right="1640" w:bottom="280" w:left="1580" w:header="720" w:footer="720" w:gutter="0"/>
          <w:cols w:space="720"/>
        </w:sectPr>
      </w:pPr>
    </w:p>
    <w:p w:rsidR="00DB06C6" w:rsidRDefault="00000000">
      <w:pPr>
        <w:pStyle w:val="Ttulo1"/>
        <w:numPr>
          <w:ilvl w:val="0"/>
          <w:numId w:val="1"/>
        </w:numPr>
        <w:tabs>
          <w:tab w:val="left" w:pos="690"/>
        </w:tabs>
        <w:spacing w:before="78"/>
        <w:ind w:left="690" w:hanging="571"/>
      </w:pPr>
      <w:r>
        <w:lastRenderedPageBreak/>
        <w:t>OBJETIVO</w:t>
      </w:r>
      <w:r>
        <w:rPr>
          <w:spacing w:val="-1"/>
        </w:rPr>
        <w:t xml:space="preserve"> </w:t>
      </w:r>
      <w:r>
        <w:t xml:space="preserve">DEL </w:t>
      </w:r>
      <w:r>
        <w:rPr>
          <w:spacing w:val="-2"/>
        </w:rPr>
        <w:t>PROYECTO</w:t>
      </w:r>
    </w:p>
    <w:p w:rsidR="00DB06C6" w:rsidRDefault="00DB06C6">
      <w:pPr>
        <w:pStyle w:val="Textoindependiente"/>
        <w:spacing w:before="57"/>
        <w:rPr>
          <w:b/>
        </w:rPr>
      </w:pPr>
    </w:p>
    <w:p w:rsidR="00DB06C6" w:rsidRDefault="00000000">
      <w:pPr>
        <w:pStyle w:val="Textoindependiente"/>
        <w:spacing w:line="264" w:lineRule="auto"/>
        <w:ind w:left="119" w:right="111"/>
        <w:jc w:val="both"/>
      </w:pPr>
      <w:r>
        <w:t>El</w:t>
      </w:r>
      <w:r>
        <w:rPr>
          <w:spacing w:val="-4"/>
        </w:rPr>
        <w:t xml:space="preserve"> </w:t>
      </w:r>
      <w:r>
        <w:t>presente</w:t>
      </w:r>
      <w:r>
        <w:rPr>
          <w:spacing w:val="-4"/>
        </w:rPr>
        <w:t xml:space="preserve"> </w:t>
      </w:r>
      <w:r>
        <w:t>proyecto</w:t>
      </w:r>
      <w:r>
        <w:rPr>
          <w:spacing w:val="-4"/>
        </w:rPr>
        <w:t xml:space="preserve"> </w:t>
      </w:r>
      <w:r>
        <w:t>tiene</w:t>
      </w:r>
      <w:r>
        <w:rPr>
          <w:spacing w:val="-4"/>
        </w:rPr>
        <w:t xml:space="preserve"> </w:t>
      </w:r>
      <w:r>
        <w:t>por</w:t>
      </w:r>
      <w:r>
        <w:rPr>
          <w:spacing w:val="-4"/>
        </w:rPr>
        <w:t xml:space="preserve"> </w:t>
      </w:r>
      <w:r>
        <w:t>objetivo</w:t>
      </w:r>
      <w:r>
        <w:rPr>
          <w:spacing w:val="-4"/>
        </w:rPr>
        <w:t xml:space="preserve"> </w:t>
      </w:r>
      <w:r>
        <w:t>exigir</w:t>
      </w:r>
      <w:r>
        <w:rPr>
          <w:spacing w:val="-4"/>
        </w:rPr>
        <w:t xml:space="preserve"> </w:t>
      </w:r>
      <w:r>
        <w:t>la</w:t>
      </w:r>
      <w:r>
        <w:rPr>
          <w:spacing w:val="-4"/>
        </w:rPr>
        <w:t xml:space="preserve"> </w:t>
      </w:r>
      <w:r>
        <w:t>acreditación</w:t>
      </w:r>
      <w:r>
        <w:rPr>
          <w:spacing w:val="-4"/>
        </w:rPr>
        <w:t xml:space="preserve"> </w:t>
      </w:r>
      <w:r>
        <w:t>del</w:t>
      </w:r>
      <w:r>
        <w:rPr>
          <w:spacing w:val="-4"/>
        </w:rPr>
        <w:t xml:space="preserve"> </w:t>
      </w:r>
      <w:r>
        <w:t>origen</w:t>
      </w:r>
      <w:r>
        <w:rPr>
          <w:spacing w:val="-4"/>
        </w:rPr>
        <w:t xml:space="preserve"> </w:t>
      </w:r>
      <w:r>
        <w:t>lícito</w:t>
      </w:r>
      <w:r>
        <w:rPr>
          <w:spacing w:val="-4"/>
        </w:rPr>
        <w:t xml:space="preserve"> </w:t>
      </w:r>
      <w:r>
        <w:t>del</w:t>
      </w:r>
      <w:r>
        <w:rPr>
          <w:spacing w:val="-4"/>
        </w:rPr>
        <w:t xml:space="preserve"> </w:t>
      </w:r>
      <w:r>
        <w:t>dinero</w:t>
      </w:r>
      <w:r>
        <w:rPr>
          <w:spacing w:val="-4"/>
        </w:rPr>
        <w:t xml:space="preserve"> </w:t>
      </w:r>
      <w:r>
        <w:t>de la caución económica para el reemplazo de la prisión preventiva, y de los recursos destinados</w:t>
      </w:r>
      <w:r>
        <w:rPr>
          <w:spacing w:val="-13"/>
        </w:rPr>
        <w:t xml:space="preserve"> </w:t>
      </w:r>
      <w:r>
        <w:t>al</w:t>
      </w:r>
      <w:r>
        <w:rPr>
          <w:spacing w:val="-13"/>
        </w:rPr>
        <w:t xml:space="preserve"> </w:t>
      </w:r>
      <w:r>
        <w:t>financiamiento</w:t>
      </w:r>
      <w:r>
        <w:rPr>
          <w:spacing w:val="-13"/>
        </w:rPr>
        <w:t xml:space="preserve"> </w:t>
      </w:r>
      <w:r>
        <w:t>de</w:t>
      </w:r>
      <w:r>
        <w:rPr>
          <w:spacing w:val="-13"/>
        </w:rPr>
        <w:t xml:space="preserve"> </w:t>
      </w:r>
      <w:r>
        <w:t>los</w:t>
      </w:r>
      <w:r>
        <w:rPr>
          <w:spacing w:val="-13"/>
        </w:rPr>
        <w:t xml:space="preserve"> </w:t>
      </w:r>
      <w:r>
        <w:t>honorarios</w:t>
      </w:r>
      <w:r>
        <w:rPr>
          <w:spacing w:val="-13"/>
        </w:rPr>
        <w:t xml:space="preserve"> </w:t>
      </w:r>
      <w:r>
        <w:t>de</w:t>
      </w:r>
      <w:r>
        <w:rPr>
          <w:spacing w:val="-13"/>
        </w:rPr>
        <w:t xml:space="preserve"> </w:t>
      </w:r>
      <w:r>
        <w:t>abogados</w:t>
      </w:r>
      <w:r>
        <w:rPr>
          <w:spacing w:val="-13"/>
        </w:rPr>
        <w:t xml:space="preserve"> </w:t>
      </w:r>
      <w:r>
        <w:t>que</w:t>
      </w:r>
      <w:r>
        <w:rPr>
          <w:spacing w:val="-13"/>
        </w:rPr>
        <w:t xml:space="preserve"> </w:t>
      </w:r>
      <w:r>
        <w:t>asuman</w:t>
      </w:r>
      <w:r>
        <w:rPr>
          <w:spacing w:val="-13"/>
        </w:rPr>
        <w:t xml:space="preserve"> </w:t>
      </w:r>
      <w:r>
        <w:t>la</w:t>
      </w:r>
      <w:r>
        <w:rPr>
          <w:spacing w:val="-13"/>
        </w:rPr>
        <w:t xml:space="preserve"> </w:t>
      </w:r>
      <w:r>
        <w:t>defensa</w:t>
      </w:r>
      <w:r>
        <w:rPr>
          <w:spacing w:val="-13"/>
        </w:rPr>
        <w:t xml:space="preserve"> </w:t>
      </w:r>
      <w:r>
        <w:t xml:space="preserve">letrada de los imputados, en el caso de delitos de la ley Nº20.000 o integrantes de asociaciones </w:t>
      </w:r>
      <w:r>
        <w:rPr>
          <w:spacing w:val="-2"/>
        </w:rPr>
        <w:t>criminales.</w:t>
      </w:r>
    </w:p>
    <w:p w:rsidR="00DB06C6" w:rsidRDefault="00DB06C6">
      <w:pPr>
        <w:pStyle w:val="Textoindependiente"/>
      </w:pPr>
    </w:p>
    <w:p w:rsidR="00DB06C6" w:rsidRDefault="00DB06C6">
      <w:pPr>
        <w:pStyle w:val="Textoindependiente"/>
        <w:spacing w:before="58"/>
      </w:pPr>
    </w:p>
    <w:p w:rsidR="00DB06C6" w:rsidRDefault="00000000">
      <w:pPr>
        <w:pStyle w:val="Ttulo1"/>
        <w:numPr>
          <w:ilvl w:val="0"/>
          <w:numId w:val="1"/>
        </w:numPr>
        <w:tabs>
          <w:tab w:val="left" w:pos="700"/>
        </w:tabs>
        <w:ind w:left="700" w:hanging="581"/>
      </w:pPr>
      <w:r>
        <w:t>PROYECTO</w:t>
      </w:r>
      <w:r>
        <w:rPr>
          <w:spacing w:val="-1"/>
        </w:rPr>
        <w:t xml:space="preserve"> </w:t>
      </w:r>
      <w:r>
        <w:t xml:space="preserve">DE </w:t>
      </w:r>
      <w:r>
        <w:rPr>
          <w:spacing w:val="-5"/>
        </w:rPr>
        <w:t>LEY</w:t>
      </w:r>
    </w:p>
    <w:p w:rsidR="00DB06C6" w:rsidRDefault="00DB06C6">
      <w:pPr>
        <w:pStyle w:val="Textoindependiente"/>
        <w:spacing w:before="61"/>
        <w:rPr>
          <w:b/>
        </w:rPr>
      </w:pPr>
    </w:p>
    <w:p w:rsidR="00DB06C6" w:rsidRDefault="00000000">
      <w:pPr>
        <w:pStyle w:val="Textoindependiente"/>
        <w:spacing w:before="1" w:line="264" w:lineRule="auto"/>
        <w:ind w:left="119" w:right="112"/>
        <w:jc w:val="both"/>
      </w:pPr>
      <w:r>
        <w:rPr>
          <w:b/>
        </w:rPr>
        <w:t>Artículo</w:t>
      </w:r>
      <w:r>
        <w:rPr>
          <w:b/>
          <w:spacing w:val="-6"/>
        </w:rPr>
        <w:t xml:space="preserve"> </w:t>
      </w:r>
      <w:r>
        <w:rPr>
          <w:b/>
        </w:rPr>
        <w:t>1º:</w:t>
      </w:r>
      <w:r>
        <w:rPr>
          <w:b/>
          <w:spacing w:val="-6"/>
        </w:rPr>
        <w:t xml:space="preserve"> </w:t>
      </w:r>
      <w:r>
        <w:t>Incorpórase</w:t>
      </w:r>
      <w:r>
        <w:rPr>
          <w:spacing w:val="-6"/>
        </w:rPr>
        <w:t xml:space="preserve"> </w:t>
      </w:r>
      <w:r>
        <w:t>en</w:t>
      </w:r>
      <w:r>
        <w:rPr>
          <w:spacing w:val="-6"/>
        </w:rPr>
        <w:t xml:space="preserve"> </w:t>
      </w:r>
      <w:r>
        <w:t>el</w:t>
      </w:r>
      <w:r>
        <w:rPr>
          <w:spacing w:val="-6"/>
        </w:rPr>
        <w:t xml:space="preserve"> </w:t>
      </w:r>
      <w:r>
        <w:t>artículo</w:t>
      </w:r>
      <w:r>
        <w:rPr>
          <w:spacing w:val="-6"/>
        </w:rPr>
        <w:t xml:space="preserve"> </w:t>
      </w:r>
      <w:r>
        <w:t>146</w:t>
      </w:r>
      <w:r>
        <w:rPr>
          <w:spacing w:val="-6"/>
        </w:rPr>
        <w:t xml:space="preserve"> </w:t>
      </w:r>
      <w:r>
        <w:t>del</w:t>
      </w:r>
      <w:r>
        <w:rPr>
          <w:spacing w:val="-6"/>
        </w:rPr>
        <w:t xml:space="preserve"> </w:t>
      </w:r>
      <w:r>
        <w:t>Código</w:t>
      </w:r>
      <w:r>
        <w:rPr>
          <w:spacing w:val="-6"/>
        </w:rPr>
        <w:t xml:space="preserve"> </w:t>
      </w:r>
      <w:r>
        <w:t>Procesal</w:t>
      </w:r>
      <w:r>
        <w:rPr>
          <w:spacing w:val="-6"/>
        </w:rPr>
        <w:t xml:space="preserve"> </w:t>
      </w:r>
      <w:r>
        <w:t>Penal,</w:t>
      </w:r>
      <w:r>
        <w:rPr>
          <w:spacing w:val="-6"/>
        </w:rPr>
        <w:t xml:space="preserve"> </w:t>
      </w:r>
      <w:r>
        <w:t>un</w:t>
      </w:r>
      <w:r>
        <w:rPr>
          <w:spacing w:val="-6"/>
        </w:rPr>
        <w:t xml:space="preserve"> </w:t>
      </w:r>
      <w:r>
        <w:t>inciso</w:t>
      </w:r>
      <w:r>
        <w:rPr>
          <w:spacing w:val="-6"/>
        </w:rPr>
        <w:t xml:space="preserve"> </w:t>
      </w:r>
      <w:r>
        <w:t>final,</w:t>
      </w:r>
      <w:r>
        <w:rPr>
          <w:spacing w:val="-6"/>
        </w:rPr>
        <w:t xml:space="preserve"> </w:t>
      </w:r>
      <w:r>
        <w:t>nuevo del siguiente tenor:</w:t>
      </w:r>
    </w:p>
    <w:p w:rsidR="00DB06C6" w:rsidRDefault="00DB06C6">
      <w:pPr>
        <w:pStyle w:val="Textoindependiente"/>
        <w:spacing w:before="27"/>
      </w:pPr>
    </w:p>
    <w:p w:rsidR="00DB06C6" w:rsidRDefault="00000000">
      <w:pPr>
        <w:pStyle w:val="Textoindependiente"/>
        <w:spacing w:line="264" w:lineRule="auto"/>
        <w:ind w:left="119" w:right="111"/>
        <w:jc w:val="both"/>
      </w:pPr>
      <w:r>
        <w:t>“Tratándose de delitos de la ley Nº20.000 o integrantes de asociaciones criminales, se deberá acreditar el origen lícito del dinero que se destine a la caución.”.</w:t>
      </w:r>
    </w:p>
    <w:p w:rsidR="00DB06C6" w:rsidRDefault="00DB06C6">
      <w:pPr>
        <w:pStyle w:val="Textoindependiente"/>
        <w:spacing w:before="32"/>
      </w:pPr>
    </w:p>
    <w:p w:rsidR="00DB06C6" w:rsidRDefault="00000000">
      <w:pPr>
        <w:pStyle w:val="Textoindependiente"/>
        <w:spacing w:line="264" w:lineRule="auto"/>
        <w:ind w:left="119" w:right="111"/>
        <w:jc w:val="both"/>
      </w:pPr>
      <w:r>
        <w:rPr>
          <w:b/>
        </w:rPr>
        <w:t xml:space="preserve">Artículo 2º: </w:t>
      </w:r>
      <w:r>
        <w:t>“Tratándose de delitos de la ley Nº20.000 o integrantes de asociaciones criminales,</w:t>
      </w:r>
      <w:r>
        <w:rPr>
          <w:spacing w:val="-6"/>
        </w:rPr>
        <w:t xml:space="preserve"> </w:t>
      </w:r>
      <w:r>
        <w:t>se</w:t>
      </w:r>
      <w:r>
        <w:rPr>
          <w:spacing w:val="-6"/>
        </w:rPr>
        <w:t xml:space="preserve"> </w:t>
      </w:r>
      <w:r>
        <w:t>deberá</w:t>
      </w:r>
      <w:r>
        <w:rPr>
          <w:spacing w:val="-6"/>
        </w:rPr>
        <w:t xml:space="preserve"> </w:t>
      </w:r>
      <w:r>
        <w:t>acreditar</w:t>
      </w:r>
      <w:r>
        <w:rPr>
          <w:spacing w:val="-6"/>
        </w:rPr>
        <w:t xml:space="preserve"> </w:t>
      </w:r>
      <w:r>
        <w:t>la</w:t>
      </w:r>
      <w:r>
        <w:rPr>
          <w:spacing w:val="-6"/>
        </w:rPr>
        <w:t xml:space="preserve"> </w:t>
      </w:r>
      <w:r>
        <w:t>procedencia</w:t>
      </w:r>
      <w:r>
        <w:rPr>
          <w:spacing w:val="-6"/>
        </w:rPr>
        <w:t xml:space="preserve"> </w:t>
      </w:r>
      <w:r>
        <w:t>lícita</w:t>
      </w:r>
      <w:r>
        <w:rPr>
          <w:spacing w:val="-6"/>
        </w:rPr>
        <w:t xml:space="preserve"> </w:t>
      </w:r>
      <w:r>
        <w:t>del</w:t>
      </w:r>
      <w:r>
        <w:rPr>
          <w:spacing w:val="-6"/>
        </w:rPr>
        <w:t xml:space="preserve"> </w:t>
      </w:r>
      <w:r>
        <w:t>dinero</w:t>
      </w:r>
      <w:r>
        <w:rPr>
          <w:spacing w:val="-6"/>
        </w:rPr>
        <w:t xml:space="preserve"> </w:t>
      </w:r>
      <w:r>
        <w:t>destinado</w:t>
      </w:r>
      <w:r>
        <w:rPr>
          <w:spacing w:val="-6"/>
        </w:rPr>
        <w:t xml:space="preserve"> </w:t>
      </w:r>
      <w:r>
        <w:t>al</w:t>
      </w:r>
      <w:r>
        <w:rPr>
          <w:spacing w:val="-6"/>
        </w:rPr>
        <w:t xml:space="preserve"> </w:t>
      </w:r>
      <w:r>
        <w:t>financiamiento de</w:t>
      </w:r>
      <w:r>
        <w:rPr>
          <w:spacing w:val="-3"/>
        </w:rPr>
        <w:t xml:space="preserve"> </w:t>
      </w:r>
      <w:r>
        <w:t>los</w:t>
      </w:r>
      <w:r>
        <w:rPr>
          <w:spacing w:val="-2"/>
        </w:rPr>
        <w:t xml:space="preserve"> </w:t>
      </w:r>
      <w:r>
        <w:t>honorarios</w:t>
      </w:r>
      <w:r>
        <w:rPr>
          <w:spacing w:val="-2"/>
        </w:rPr>
        <w:t xml:space="preserve"> </w:t>
      </w:r>
      <w:r>
        <w:t>profesionales</w:t>
      </w:r>
      <w:r>
        <w:rPr>
          <w:spacing w:val="-2"/>
        </w:rPr>
        <w:t xml:space="preserve"> </w:t>
      </w:r>
      <w:r>
        <w:t>de</w:t>
      </w:r>
      <w:r>
        <w:rPr>
          <w:spacing w:val="-2"/>
        </w:rPr>
        <w:t xml:space="preserve"> </w:t>
      </w:r>
      <w:r>
        <w:t>abogados</w:t>
      </w:r>
      <w:r>
        <w:rPr>
          <w:spacing w:val="-2"/>
        </w:rPr>
        <w:t xml:space="preserve"> </w:t>
      </w:r>
      <w:r>
        <w:t>que</w:t>
      </w:r>
      <w:r>
        <w:rPr>
          <w:spacing w:val="-2"/>
        </w:rPr>
        <w:t xml:space="preserve"> </w:t>
      </w:r>
      <w:r>
        <w:t>asuman</w:t>
      </w:r>
      <w:r>
        <w:rPr>
          <w:spacing w:val="-2"/>
        </w:rPr>
        <w:t xml:space="preserve"> </w:t>
      </w:r>
      <w:r>
        <w:t>la</w:t>
      </w:r>
      <w:r>
        <w:rPr>
          <w:spacing w:val="-2"/>
        </w:rPr>
        <w:t xml:space="preserve"> </w:t>
      </w:r>
      <w:r>
        <w:t>defensa</w:t>
      </w:r>
      <w:r>
        <w:rPr>
          <w:spacing w:val="-3"/>
        </w:rPr>
        <w:t xml:space="preserve"> </w:t>
      </w:r>
      <w:r>
        <w:t>de</w:t>
      </w:r>
      <w:r>
        <w:rPr>
          <w:spacing w:val="-3"/>
        </w:rPr>
        <w:t xml:space="preserve"> </w:t>
      </w:r>
      <w:r>
        <w:t>los</w:t>
      </w:r>
      <w:r>
        <w:rPr>
          <w:spacing w:val="-2"/>
        </w:rPr>
        <w:t xml:space="preserve"> </w:t>
      </w:r>
      <w:r>
        <w:t>imputados</w:t>
      </w:r>
      <w:r>
        <w:rPr>
          <w:spacing w:val="-2"/>
        </w:rPr>
        <w:t xml:space="preserve"> </w:t>
      </w:r>
      <w:r>
        <w:t>por todo el juicio o alguna etapa o instancia del proceso.”.</w:t>
      </w:r>
    </w:p>
    <w:sectPr w:rsidR="00DB06C6">
      <w:pgSz w:w="12240" w:h="15840"/>
      <w:pgMar w:top="1340" w:right="16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B254E"/>
    <w:multiLevelType w:val="hybridMultilevel"/>
    <w:tmpl w:val="C9160AEA"/>
    <w:lvl w:ilvl="0" w:tplc="12964AC4">
      <w:start w:val="1"/>
      <w:numFmt w:val="upperRoman"/>
      <w:lvlText w:val="%1."/>
      <w:lvlJc w:val="left"/>
      <w:pPr>
        <w:ind w:left="627" w:hanging="508"/>
        <w:jc w:val="left"/>
      </w:pPr>
      <w:rPr>
        <w:rFonts w:ascii="Calibri" w:eastAsia="Calibri" w:hAnsi="Calibri" w:cs="Calibri" w:hint="default"/>
        <w:b/>
        <w:bCs/>
        <w:i w:val="0"/>
        <w:iCs w:val="0"/>
        <w:spacing w:val="0"/>
        <w:w w:val="100"/>
        <w:sz w:val="24"/>
        <w:szCs w:val="24"/>
        <w:lang w:val="es-ES" w:eastAsia="en-US" w:bidi="ar-SA"/>
      </w:rPr>
    </w:lvl>
    <w:lvl w:ilvl="1" w:tplc="B5D08DC8">
      <w:numFmt w:val="bullet"/>
      <w:lvlText w:val="•"/>
      <w:lvlJc w:val="left"/>
      <w:pPr>
        <w:ind w:left="1460" w:hanging="508"/>
      </w:pPr>
      <w:rPr>
        <w:rFonts w:hint="default"/>
        <w:lang w:val="es-ES" w:eastAsia="en-US" w:bidi="ar-SA"/>
      </w:rPr>
    </w:lvl>
    <w:lvl w:ilvl="2" w:tplc="BF2EDF94">
      <w:numFmt w:val="bullet"/>
      <w:lvlText w:val="•"/>
      <w:lvlJc w:val="left"/>
      <w:pPr>
        <w:ind w:left="2300" w:hanging="508"/>
      </w:pPr>
      <w:rPr>
        <w:rFonts w:hint="default"/>
        <w:lang w:val="es-ES" w:eastAsia="en-US" w:bidi="ar-SA"/>
      </w:rPr>
    </w:lvl>
    <w:lvl w:ilvl="3" w:tplc="ABFA3B5E">
      <w:numFmt w:val="bullet"/>
      <w:lvlText w:val="•"/>
      <w:lvlJc w:val="left"/>
      <w:pPr>
        <w:ind w:left="3140" w:hanging="508"/>
      </w:pPr>
      <w:rPr>
        <w:rFonts w:hint="default"/>
        <w:lang w:val="es-ES" w:eastAsia="en-US" w:bidi="ar-SA"/>
      </w:rPr>
    </w:lvl>
    <w:lvl w:ilvl="4" w:tplc="0DDC081C">
      <w:numFmt w:val="bullet"/>
      <w:lvlText w:val="•"/>
      <w:lvlJc w:val="left"/>
      <w:pPr>
        <w:ind w:left="3980" w:hanging="508"/>
      </w:pPr>
      <w:rPr>
        <w:rFonts w:hint="default"/>
        <w:lang w:val="es-ES" w:eastAsia="en-US" w:bidi="ar-SA"/>
      </w:rPr>
    </w:lvl>
    <w:lvl w:ilvl="5" w:tplc="8F1A76D2">
      <w:numFmt w:val="bullet"/>
      <w:lvlText w:val="•"/>
      <w:lvlJc w:val="left"/>
      <w:pPr>
        <w:ind w:left="4820" w:hanging="508"/>
      </w:pPr>
      <w:rPr>
        <w:rFonts w:hint="default"/>
        <w:lang w:val="es-ES" w:eastAsia="en-US" w:bidi="ar-SA"/>
      </w:rPr>
    </w:lvl>
    <w:lvl w:ilvl="6" w:tplc="E782F8A8">
      <w:numFmt w:val="bullet"/>
      <w:lvlText w:val="•"/>
      <w:lvlJc w:val="left"/>
      <w:pPr>
        <w:ind w:left="5660" w:hanging="508"/>
      </w:pPr>
      <w:rPr>
        <w:rFonts w:hint="default"/>
        <w:lang w:val="es-ES" w:eastAsia="en-US" w:bidi="ar-SA"/>
      </w:rPr>
    </w:lvl>
    <w:lvl w:ilvl="7" w:tplc="E4CC1C98">
      <w:numFmt w:val="bullet"/>
      <w:lvlText w:val="•"/>
      <w:lvlJc w:val="left"/>
      <w:pPr>
        <w:ind w:left="6500" w:hanging="508"/>
      </w:pPr>
      <w:rPr>
        <w:rFonts w:hint="default"/>
        <w:lang w:val="es-ES" w:eastAsia="en-US" w:bidi="ar-SA"/>
      </w:rPr>
    </w:lvl>
    <w:lvl w:ilvl="8" w:tplc="471EC5F2">
      <w:numFmt w:val="bullet"/>
      <w:lvlText w:val="•"/>
      <w:lvlJc w:val="left"/>
      <w:pPr>
        <w:ind w:left="7340" w:hanging="508"/>
      </w:pPr>
      <w:rPr>
        <w:rFonts w:hint="default"/>
        <w:lang w:val="es-ES" w:eastAsia="en-US" w:bidi="ar-SA"/>
      </w:rPr>
    </w:lvl>
  </w:abstractNum>
  <w:num w:numId="1" w16cid:durableId="6285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C6"/>
    <w:rsid w:val="00441606"/>
    <w:rsid w:val="00DB06C6"/>
    <w:rsid w:val="00E33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
      <w:ind w:left="148" w:hanging="58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7" w:hanging="5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4827</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2024-09-04T15:27:00Z</dcterms:created>
  <dcterms:modified xsi:type="dcterms:W3CDTF">2024-09-10T23:34:00Z</dcterms:modified>
</cp:coreProperties>
</file>