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0099E" w:rsidRDefault="00000000">
      <w:pPr>
        <w:pStyle w:val="Textoindependiente"/>
        <w:ind w:left="3707"/>
        <w:rPr>
          <w:rFonts w:ascii="Times New Roman"/>
          <w:sz w:val="20"/>
        </w:rPr>
      </w:pPr>
      <w:r>
        <w:rPr>
          <w:rFonts w:ascii="Times New Roman"/>
          <w:noProof/>
          <w:sz w:val="20"/>
        </w:rPr>
        <w:drawing>
          <wp:inline distT="0" distB="0" distL="0" distR="0">
            <wp:extent cx="1040572" cy="994409"/>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040572" cy="994409"/>
                    </a:xfrm>
                    <a:prstGeom prst="rect">
                      <a:avLst/>
                    </a:prstGeom>
                  </pic:spPr>
                </pic:pic>
              </a:graphicData>
            </a:graphic>
          </wp:inline>
        </w:drawing>
      </w:r>
    </w:p>
    <w:p w:rsidR="00D0099E" w:rsidRDefault="00D0099E">
      <w:pPr>
        <w:pStyle w:val="Textoindependiente"/>
        <w:spacing w:before="21"/>
        <w:rPr>
          <w:rFonts w:ascii="Times New Roman"/>
        </w:rPr>
      </w:pPr>
    </w:p>
    <w:p w:rsidR="00D0099E" w:rsidRDefault="00000000">
      <w:pPr>
        <w:pStyle w:val="Ttulo1"/>
        <w:ind w:right="187"/>
        <w:jc w:val="both"/>
      </w:pPr>
      <w:r>
        <w:t>PROYECTO DE LEY QUE MODIFICA EL DECRETO CON FUERZA DE LEY N° 458, DE 1976 DEL MINISTERIO DE VIVIENDA Y URBANISMO, QUE APRUEBA LA NUEVA LEY GENERAL DE URBANISMO Y CONSTRUCCIONES, Y LA LEY N° 20.283, SOBRE RECUPERACIÓN DEL BOSQUE NATIVO Y FOMENTO FORESTAL, CON EL OBJETIVO DE PERMITIR QUE EL PLAN DE MANEJO DE BOSQUE NATIVO EN TERRENOS CUYO USO DE SUELO SEA URBANO SE REALICE EN LAS ÁREAS VERDES CEDIDAS EN UN PROCESO DE URBANIZACIÓN</w:t>
      </w:r>
    </w:p>
    <w:p w:rsidR="00D0099E" w:rsidRDefault="00000000">
      <w:pPr>
        <w:pStyle w:val="Textoindependiente"/>
        <w:spacing w:before="19"/>
        <w:rPr>
          <w:b/>
          <w:sz w:val="20"/>
        </w:rPr>
      </w:pPr>
      <w:r>
        <w:rPr>
          <w:noProof/>
        </w:rPr>
        <mc:AlternateContent>
          <mc:Choice Requires="wps">
            <w:drawing>
              <wp:anchor distT="0" distB="0" distL="0" distR="0" simplePos="0" relativeHeight="487587840" behindDoc="1" locked="0" layoutInCell="1" allowOverlap="1">
                <wp:simplePos x="0" y="0"/>
                <wp:positionH relativeFrom="page">
                  <wp:posOffset>1060703</wp:posOffset>
                </wp:positionH>
                <wp:positionV relativeFrom="paragraph">
                  <wp:posOffset>182812</wp:posOffset>
                </wp:positionV>
                <wp:extent cx="5605780"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5780" cy="9525"/>
                        </a:xfrm>
                        <a:custGeom>
                          <a:avLst/>
                          <a:gdLst/>
                          <a:ahLst/>
                          <a:cxnLst/>
                          <a:rect l="l" t="t" r="r" b="b"/>
                          <a:pathLst>
                            <a:path w="5605780" h="9525">
                              <a:moveTo>
                                <a:pt x="5605272" y="0"/>
                              </a:moveTo>
                              <a:lnTo>
                                <a:pt x="0" y="0"/>
                              </a:lnTo>
                              <a:lnTo>
                                <a:pt x="0" y="9143"/>
                              </a:lnTo>
                              <a:lnTo>
                                <a:pt x="5605272" y="9143"/>
                              </a:lnTo>
                              <a:lnTo>
                                <a:pt x="56052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8EC775E" id="Graphic 2" o:spid="_x0000_s1026" style="position:absolute;margin-left:83.5pt;margin-top:14.4pt;width:441.4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560578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" path="m5605272,l,,,9143r5605272,l5605272,xe" fillcolor="black" stroked="f">
                <v:path arrowok="t"/>
                <w10:wrap type="topAndBottom" anchorx="page"/>
              </v:shape>
            </w:pict>
          </mc:Fallback>
        </mc:AlternateContent>
      </w:r>
    </w:p>
    <w:p w:rsidR="00D0099E" w:rsidRDefault="00D0099E">
      <w:pPr>
        <w:pStyle w:val="Textoindependiente"/>
        <w:spacing w:before="1"/>
        <w:rPr>
          <w:b/>
        </w:rPr>
      </w:pPr>
    </w:p>
    <w:p w:rsidR="00D0099E" w:rsidRDefault="00000000">
      <w:pPr>
        <w:spacing w:before="1"/>
        <w:ind w:left="139"/>
        <w:rPr>
          <w:b/>
        </w:rPr>
      </w:pPr>
      <w:r>
        <w:rPr>
          <w:b/>
          <w:spacing w:val="-2"/>
        </w:rPr>
        <w:t>CONSIDERANDO:</w:t>
      </w:r>
    </w:p>
    <w:p w:rsidR="00D0099E" w:rsidRDefault="00D0099E">
      <w:pPr>
        <w:pStyle w:val="Textoindependiente"/>
        <w:rPr>
          <w:b/>
        </w:rPr>
      </w:pPr>
    </w:p>
    <w:p w:rsidR="00D0099E" w:rsidRDefault="00000000">
      <w:pPr>
        <w:pStyle w:val="Prrafodelista"/>
        <w:numPr>
          <w:ilvl w:val="0"/>
          <w:numId w:val="2"/>
        </w:numPr>
        <w:tabs>
          <w:tab w:val="left" w:pos="565"/>
        </w:tabs>
        <w:ind w:right="185"/>
        <w:jc w:val="both"/>
      </w:pPr>
      <w:r>
        <w:t>Existe una inconsistencia entre el Decreto con Fuerza de Ley N° 458 de 1976 del Ministerio</w:t>
      </w:r>
      <w:r>
        <w:rPr>
          <w:spacing w:val="40"/>
        </w:rPr>
        <w:t xml:space="preserve"> </w:t>
      </w:r>
      <w:r>
        <w:t>de Vivienda y Urbanismo que aprueba la Nueva Ley General de Urbanismo y Construcciones, la Ley N° 20.283 sobre Recuperación del Bosque Nativo y Fomento Forestal y el Decreto Ley 2565 de 1979 del Ministerio de Agricultura que sustituye el Decreto Ley 701, de 1974, que somete los terrenos forestales a las disposiciones que señala.</w:t>
      </w:r>
    </w:p>
    <w:p w:rsidR="00D0099E" w:rsidRDefault="00D0099E">
      <w:pPr>
        <w:pStyle w:val="Textoindependiente"/>
        <w:spacing w:before="1"/>
      </w:pPr>
    </w:p>
    <w:p w:rsidR="00D0099E" w:rsidRDefault="00000000">
      <w:pPr>
        <w:pStyle w:val="Prrafodelista"/>
        <w:numPr>
          <w:ilvl w:val="0"/>
          <w:numId w:val="2"/>
        </w:numPr>
        <w:tabs>
          <w:tab w:val="left" w:pos="565"/>
        </w:tabs>
        <w:spacing w:before="1"/>
        <w:ind w:right="186"/>
        <w:jc w:val="both"/>
      </w:pPr>
      <w:r>
        <w:t>El</w:t>
      </w:r>
      <w:r>
        <w:rPr>
          <w:spacing w:val="-1"/>
        </w:rPr>
        <w:t xml:space="preserve"> </w:t>
      </w:r>
      <w:r>
        <w:t>Decreto</w:t>
      </w:r>
      <w:r>
        <w:rPr>
          <w:spacing w:val="-1"/>
        </w:rPr>
        <w:t xml:space="preserve"> </w:t>
      </w:r>
      <w:r>
        <w:t>con</w:t>
      </w:r>
      <w:r>
        <w:rPr>
          <w:spacing w:val="-1"/>
        </w:rPr>
        <w:t xml:space="preserve"> </w:t>
      </w:r>
      <w:r>
        <w:t>Fuerza</w:t>
      </w:r>
      <w:r>
        <w:rPr>
          <w:spacing w:val="-1"/>
        </w:rPr>
        <w:t xml:space="preserve"> </w:t>
      </w:r>
      <w:r>
        <w:t>de</w:t>
      </w:r>
      <w:r>
        <w:rPr>
          <w:spacing w:val="-1"/>
        </w:rPr>
        <w:t xml:space="preserve"> </w:t>
      </w:r>
      <w:r>
        <w:t>Ley</w:t>
      </w:r>
      <w:r>
        <w:rPr>
          <w:spacing w:val="-1"/>
        </w:rPr>
        <w:t xml:space="preserve"> </w:t>
      </w:r>
      <w:r>
        <w:t>N°</w:t>
      </w:r>
      <w:r>
        <w:rPr>
          <w:spacing w:val="-1"/>
        </w:rPr>
        <w:t xml:space="preserve"> </w:t>
      </w:r>
      <w:r>
        <w:t>458</w:t>
      </w:r>
      <w:r>
        <w:rPr>
          <w:spacing w:val="-1"/>
        </w:rPr>
        <w:t xml:space="preserve"> </w:t>
      </w:r>
      <w:r>
        <w:t>en</w:t>
      </w:r>
      <w:r>
        <w:rPr>
          <w:spacing w:val="-1"/>
        </w:rPr>
        <w:t xml:space="preserve"> </w:t>
      </w:r>
      <w:r>
        <w:t>su</w:t>
      </w:r>
      <w:r>
        <w:rPr>
          <w:spacing w:val="-1"/>
        </w:rPr>
        <w:t xml:space="preserve"> </w:t>
      </w:r>
      <w:r>
        <w:t>Artículo</w:t>
      </w:r>
      <w:r>
        <w:rPr>
          <w:spacing w:val="-1"/>
        </w:rPr>
        <w:t xml:space="preserve"> </w:t>
      </w:r>
      <w:r>
        <w:t>57°</w:t>
      </w:r>
      <w:r>
        <w:rPr>
          <w:spacing w:val="-1"/>
        </w:rPr>
        <w:t xml:space="preserve"> </w:t>
      </w:r>
      <w:r>
        <w:t>establece</w:t>
      </w:r>
      <w:r>
        <w:rPr>
          <w:spacing w:val="-1"/>
        </w:rPr>
        <w:t xml:space="preserve"> </w:t>
      </w:r>
      <w:r>
        <w:t>que</w:t>
      </w:r>
      <w:r>
        <w:rPr>
          <w:spacing w:val="-1"/>
        </w:rPr>
        <w:t xml:space="preserve"> </w:t>
      </w:r>
      <w:r>
        <w:t>“</w:t>
      </w:r>
      <w:r>
        <w:rPr>
          <w:i/>
        </w:rPr>
        <w:t>el</w:t>
      </w:r>
      <w:r>
        <w:rPr>
          <w:i/>
          <w:spacing w:val="-1"/>
        </w:rPr>
        <w:t xml:space="preserve"> </w:t>
      </w:r>
      <w:r>
        <w:rPr>
          <w:i/>
        </w:rPr>
        <w:t>uso</w:t>
      </w:r>
      <w:r>
        <w:rPr>
          <w:i/>
          <w:spacing w:val="-1"/>
        </w:rPr>
        <w:t xml:space="preserve"> </w:t>
      </w:r>
      <w:r>
        <w:rPr>
          <w:i/>
        </w:rPr>
        <w:t>del</w:t>
      </w:r>
      <w:r>
        <w:rPr>
          <w:i/>
          <w:spacing w:val="-1"/>
        </w:rPr>
        <w:t xml:space="preserve"> </w:t>
      </w:r>
      <w:r>
        <w:rPr>
          <w:i/>
        </w:rPr>
        <w:t>suelo</w:t>
      </w:r>
      <w:r>
        <w:rPr>
          <w:i/>
          <w:spacing w:val="-1"/>
        </w:rPr>
        <w:t xml:space="preserve"> </w:t>
      </w:r>
      <w:r>
        <w:rPr>
          <w:i/>
        </w:rPr>
        <w:t>urbano en las áreas urbanas se regirá por lo dispuesto en los Planes Reguladores, y las</w:t>
      </w:r>
      <w:r>
        <w:rPr>
          <w:i/>
          <w:spacing w:val="80"/>
        </w:rPr>
        <w:t xml:space="preserve"> </w:t>
      </w:r>
      <w:r>
        <w:rPr>
          <w:i/>
        </w:rPr>
        <w:t>construcciones que se levanten en los terrenos serán concordantes con dicho propósito</w:t>
      </w:r>
      <w:r>
        <w:t>” y su Artículo 70 establece que “</w:t>
      </w:r>
      <w:r>
        <w:rPr>
          <w:i/>
        </w:rPr>
        <w:t>toda urbanización de terrenos se cederá gratuita y obligatoriamente para circulación, áreas verdes, desarrollo de actividades deportivas y recreacionales, y</w:t>
      </w:r>
      <w:r>
        <w:rPr>
          <w:i/>
          <w:spacing w:val="-1"/>
        </w:rPr>
        <w:t xml:space="preserve"> </w:t>
      </w:r>
      <w:r>
        <w:rPr>
          <w:i/>
        </w:rPr>
        <w:t>para</w:t>
      </w:r>
      <w:r>
        <w:rPr>
          <w:i/>
          <w:spacing w:val="-1"/>
        </w:rPr>
        <w:t xml:space="preserve"> </w:t>
      </w:r>
      <w:r>
        <w:rPr>
          <w:i/>
        </w:rPr>
        <w:t>equipamiento, las</w:t>
      </w:r>
      <w:r>
        <w:rPr>
          <w:i/>
          <w:spacing w:val="-1"/>
        </w:rPr>
        <w:t xml:space="preserve"> </w:t>
      </w:r>
      <w:r>
        <w:rPr>
          <w:i/>
        </w:rPr>
        <w:t>superficies</w:t>
      </w:r>
      <w:r>
        <w:rPr>
          <w:i/>
          <w:spacing w:val="-1"/>
        </w:rPr>
        <w:t xml:space="preserve"> </w:t>
      </w:r>
      <w:r>
        <w:rPr>
          <w:i/>
        </w:rPr>
        <w:t>que</w:t>
      </w:r>
      <w:r>
        <w:rPr>
          <w:i/>
          <w:spacing w:val="-1"/>
        </w:rPr>
        <w:t xml:space="preserve"> </w:t>
      </w:r>
      <w:r>
        <w:rPr>
          <w:i/>
        </w:rPr>
        <w:t>señale</w:t>
      </w:r>
      <w:r>
        <w:rPr>
          <w:i/>
          <w:spacing w:val="-1"/>
        </w:rPr>
        <w:t xml:space="preserve"> </w:t>
      </w:r>
      <w:r>
        <w:rPr>
          <w:i/>
        </w:rPr>
        <w:t>la</w:t>
      </w:r>
      <w:r>
        <w:rPr>
          <w:i/>
          <w:spacing w:val="-1"/>
        </w:rPr>
        <w:t xml:space="preserve"> </w:t>
      </w:r>
      <w:r>
        <w:rPr>
          <w:i/>
        </w:rPr>
        <w:t>Ordenanza</w:t>
      </w:r>
      <w:r>
        <w:rPr>
          <w:i/>
          <w:spacing w:val="-1"/>
        </w:rPr>
        <w:t xml:space="preserve"> </w:t>
      </w:r>
      <w:r>
        <w:rPr>
          <w:i/>
        </w:rPr>
        <w:t>General, las</w:t>
      </w:r>
      <w:r>
        <w:rPr>
          <w:i/>
          <w:spacing w:val="-1"/>
        </w:rPr>
        <w:t xml:space="preserve"> </w:t>
      </w:r>
      <w:r>
        <w:rPr>
          <w:i/>
        </w:rPr>
        <w:t>que no podrán exceder del 44% de la superficie total del terreno original. Las urbanizaciones de terreno podrán voluntariamente ceder superficies que excedan dicho porcentaje, sujeto siempre a aprobación previa de la municipalidad respectiva</w:t>
      </w:r>
      <w:r>
        <w:t>”.</w:t>
      </w:r>
    </w:p>
    <w:p w:rsidR="00D0099E" w:rsidRDefault="00000000">
      <w:pPr>
        <w:pStyle w:val="Prrafodelista"/>
        <w:numPr>
          <w:ilvl w:val="0"/>
          <w:numId w:val="2"/>
        </w:numPr>
        <w:tabs>
          <w:tab w:val="left" w:pos="565"/>
        </w:tabs>
        <w:spacing w:before="266"/>
        <w:ind w:right="120"/>
        <w:jc w:val="both"/>
      </w:pPr>
      <w:r>
        <w:t>De lo anterior, se entiende que el legislador para el caso de uso de suelo urbano ya obliga a medidas de compensación en cuanto a áreas verdes que se entienden del todo razonables en función de las propias características de los procesos urbanizadores.</w:t>
      </w:r>
    </w:p>
    <w:p w:rsidR="00D0099E" w:rsidRDefault="00D0099E">
      <w:pPr>
        <w:pStyle w:val="Textoindependiente"/>
        <w:spacing w:before="1"/>
      </w:pPr>
    </w:p>
    <w:p w:rsidR="00D0099E" w:rsidRDefault="00000000">
      <w:pPr>
        <w:pStyle w:val="Prrafodelista"/>
        <w:numPr>
          <w:ilvl w:val="0"/>
          <w:numId w:val="2"/>
        </w:numPr>
        <w:tabs>
          <w:tab w:val="left" w:pos="565"/>
        </w:tabs>
        <w:ind w:right="114"/>
        <w:jc w:val="both"/>
        <w:rPr>
          <w:b/>
          <w:i/>
        </w:rPr>
      </w:pPr>
      <w:r>
        <w:t>Sin</w:t>
      </w:r>
      <w:r>
        <w:rPr>
          <w:spacing w:val="-1"/>
        </w:rPr>
        <w:t xml:space="preserve"> </w:t>
      </w:r>
      <w:r>
        <w:t>embargo, la</w:t>
      </w:r>
      <w:r>
        <w:rPr>
          <w:spacing w:val="-1"/>
        </w:rPr>
        <w:t xml:space="preserve"> </w:t>
      </w:r>
      <w:r>
        <w:t>Ley</w:t>
      </w:r>
      <w:r>
        <w:rPr>
          <w:spacing w:val="-1"/>
        </w:rPr>
        <w:t xml:space="preserve"> </w:t>
      </w:r>
      <w:r>
        <w:t>N°</w:t>
      </w:r>
      <w:r>
        <w:rPr>
          <w:spacing w:val="-1"/>
        </w:rPr>
        <w:t xml:space="preserve"> </w:t>
      </w:r>
      <w:r>
        <w:t>20.283</w:t>
      </w:r>
      <w:r>
        <w:rPr>
          <w:spacing w:val="-1"/>
        </w:rPr>
        <w:t xml:space="preserve"> </w:t>
      </w:r>
      <w:r>
        <w:t>en</w:t>
      </w:r>
      <w:r>
        <w:rPr>
          <w:spacing w:val="-1"/>
        </w:rPr>
        <w:t xml:space="preserve"> </w:t>
      </w:r>
      <w:r>
        <w:t>su Artículo</w:t>
      </w:r>
      <w:r>
        <w:rPr>
          <w:spacing w:val="-1"/>
        </w:rPr>
        <w:t xml:space="preserve"> </w:t>
      </w:r>
      <w:r>
        <w:t>5° establece</w:t>
      </w:r>
      <w:r>
        <w:rPr>
          <w:spacing w:val="-1"/>
        </w:rPr>
        <w:t xml:space="preserve"> </w:t>
      </w:r>
      <w:r>
        <w:t>que</w:t>
      </w:r>
      <w:r>
        <w:rPr>
          <w:spacing w:val="-1"/>
        </w:rPr>
        <w:t xml:space="preserve"> </w:t>
      </w:r>
      <w:r>
        <w:t>“</w:t>
      </w:r>
      <w:r>
        <w:rPr>
          <w:i/>
        </w:rPr>
        <w:t>toda</w:t>
      </w:r>
      <w:r>
        <w:rPr>
          <w:i/>
          <w:spacing w:val="-1"/>
        </w:rPr>
        <w:t xml:space="preserve"> </w:t>
      </w:r>
      <w:r>
        <w:rPr>
          <w:i/>
        </w:rPr>
        <w:t>acción de</w:t>
      </w:r>
      <w:r>
        <w:rPr>
          <w:i/>
          <w:spacing w:val="-1"/>
        </w:rPr>
        <w:t xml:space="preserve"> </w:t>
      </w:r>
      <w:r>
        <w:rPr>
          <w:i/>
        </w:rPr>
        <w:t>corta</w:t>
      </w:r>
      <w:r>
        <w:rPr>
          <w:i/>
          <w:spacing w:val="-1"/>
        </w:rPr>
        <w:t xml:space="preserve"> </w:t>
      </w:r>
      <w:r>
        <w:rPr>
          <w:i/>
        </w:rPr>
        <w:t>de</w:t>
      </w:r>
      <w:r>
        <w:rPr>
          <w:i/>
          <w:spacing w:val="-1"/>
        </w:rPr>
        <w:t xml:space="preserve"> </w:t>
      </w:r>
      <w:r>
        <w:rPr>
          <w:i/>
        </w:rPr>
        <w:t>bosque nativo, cualquiera sea el tipo de terreno en que éste se encuentre, deberá hacerse previo plan de manejo aprobado por la Corporación. Deberá cumplir, además, con lo prescrito en el decreto ley No 701, de 1974</w:t>
      </w:r>
      <w:r>
        <w:t>”. De la lectura comprehensiva de la Historia de la Ley N° 20.283</w:t>
      </w:r>
      <w:r>
        <w:rPr>
          <w:vertAlign w:val="superscript"/>
        </w:rPr>
        <w:t>1</w:t>
      </w:r>
      <w:r>
        <w:t xml:space="preserve"> se desprende que el legislador buscaba regular las acciones de corta de bosque nativo en uso de suelo rural y no en uso de suelo urbano. El Mensaje Presidencial indicaba que “</w:t>
      </w:r>
      <w:r>
        <w:rPr>
          <w:i/>
        </w:rPr>
        <w:t>bajo el concepto del desarrollo sustentable, el proyecto de ley aspira a contribuir a la diversificación de</w:t>
      </w:r>
      <w:r>
        <w:rPr>
          <w:i/>
          <w:spacing w:val="28"/>
        </w:rPr>
        <w:t xml:space="preserve"> </w:t>
      </w:r>
      <w:r>
        <w:rPr>
          <w:i/>
        </w:rPr>
        <w:t>la</w:t>
      </w:r>
      <w:r>
        <w:rPr>
          <w:i/>
          <w:spacing w:val="28"/>
        </w:rPr>
        <w:t xml:space="preserve"> </w:t>
      </w:r>
      <w:r>
        <w:rPr>
          <w:i/>
        </w:rPr>
        <w:t>economía</w:t>
      </w:r>
      <w:r>
        <w:rPr>
          <w:i/>
          <w:spacing w:val="28"/>
        </w:rPr>
        <w:t xml:space="preserve"> </w:t>
      </w:r>
      <w:r>
        <w:rPr>
          <w:i/>
        </w:rPr>
        <w:t>forestal,</w:t>
      </w:r>
      <w:r>
        <w:rPr>
          <w:i/>
          <w:spacing w:val="28"/>
        </w:rPr>
        <w:t xml:space="preserve"> </w:t>
      </w:r>
      <w:r>
        <w:rPr>
          <w:i/>
        </w:rPr>
        <w:t>cuya</w:t>
      </w:r>
      <w:r>
        <w:rPr>
          <w:i/>
          <w:spacing w:val="28"/>
        </w:rPr>
        <w:t xml:space="preserve"> </w:t>
      </w:r>
      <w:r>
        <w:rPr>
          <w:i/>
        </w:rPr>
        <w:t>importancia</w:t>
      </w:r>
      <w:r>
        <w:rPr>
          <w:i/>
          <w:spacing w:val="28"/>
        </w:rPr>
        <w:t xml:space="preserve"> </w:t>
      </w:r>
      <w:r>
        <w:rPr>
          <w:i/>
        </w:rPr>
        <w:t>creciente</w:t>
      </w:r>
      <w:r>
        <w:rPr>
          <w:i/>
          <w:spacing w:val="28"/>
        </w:rPr>
        <w:t xml:space="preserve"> </w:t>
      </w:r>
      <w:r>
        <w:rPr>
          <w:i/>
        </w:rPr>
        <w:t>es</w:t>
      </w:r>
      <w:r>
        <w:rPr>
          <w:i/>
          <w:spacing w:val="28"/>
        </w:rPr>
        <w:t xml:space="preserve"> </w:t>
      </w:r>
      <w:r>
        <w:rPr>
          <w:i/>
        </w:rPr>
        <w:t>hoy</w:t>
      </w:r>
      <w:r>
        <w:rPr>
          <w:i/>
          <w:spacing w:val="28"/>
        </w:rPr>
        <w:t xml:space="preserve"> </w:t>
      </w:r>
      <w:r>
        <w:rPr>
          <w:i/>
        </w:rPr>
        <w:t>una</w:t>
      </w:r>
      <w:r>
        <w:rPr>
          <w:i/>
          <w:spacing w:val="28"/>
        </w:rPr>
        <w:t xml:space="preserve"> </w:t>
      </w:r>
      <w:r>
        <w:rPr>
          <w:i/>
        </w:rPr>
        <w:t>realidad,</w:t>
      </w:r>
      <w:r>
        <w:rPr>
          <w:i/>
          <w:spacing w:val="27"/>
        </w:rPr>
        <w:t xml:space="preserve"> </w:t>
      </w:r>
      <w:r>
        <w:rPr>
          <w:b/>
          <w:i/>
          <w:u w:val="single"/>
        </w:rPr>
        <w:t>con</w:t>
      </w:r>
      <w:r>
        <w:rPr>
          <w:b/>
          <w:i/>
          <w:spacing w:val="28"/>
          <w:u w:val="single"/>
        </w:rPr>
        <w:t xml:space="preserve"> </w:t>
      </w:r>
      <w:r>
        <w:rPr>
          <w:b/>
          <w:i/>
          <w:u w:val="single"/>
        </w:rPr>
        <w:t>énfasis</w:t>
      </w:r>
      <w:r>
        <w:rPr>
          <w:b/>
          <w:i/>
          <w:spacing w:val="28"/>
          <w:u w:val="single"/>
        </w:rPr>
        <w:t xml:space="preserve"> </w:t>
      </w:r>
      <w:r>
        <w:rPr>
          <w:b/>
          <w:i/>
          <w:u w:val="single"/>
        </w:rPr>
        <w:t>en</w:t>
      </w:r>
      <w:r>
        <w:rPr>
          <w:b/>
          <w:i/>
          <w:spacing w:val="28"/>
          <w:u w:val="single"/>
        </w:rPr>
        <w:t xml:space="preserve"> </w:t>
      </w:r>
      <w:r>
        <w:rPr>
          <w:b/>
          <w:i/>
          <w:u w:val="single"/>
        </w:rPr>
        <w:t>el</w:t>
      </w:r>
    </w:p>
    <w:p w:rsidR="00D0099E" w:rsidRDefault="00000000">
      <w:pPr>
        <w:pStyle w:val="Textoindependiente"/>
        <w:spacing w:before="10"/>
        <w:rPr>
          <w:b/>
          <w:i/>
          <w:sz w:val="20"/>
        </w:rPr>
      </w:pPr>
      <w:r>
        <w:rPr>
          <w:noProof/>
        </w:rPr>
        <mc:AlternateContent>
          <mc:Choice Requires="wps">
            <w:drawing>
              <wp:anchor distT="0" distB="0" distL="0" distR="0" simplePos="0" relativeHeight="487588352" behindDoc="1" locked="0" layoutInCell="1" allowOverlap="1">
                <wp:simplePos x="0" y="0"/>
                <wp:positionH relativeFrom="page">
                  <wp:posOffset>1078991</wp:posOffset>
                </wp:positionH>
                <wp:positionV relativeFrom="paragraph">
                  <wp:posOffset>177011</wp:posOffset>
                </wp:positionV>
                <wp:extent cx="1828800"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0A64A80" id="Graphic 3" o:spid="_x0000_s1026" style="position:absolute;margin-left:84.95pt;margin-top:13.95pt;width:2in;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" path="m1828800,l,,,9143r1828800,l1828800,xe" fillcolor="black" stroked="f">
                <v:path arrowok="t"/>
                <w10:wrap type="topAndBottom" anchorx="page"/>
              </v:shape>
            </w:pict>
          </mc:Fallback>
        </mc:AlternateContent>
      </w:r>
    </w:p>
    <w:p w:rsidR="00D0099E" w:rsidRDefault="00000000">
      <w:pPr>
        <w:pStyle w:val="Textoindependiente"/>
        <w:spacing w:before="98"/>
        <w:ind w:left="139"/>
      </w:pPr>
      <w:r>
        <w:rPr>
          <w:rFonts w:ascii="Calibri Light"/>
          <w:spacing w:val="-2"/>
          <w:position w:val="8"/>
          <w:sz w:val="14"/>
        </w:rPr>
        <w:t>1</w:t>
      </w:r>
      <w:r>
        <w:rPr>
          <w:rFonts w:ascii="Calibri Light"/>
          <w:spacing w:val="74"/>
          <w:position w:val="8"/>
          <w:sz w:val="14"/>
        </w:rPr>
        <w:t xml:space="preserve"> </w:t>
      </w:r>
      <w:hyperlink r:id="rId6">
        <w:r>
          <w:rPr>
            <w:spacing w:val="-2"/>
          </w:rPr>
          <w:t>https://www.bcn.cl/historiadelaley/nc/historia-de-la-ley/5264/</w:t>
        </w:r>
      </w:hyperlink>
    </w:p>
    <w:p w:rsidR="00D0099E" w:rsidRDefault="00D0099E">
      <w:pPr>
        <w:sectPr w:rsidR="00D0099E">
          <w:type w:val="continuous"/>
          <w:pgSz w:w="12240" w:h="15840"/>
          <w:pgMar w:top="1680" w:right="1580" w:bottom="280" w:left="1560" w:header="720" w:footer="720" w:gutter="0"/>
          <w:cols w:space="720"/>
        </w:sectPr>
      </w:pPr>
    </w:p>
    <w:p w:rsidR="00D0099E" w:rsidRDefault="00000000">
      <w:pPr>
        <w:spacing w:before="77"/>
        <w:ind w:left="565"/>
      </w:pPr>
      <w:r>
        <w:rPr>
          <w:b/>
          <w:i/>
          <w:u w:val="single"/>
        </w:rPr>
        <w:lastRenderedPageBreak/>
        <w:t>área</w:t>
      </w:r>
      <w:r>
        <w:rPr>
          <w:b/>
          <w:i/>
          <w:spacing w:val="38"/>
          <w:u w:val="single"/>
        </w:rPr>
        <w:t xml:space="preserve"> </w:t>
      </w:r>
      <w:r>
        <w:rPr>
          <w:b/>
          <w:i/>
          <w:u w:val="single"/>
        </w:rPr>
        <w:t>rural</w:t>
      </w:r>
      <w:r>
        <w:rPr>
          <w:b/>
          <w:i/>
          <w:spacing w:val="38"/>
        </w:rPr>
        <w:t xml:space="preserve"> </w:t>
      </w:r>
      <w:r>
        <w:rPr>
          <w:i/>
        </w:rPr>
        <w:t>debido</w:t>
      </w:r>
      <w:r>
        <w:rPr>
          <w:i/>
          <w:spacing w:val="38"/>
        </w:rPr>
        <w:t xml:space="preserve"> </w:t>
      </w:r>
      <w:r>
        <w:rPr>
          <w:i/>
        </w:rPr>
        <w:t>principalmente</w:t>
      </w:r>
      <w:r>
        <w:rPr>
          <w:i/>
          <w:spacing w:val="38"/>
        </w:rPr>
        <w:t xml:space="preserve"> </w:t>
      </w:r>
      <w:r>
        <w:rPr>
          <w:i/>
        </w:rPr>
        <w:t>a</w:t>
      </w:r>
      <w:r>
        <w:rPr>
          <w:i/>
          <w:spacing w:val="38"/>
        </w:rPr>
        <w:t xml:space="preserve"> </w:t>
      </w:r>
      <w:r>
        <w:rPr>
          <w:i/>
        </w:rPr>
        <w:t>la</w:t>
      </w:r>
      <w:r>
        <w:rPr>
          <w:i/>
          <w:spacing w:val="39"/>
        </w:rPr>
        <w:t xml:space="preserve"> </w:t>
      </w:r>
      <w:r>
        <w:rPr>
          <w:i/>
        </w:rPr>
        <w:t>localización</w:t>
      </w:r>
      <w:r>
        <w:rPr>
          <w:i/>
          <w:spacing w:val="37"/>
        </w:rPr>
        <w:t xml:space="preserve"> </w:t>
      </w:r>
      <w:r>
        <w:rPr>
          <w:i/>
        </w:rPr>
        <w:t>del</w:t>
      </w:r>
      <w:r>
        <w:rPr>
          <w:i/>
          <w:spacing w:val="38"/>
        </w:rPr>
        <w:t xml:space="preserve"> </w:t>
      </w:r>
      <w:r>
        <w:rPr>
          <w:i/>
        </w:rPr>
        <w:t>recurso</w:t>
      </w:r>
      <w:r>
        <w:rPr>
          <w:i/>
          <w:spacing w:val="38"/>
        </w:rPr>
        <w:t xml:space="preserve"> </w:t>
      </w:r>
      <w:r>
        <w:rPr>
          <w:i/>
        </w:rPr>
        <w:t>y</w:t>
      </w:r>
      <w:r>
        <w:rPr>
          <w:i/>
          <w:spacing w:val="38"/>
        </w:rPr>
        <w:t xml:space="preserve"> </w:t>
      </w:r>
      <w:r>
        <w:rPr>
          <w:i/>
        </w:rPr>
        <w:t>de</w:t>
      </w:r>
      <w:r>
        <w:rPr>
          <w:i/>
          <w:spacing w:val="38"/>
        </w:rPr>
        <w:t xml:space="preserve"> </w:t>
      </w:r>
      <w:r>
        <w:rPr>
          <w:i/>
        </w:rPr>
        <w:t>una</w:t>
      </w:r>
      <w:r>
        <w:rPr>
          <w:i/>
          <w:spacing w:val="38"/>
        </w:rPr>
        <w:t xml:space="preserve"> </w:t>
      </w:r>
      <w:r>
        <w:rPr>
          <w:i/>
        </w:rPr>
        <w:t>población</w:t>
      </w:r>
      <w:r>
        <w:rPr>
          <w:i/>
          <w:spacing w:val="39"/>
        </w:rPr>
        <w:t xml:space="preserve"> </w:t>
      </w:r>
      <w:r>
        <w:rPr>
          <w:i/>
        </w:rPr>
        <w:t>que</w:t>
      </w:r>
      <w:r>
        <w:rPr>
          <w:i/>
          <w:spacing w:val="38"/>
        </w:rPr>
        <w:t xml:space="preserve"> </w:t>
      </w:r>
      <w:r>
        <w:rPr>
          <w:i/>
        </w:rPr>
        <w:t>ha carecido históricamente de oportunidades permanentes para elevar sus condiciones de vida</w:t>
      </w:r>
      <w:r>
        <w:t>”.</w:t>
      </w:r>
    </w:p>
    <w:p w:rsidR="00D0099E" w:rsidRDefault="00D0099E">
      <w:pPr>
        <w:pStyle w:val="Textoindependiente"/>
        <w:spacing w:before="1"/>
      </w:pPr>
    </w:p>
    <w:p w:rsidR="00D0099E" w:rsidRDefault="00000000">
      <w:pPr>
        <w:pStyle w:val="Prrafodelista"/>
        <w:numPr>
          <w:ilvl w:val="0"/>
          <w:numId w:val="2"/>
        </w:numPr>
        <w:tabs>
          <w:tab w:val="left" w:pos="565"/>
        </w:tabs>
        <w:ind w:right="116"/>
        <w:jc w:val="both"/>
      </w:pPr>
      <w:r>
        <w:t>De hecho, el Artículo 21 de esta Ley establece que “</w:t>
      </w:r>
      <w:r>
        <w:rPr>
          <w:i/>
        </w:rPr>
        <w:t>cuando la corta de bosque nativo se</w:t>
      </w:r>
      <w:r>
        <w:rPr>
          <w:i/>
          <w:spacing w:val="40"/>
        </w:rPr>
        <w:t xml:space="preserve"> </w:t>
      </w:r>
      <w:r>
        <w:rPr>
          <w:i/>
        </w:rPr>
        <w:t>realice con motivo del cambio de uso de suelos rurales establecido en la Ley General de Urbanismo y Construcciones, de la construcción de obras o del desarrollo de las actividades indicadas en el inciso cuarto del</w:t>
      </w:r>
      <w:r>
        <w:rPr>
          <w:i/>
          <w:spacing w:val="-1"/>
        </w:rPr>
        <w:t xml:space="preserve"> </w:t>
      </w:r>
      <w:r>
        <w:rPr>
          <w:i/>
        </w:rPr>
        <w:t>Artículo 7° de esta ley, el interesado deberá presentar un plan de manejo (...)</w:t>
      </w:r>
      <w:r>
        <w:t>”. Por tanto, se entiende la aplicación de las regulaciones contenidas en esta</w:t>
      </w:r>
      <w:r>
        <w:rPr>
          <w:spacing w:val="40"/>
        </w:rPr>
        <w:t xml:space="preserve"> </w:t>
      </w:r>
      <w:r>
        <w:t>Ley cuando el uso de suelo es rural o cuando se busca modificar el uso de suelo rural a</w:t>
      </w:r>
      <w:r>
        <w:rPr>
          <w:spacing w:val="40"/>
        </w:rPr>
        <w:t xml:space="preserve"> </w:t>
      </w:r>
      <w:r>
        <w:t xml:space="preserve">urbano, </w:t>
      </w:r>
      <w:r>
        <w:rPr>
          <w:b/>
          <w:u w:val="single"/>
        </w:rPr>
        <w:t>pero no sobre los terrenos cuyo uso de suelo ya era urbano al momento de</w:t>
      </w:r>
      <w:r>
        <w:rPr>
          <w:b/>
        </w:rPr>
        <w:t xml:space="preserve"> </w:t>
      </w:r>
      <w:r>
        <w:rPr>
          <w:b/>
          <w:u w:val="single"/>
        </w:rPr>
        <w:t>publicada la Ley</w:t>
      </w:r>
      <w:r>
        <w:t>.</w:t>
      </w:r>
    </w:p>
    <w:p w:rsidR="00D0099E" w:rsidRDefault="00D0099E">
      <w:pPr>
        <w:pStyle w:val="Textoindependiente"/>
        <w:spacing w:before="2"/>
      </w:pPr>
    </w:p>
    <w:p w:rsidR="00D0099E" w:rsidRDefault="00000000">
      <w:pPr>
        <w:pStyle w:val="Prrafodelista"/>
        <w:numPr>
          <w:ilvl w:val="0"/>
          <w:numId w:val="2"/>
        </w:numPr>
        <w:tabs>
          <w:tab w:val="left" w:pos="565"/>
        </w:tabs>
        <w:jc w:val="both"/>
      </w:pPr>
      <w:r>
        <w:t xml:space="preserve">Para mayor abundamiento, el Artículo 5° ya citado remite al Decreto Ley N° 701, que fue reemplazado por el Decreto Ley 2565 de 1979 del Ministerio de Agricultura, que </w:t>
      </w:r>
      <w:r>
        <w:rPr>
          <w:b/>
          <w:u w:val="single"/>
        </w:rPr>
        <w:t>regula</w:t>
      </w:r>
      <w:r>
        <w:rPr>
          <w:b/>
        </w:rPr>
        <w:t xml:space="preserve"> </w:t>
      </w:r>
      <w:r>
        <w:rPr>
          <w:b/>
          <w:u w:val="single"/>
        </w:rPr>
        <w:t>exclusivamente los terrenos forestales o de aptitud preferentemente forestal, es decir,</w:t>
      </w:r>
      <w:r>
        <w:rPr>
          <w:b/>
        </w:rPr>
        <w:t xml:space="preserve"> </w:t>
      </w:r>
      <w:r>
        <w:rPr>
          <w:b/>
          <w:u w:val="single"/>
        </w:rPr>
        <w:t>siempre en el ámbito de uso de suelo rural</w:t>
      </w:r>
      <w:r>
        <w:t>. De ello, nuevamente uno puede entender que el legislador</w:t>
      </w:r>
      <w:r>
        <w:rPr>
          <w:spacing w:val="-2"/>
        </w:rPr>
        <w:t xml:space="preserve"> </w:t>
      </w:r>
      <w:r>
        <w:t>nunca</w:t>
      </w:r>
      <w:r>
        <w:rPr>
          <w:spacing w:val="-2"/>
        </w:rPr>
        <w:t xml:space="preserve"> </w:t>
      </w:r>
      <w:r>
        <w:t>tuvo</w:t>
      </w:r>
      <w:r>
        <w:rPr>
          <w:spacing w:val="-2"/>
        </w:rPr>
        <w:t xml:space="preserve"> </w:t>
      </w:r>
      <w:r>
        <w:t>la</w:t>
      </w:r>
      <w:r>
        <w:rPr>
          <w:spacing w:val="-3"/>
        </w:rPr>
        <w:t xml:space="preserve"> </w:t>
      </w:r>
      <w:r>
        <w:t>intención</w:t>
      </w:r>
      <w:r>
        <w:rPr>
          <w:spacing w:val="-3"/>
        </w:rPr>
        <w:t xml:space="preserve"> </w:t>
      </w:r>
      <w:r>
        <w:t>de</w:t>
      </w:r>
      <w:r>
        <w:rPr>
          <w:spacing w:val="-2"/>
        </w:rPr>
        <w:t xml:space="preserve"> </w:t>
      </w:r>
      <w:r>
        <w:t>regular</w:t>
      </w:r>
      <w:r>
        <w:rPr>
          <w:spacing w:val="-2"/>
        </w:rPr>
        <w:t xml:space="preserve"> </w:t>
      </w:r>
      <w:r>
        <w:t>usos</w:t>
      </w:r>
      <w:r>
        <w:rPr>
          <w:spacing w:val="-2"/>
        </w:rPr>
        <w:t xml:space="preserve"> </w:t>
      </w:r>
      <w:r>
        <w:t>de</w:t>
      </w:r>
      <w:r>
        <w:rPr>
          <w:spacing w:val="-2"/>
        </w:rPr>
        <w:t xml:space="preserve"> </w:t>
      </w:r>
      <w:r>
        <w:t>suelo</w:t>
      </w:r>
      <w:r>
        <w:rPr>
          <w:spacing w:val="-2"/>
        </w:rPr>
        <w:t xml:space="preserve"> </w:t>
      </w:r>
      <w:r>
        <w:t>urbanos.</w:t>
      </w:r>
      <w:r>
        <w:rPr>
          <w:spacing w:val="-2"/>
        </w:rPr>
        <w:t xml:space="preserve"> </w:t>
      </w:r>
      <w:r>
        <w:t>Al</w:t>
      </w:r>
      <w:r>
        <w:rPr>
          <w:spacing w:val="-2"/>
        </w:rPr>
        <w:t xml:space="preserve"> </w:t>
      </w:r>
      <w:r>
        <w:t>obligar</w:t>
      </w:r>
      <w:r>
        <w:rPr>
          <w:spacing w:val="-2"/>
        </w:rPr>
        <w:t xml:space="preserve"> </w:t>
      </w:r>
      <w:r>
        <w:t>en</w:t>
      </w:r>
      <w:r>
        <w:rPr>
          <w:spacing w:val="-2"/>
        </w:rPr>
        <w:t xml:space="preserve"> </w:t>
      </w:r>
      <w:r>
        <w:t>uso</w:t>
      </w:r>
      <w:r>
        <w:rPr>
          <w:spacing w:val="-2"/>
        </w:rPr>
        <w:t xml:space="preserve"> </w:t>
      </w:r>
      <w:r>
        <w:t>de</w:t>
      </w:r>
      <w:r>
        <w:rPr>
          <w:spacing w:val="-2"/>
        </w:rPr>
        <w:t xml:space="preserve"> </w:t>
      </w:r>
      <w:r>
        <w:t>suelo urbano a cumplir el Decreto Ley N° 701, a nuestro juicio erróneamente, genera las obligaciones contenidas en su Artículo 22 que es “</w:t>
      </w:r>
      <w:r>
        <w:rPr>
          <w:i/>
        </w:rPr>
        <w:t>la corta o explotación de bosques en terrenos de aptitud preferentemente forestal obligará a su propietario a reforestar una superficie de terreno igual, a lo menos, a la cortada o explotada, en las condiciones contempladas en el plan de manejo aprobado por la</w:t>
      </w:r>
      <w:r>
        <w:rPr>
          <w:i/>
          <w:spacing w:val="-1"/>
        </w:rPr>
        <w:t xml:space="preserve"> </w:t>
      </w:r>
      <w:r>
        <w:rPr>
          <w:i/>
        </w:rPr>
        <w:t>Corporación, o en su caso, presentado en la misma para aquellas excepciones consideradas en el inciso segundo del Artículo anterior</w:t>
      </w:r>
      <w:r>
        <w:t>”. Cuestión que se vuelve impracticable en uso de suelo urbano.</w:t>
      </w:r>
    </w:p>
    <w:p w:rsidR="00D0099E" w:rsidRDefault="00000000">
      <w:pPr>
        <w:pStyle w:val="Prrafodelista"/>
        <w:numPr>
          <w:ilvl w:val="0"/>
          <w:numId w:val="2"/>
        </w:numPr>
        <w:tabs>
          <w:tab w:val="left" w:pos="565"/>
        </w:tabs>
        <w:spacing w:before="267"/>
        <w:ind w:right="119"/>
        <w:jc w:val="both"/>
      </w:pPr>
      <w:r>
        <w:t>Esta impracticabilidad se debe a una doble obligación impuesta a los propietarios de terrenos con uso de suelo urbano: 1) La contenida en el Artículo 70 del Decreto con Fuerza de Ley N° 458; y 2) La contenida en el Artículo 5° de la Ley N° 20.283. Esto genera una doble compensación que nunca fue intención del legislador imponer para zonas urbanas ya que siempre estuvo resuelta en la Ley General de Urbanismo y Construcciones a través de su Artículo 70.</w:t>
      </w:r>
    </w:p>
    <w:p w:rsidR="00D0099E" w:rsidRDefault="00D0099E">
      <w:pPr>
        <w:pStyle w:val="Textoindependiente"/>
        <w:spacing w:before="2"/>
      </w:pPr>
    </w:p>
    <w:p w:rsidR="00D0099E" w:rsidRDefault="00000000">
      <w:pPr>
        <w:pStyle w:val="Prrafodelista"/>
        <w:numPr>
          <w:ilvl w:val="0"/>
          <w:numId w:val="2"/>
        </w:numPr>
        <w:tabs>
          <w:tab w:val="left" w:pos="565"/>
        </w:tabs>
        <w:jc w:val="both"/>
      </w:pPr>
      <w:r>
        <w:t>Actualmente, el Servicio de Vivienda y Urbanismo exige para proyectos habitacionales del Decreto</w:t>
      </w:r>
      <w:r>
        <w:rPr>
          <w:spacing w:val="-2"/>
        </w:rPr>
        <w:t xml:space="preserve"> </w:t>
      </w:r>
      <w:r>
        <w:t>Supremo</w:t>
      </w:r>
      <w:r>
        <w:rPr>
          <w:spacing w:val="-2"/>
        </w:rPr>
        <w:t xml:space="preserve"> </w:t>
      </w:r>
      <w:r>
        <w:t>N°</w:t>
      </w:r>
      <w:r>
        <w:rPr>
          <w:spacing w:val="-2"/>
        </w:rPr>
        <w:t xml:space="preserve"> </w:t>
      </w:r>
      <w:r>
        <w:t>49</w:t>
      </w:r>
      <w:r>
        <w:rPr>
          <w:spacing w:val="-2"/>
        </w:rPr>
        <w:t xml:space="preserve"> </w:t>
      </w:r>
      <w:r>
        <w:t>la</w:t>
      </w:r>
      <w:r>
        <w:rPr>
          <w:spacing w:val="-2"/>
        </w:rPr>
        <w:t xml:space="preserve"> </w:t>
      </w:r>
      <w:r>
        <w:t>existencia</w:t>
      </w:r>
      <w:r>
        <w:rPr>
          <w:spacing w:val="-2"/>
        </w:rPr>
        <w:t xml:space="preserve"> </w:t>
      </w:r>
      <w:r>
        <w:t>de</w:t>
      </w:r>
      <w:r>
        <w:rPr>
          <w:spacing w:val="-2"/>
        </w:rPr>
        <w:t xml:space="preserve"> </w:t>
      </w:r>
      <w:r>
        <w:t>una</w:t>
      </w:r>
      <w:r>
        <w:rPr>
          <w:spacing w:val="-2"/>
        </w:rPr>
        <w:t xml:space="preserve"> </w:t>
      </w:r>
      <w:r>
        <w:t>consulta</w:t>
      </w:r>
      <w:r>
        <w:rPr>
          <w:spacing w:val="-2"/>
        </w:rPr>
        <w:t xml:space="preserve"> </w:t>
      </w:r>
      <w:r>
        <w:t>de</w:t>
      </w:r>
      <w:r>
        <w:rPr>
          <w:spacing w:val="-2"/>
        </w:rPr>
        <w:t xml:space="preserve"> </w:t>
      </w:r>
      <w:r>
        <w:t>pertinencia</w:t>
      </w:r>
      <w:r>
        <w:rPr>
          <w:spacing w:val="-2"/>
        </w:rPr>
        <w:t xml:space="preserve"> </w:t>
      </w:r>
      <w:r>
        <w:t>a</w:t>
      </w:r>
      <w:r>
        <w:rPr>
          <w:spacing w:val="-2"/>
        </w:rPr>
        <w:t xml:space="preserve"> </w:t>
      </w:r>
      <w:r>
        <w:t>la</w:t>
      </w:r>
      <w:r>
        <w:rPr>
          <w:spacing w:val="-3"/>
        </w:rPr>
        <w:t xml:space="preserve"> </w:t>
      </w:r>
      <w:r>
        <w:t>Corporación</w:t>
      </w:r>
      <w:r>
        <w:rPr>
          <w:spacing w:val="-1"/>
        </w:rPr>
        <w:t xml:space="preserve"> </w:t>
      </w:r>
      <w:r>
        <w:t xml:space="preserve">Nacional Forestal que implica que este último organismo exige a estos proyectos el cumplimiento del Artículo 5° en uso de suelo urbano y, por tanto, del Decreto Ley N° 701, que fue reemplazado por el Decreto Ley 2565 de 1979 del Ministerio de Agricultura, </w:t>
      </w:r>
      <w:r>
        <w:rPr>
          <w:b/>
          <w:u w:val="single"/>
        </w:rPr>
        <w:t>con la consecuente</w:t>
      </w:r>
      <w:r>
        <w:rPr>
          <w:b/>
        </w:rPr>
        <w:t xml:space="preserve"> </w:t>
      </w:r>
      <w:r>
        <w:rPr>
          <w:b/>
          <w:u w:val="single"/>
        </w:rPr>
        <w:t>impracticabilidad</w:t>
      </w:r>
      <w:r>
        <w:rPr>
          <w:b/>
          <w:spacing w:val="-4"/>
          <w:u w:val="single"/>
        </w:rPr>
        <w:t xml:space="preserve"> </w:t>
      </w:r>
      <w:r>
        <w:rPr>
          <w:b/>
          <w:u w:val="single"/>
        </w:rPr>
        <w:t>de</w:t>
      </w:r>
      <w:r>
        <w:rPr>
          <w:b/>
          <w:spacing w:val="-4"/>
          <w:u w:val="single"/>
        </w:rPr>
        <w:t xml:space="preserve"> </w:t>
      </w:r>
      <w:r>
        <w:rPr>
          <w:b/>
          <w:u w:val="single"/>
        </w:rPr>
        <w:t>algunos</w:t>
      </w:r>
      <w:r>
        <w:rPr>
          <w:b/>
          <w:spacing w:val="-4"/>
          <w:u w:val="single"/>
        </w:rPr>
        <w:t xml:space="preserve"> </w:t>
      </w:r>
      <w:r>
        <w:rPr>
          <w:b/>
          <w:u w:val="single"/>
        </w:rPr>
        <w:t>proyectos</w:t>
      </w:r>
      <w:r>
        <w:rPr>
          <w:b/>
          <w:spacing w:val="-4"/>
          <w:u w:val="single"/>
        </w:rPr>
        <w:t xml:space="preserve"> </w:t>
      </w:r>
      <w:r>
        <w:rPr>
          <w:b/>
          <w:u w:val="single"/>
        </w:rPr>
        <w:t>habitacionales</w:t>
      </w:r>
      <w:r>
        <w:rPr>
          <w:b/>
          <w:spacing w:val="-4"/>
          <w:u w:val="single"/>
        </w:rPr>
        <w:t xml:space="preserve"> </w:t>
      </w:r>
      <w:r>
        <w:rPr>
          <w:b/>
          <w:u w:val="single"/>
        </w:rPr>
        <w:t>sociales</w:t>
      </w:r>
      <w:r>
        <w:rPr>
          <w:b/>
          <w:spacing w:val="-4"/>
        </w:rPr>
        <w:t xml:space="preserve"> </w:t>
      </w:r>
      <w:r>
        <w:t>y</w:t>
      </w:r>
      <w:r>
        <w:rPr>
          <w:spacing w:val="-4"/>
        </w:rPr>
        <w:t xml:space="preserve"> </w:t>
      </w:r>
      <w:r>
        <w:t>dificultando</w:t>
      </w:r>
      <w:r>
        <w:rPr>
          <w:spacing w:val="-4"/>
        </w:rPr>
        <w:t xml:space="preserve"> </w:t>
      </w:r>
      <w:r>
        <w:t>la</w:t>
      </w:r>
      <w:r>
        <w:rPr>
          <w:spacing w:val="-4"/>
        </w:rPr>
        <w:t xml:space="preserve"> </w:t>
      </w:r>
      <w:r>
        <w:t>aplicación</w:t>
      </w:r>
      <w:r>
        <w:rPr>
          <w:spacing w:val="-3"/>
        </w:rPr>
        <w:t xml:space="preserve"> </w:t>
      </w:r>
      <w:r>
        <w:t>de la Ley N° 21.450 de 2022 sobre Integración Social en la Planificación Urbana, Gestión de Suelo y Plan de Emergencia Habitacional.</w:t>
      </w:r>
    </w:p>
    <w:p w:rsidR="00D0099E" w:rsidRDefault="00000000">
      <w:pPr>
        <w:pStyle w:val="Prrafodelista"/>
        <w:numPr>
          <w:ilvl w:val="0"/>
          <w:numId w:val="2"/>
        </w:numPr>
        <w:tabs>
          <w:tab w:val="left" w:pos="565"/>
        </w:tabs>
        <w:spacing w:before="266"/>
        <w:ind w:right="119"/>
        <w:jc w:val="both"/>
      </w:pPr>
      <w:r>
        <w:t>El 29 de Julio de 2024 a través del Oficio N° 76.572 de la Cámara de Diputadas y Diputados, requerí a la Contraloría General de la República un pronunciamiento a fin de poder resolver las</w:t>
      </w:r>
      <w:r>
        <w:rPr>
          <w:spacing w:val="-1"/>
        </w:rPr>
        <w:t xml:space="preserve"> </w:t>
      </w:r>
      <w:r>
        <w:t>incoherencias</w:t>
      </w:r>
      <w:r>
        <w:rPr>
          <w:spacing w:val="-1"/>
        </w:rPr>
        <w:t xml:space="preserve"> </w:t>
      </w:r>
      <w:r>
        <w:t>entre</w:t>
      </w:r>
      <w:r>
        <w:rPr>
          <w:spacing w:val="-1"/>
        </w:rPr>
        <w:t xml:space="preserve"> </w:t>
      </w:r>
      <w:r>
        <w:t>las</w:t>
      </w:r>
      <w:r>
        <w:rPr>
          <w:spacing w:val="-1"/>
        </w:rPr>
        <w:t xml:space="preserve"> </w:t>
      </w:r>
      <w:r>
        <w:t>normas</w:t>
      </w:r>
      <w:r>
        <w:rPr>
          <w:spacing w:val="-1"/>
        </w:rPr>
        <w:t xml:space="preserve"> </w:t>
      </w:r>
      <w:r>
        <w:t>legales</w:t>
      </w:r>
      <w:r>
        <w:rPr>
          <w:spacing w:val="-1"/>
        </w:rPr>
        <w:t xml:space="preserve"> </w:t>
      </w:r>
      <w:r>
        <w:t>previamente</w:t>
      </w:r>
      <w:r>
        <w:rPr>
          <w:spacing w:val="-1"/>
        </w:rPr>
        <w:t xml:space="preserve"> </w:t>
      </w:r>
      <w:r>
        <w:t>citadas</w:t>
      </w:r>
      <w:r>
        <w:rPr>
          <w:spacing w:val="-1"/>
        </w:rPr>
        <w:t xml:space="preserve"> </w:t>
      </w:r>
      <w:r>
        <w:t>a</w:t>
      </w:r>
      <w:r>
        <w:rPr>
          <w:spacing w:val="-1"/>
        </w:rPr>
        <w:t xml:space="preserve"> </w:t>
      </w:r>
      <w:r>
        <w:t>fin</w:t>
      </w:r>
      <w:r>
        <w:rPr>
          <w:spacing w:val="-1"/>
        </w:rPr>
        <w:t xml:space="preserve"> </w:t>
      </w:r>
      <w:r>
        <w:t>de</w:t>
      </w:r>
      <w:r>
        <w:rPr>
          <w:spacing w:val="-1"/>
        </w:rPr>
        <w:t xml:space="preserve"> </w:t>
      </w:r>
      <w:r>
        <w:t>destrabar</w:t>
      </w:r>
      <w:r>
        <w:rPr>
          <w:spacing w:val="-1"/>
        </w:rPr>
        <w:t xml:space="preserve"> </w:t>
      </w:r>
      <w:r>
        <w:t>una</w:t>
      </w:r>
      <w:r>
        <w:rPr>
          <w:spacing w:val="-1"/>
        </w:rPr>
        <w:t xml:space="preserve"> </w:t>
      </w:r>
      <w:r>
        <w:t>serie</w:t>
      </w:r>
      <w:r>
        <w:rPr>
          <w:spacing w:val="-1"/>
        </w:rPr>
        <w:t xml:space="preserve"> </w:t>
      </w:r>
      <w:r>
        <w:t>de proyectos habitacionales en el marco del Plan de Emergencia Habitacional. Sin embargo, en aras de disponer de un camino legislativo para resolver estas discrepancias entre los cuerpos legales, es que se presenta el presente Proyecto de Ley.</w:t>
      </w:r>
    </w:p>
    <w:p w:rsidR="00D0099E" w:rsidRDefault="00D0099E">
      <w:pPr>
        <w:jc w:val="both"/>
        <w:sectPr w:rsidR="00D0099E">
          <w:pgSz w:w="12240" w:h="15840"/>
          <w:pgMar w:top="1340" w:right="1580" w:bottom="280" w:left="1560" w:header="720" w:footer="720" w:gutter="0"/>
          <w:cols w:space="720"/>
        </w:sectPr>
      </w:pPr>
    </w:p>
    <w:p w:rsidR="00D0099E" w:rsidRDefault="00000000">
      <w:pPr>
        <w:pStyle w:val="Prrafodelista"/>
        <w:numPr>
          <w:ilvl w:val="0"/>
          <w:numId w:val="2"/>
        </w:numPr>
        <w:tabs>
          <w:tab w:val="left" w:pos="563"/>
          <w:tab w:val="left" w:pos="565"/>
        </w:tabs>
        <w:spacing w:before="77"/>
        <w:ind w:right="120"/>
        <w:jc w:val="both"/>
      </w:pPr>
      <w:r>
        <w:lastRenderedPageBreak/>
        <w:t>Con el objetivo de clarificar lo indicado en el numeral anterior, se modifica el Artículo 70° del Decreto con Fuerza de Ley N° 458, de 1976 del Ministerio de Vivienda y Urbanismo y el Artículo 5° de la Ley N° 20.283, sobre Recuperación del Bosque Nativo y Fomento Forestal, a fin de hacerlas coherentes entre ellas y permitir que el Plan de Manejo de Bosque Nativo en terrenos cuyo uso de suelo es urbano se realice en las áreas verdes cedidas gratuitamente en un proceso de urbanización.</w:t>
      </w:r>
    </w:p>
    <w:p w:rsidR="00D0099E" w:rsidRDefault="00D0099E">
      <w:pPr>
        <w:pStyle w:val="Textoindependiente"/>
        <w:spacing w:before="2"/>
      </w:pPr>
    </w:p>
    <w:p w:rsidR="00D0099E" w:rsidRDefault="00000000">
      <w:pPr>
        <w:pStyle w:val="Ttulo1"/>
        <w:ind w:right="17"/>
      </w:pPr>
      <w:r>
        <w:t>POR</w:t>
      </w:r>
      <w:r>
        <w:rPr>
          <w:spacing w:val="70"/>
        </w:rPr>
        <w:t xml:space="preserve"> </w:t>
      </w:r>
      <w:r>
        <w:t>LOS</w:t>
      </w:r>
      <w:r>
        <w:rPr>
          <w:spacing w:val="70"/>
        </w:rPr>
        <w:t xml:space="preserve"> </w:t>
      </w:r>
      <w:r>
        <w:t>MOTIVOS</w:t>
      </w:r>
      <w:r>
        <w:rPr>
          <w:spacing w:val="70"/>
        </w:rPr>
        <w:t xml:space="preserve"> </w:t>
      </w:r>
      <w:r>
        <w:t>EXPUESTOS</w:t>
      </w:r>
      <w:r>
        <w:rPr>
          <w:spacing w:val="70"/>
        </w:rPr>
        <w:t xml:space="preserve"> </w:t>
      </w:r>
      <w:r>
        <w:t>LOS</w:t>
      </w:r>
      <w:r>
        <w:rPr>
          <w:spacing w:val="70"/>
        </w:rPr>
        <w:t xml:space="preserve"> </w:t>
      </w:r>
      <w:r>
        <w:t>DIPUTADOS</w:t>
      </w:r>
      <w:r>
        <w:rPr>
          <w:spacing w:val="70"/>
        </w:rPr>
        <w:t xml:space="preserve"> </w:t>
      </w:r>
      <w:r>
        <w:t>Y</w:t>
      </w:r>
      <w:r>
        <w:rPr>
          <w:spacing w:val="40"/>
        </w:rPr>
        <w:t xml:space="preserve"> </w:t>
      </w:r>
      <w:r>
        <w:t>DIPUTADAS</w:t>
      </w:r>
      <w:r>
        <w:rPr>
          <w:spacing w:val="70"/>
        </w:rPr>
        <w:t xml:space="preserve"> </w:t>
      </w:r>
      <w:r>
        <w:t>FIRMANTES</w:t>
      </w:r>
      <w:r>
        <w:rPr>
          <w:spacing w:val="70"/>
        </w:rPr>
        <w:t xml:space="preserve"> </w:t>
      </w:r>
      <w:r>
        <w:t>VENIMOS</w:t>
      </w:r>
      <w:r>
        <w:rPr>
          <w:spacing w:val="70"/>
        </w:rPr>
        <w:t xml:space="preserve"> </w:t>
      </w:r>
      <w:r>
        <w:t>EN PRESENTAR EL SIGUIENTE PROYECTO DE LEY:</w:t>
      </w:r>
    </w:p>
    <w:p w:rsidR="00D0099E" w:rsidRDefault="00D0099E">
      <w:pPr>
        <w:pStyle w:val="Textoindependiente"/>
        <w:spacing w:before="1"/>
        <w:rPr>
          <w:b/>
        </w:rPr>
      </w:pPr>
    </w:p>
    <w:p w:rsidR="00D0099E" w:rsidRDefault="00000000">
      <w:pPr>
        <w:pStyle w:val="Textoindependiente"/>
        <w:ind w:left="139"/>
      </w:pPr>
      <w:r>
        <w:rPr>
          <w:b/>
        </w:rPr>
        <w:t>ARTÍCULO</w:t>
      </w:r>
      <w:r>
        <w:rPr>
          <w:b/>
          <w:spacing w:val="-6"/>
        </w:rPr>
        <w:t xml:space="preserve"> </w:t>
      </w:r>
      <w:r>
        <w:rPr>
          <w:b/>
        </w:rPr>
        <w:t>ÚNICO.-</w:t>
      </w:r>
      <w:r>
        <w:rPr>
          <w:b/>
          <w:spacing w:val="-6"/>
        </w:rPr>
        <w:t xml:space="preserve"> </w:t>
      </w:r>
      <w:r>
        <w:t>Realícese</w:t>
      </w:r>
      <w:r>
        <w:rPr>
          <w:spacing w:val="-6"/>
        </w:rPr>
        <w:t xml:space="preserve"> </w:t>
      </w:r>
      <w:r>
        <w:t>las</w:t>
      </w:r>
      <w:r>
        <w:rPr>
          <w:spacing w:val="-6"/>
        </w:rPr>
        <w:t xml:space="preserve"> </w:t>
      </w:r>
      <w:r>
        <w:t>siguientes</w:t>
      </w:r>
      <w:r>
        <w:rPr>
          <w:spacing w:val="-5"/>
        </w:rPr>
        <w:t xml:space="preserve"> </w:t>
      </w:r>
      <w:r>
        <w:t>modificaciones</w:t>
      </w:r>
      <w:r>
        <w:rPr>
          <w:spacing w:val="-6"/>
        </w:rPr>
        <w:t xml:space="preserve"> </w:t>
      </w:r>
      <w:r>
        <w:t>a</w:t>
      </w:r>
      <w:r>
        <w:rPr>
          <w:spacing w:val="-7"/>
        </w:rPr>
        <w:t xml:space="preserve"> </w:t>
      </w:r>
      <w:r>
        <w:t>los</w:t>
      </w:r>
      <w:r>
        <w:rPr>
          <w:spacing w:val="-5"/>
        </w:rPr>
        <w:t xml:space="preserve"> </w:t>
      </w:r>
      <w:r>
        <w:t>cuerpos</w:t>
      </w:r>
      <w:r>
        <w:rPr>
          <w:spacing w:val="-6"/>
        </w:rPr>
        <w:t xml:space="preserve"> </w:t>
      </w:r>
      <w:r>
        <w:t>legales</w:t>
      </w:r>
      <w:r>
        <w:rPr>
          <w:spacing w:val="-6"/>
        </w:rPr>
        <w:t xml:space="preserve"> </w:t>
      </w:r>
      <w:r>
        <w:t>que</w:t>
      </w:r>
      <w:r>
        <w:rPr>
          <w:spacing w:val="-6"/>
        </w:rPr>
        <w:t xml:space="preserve"> </w:t>
      </w:r>
      <w:r>
        <w:t>se</w:t>
      </w:r>
      <w:r>
        <w:rPr>
          <w:spacing w:val="-5"/>
        </w:rPr>
        <w:t xml:space="preserve"> </w:t>
      </w:r>
      <w:r>
        <w:rPr>
          <w:spacing w:val="-2"/>
        </w:rPr>
        <w:t>indican:</w:t>
      </w:r>
    </w:p>
    <w:p w:rsidR="00D0099E" w:rsidRDefault="00D0099E">
      <w:pPr>
        <w:pStyle w:val="Textoindependiente"/>
        <w:spacing w:before="2"/>
      </w:pPr>
    </w:p>
    <w:p w:rsidR="00D0099E" w:rsidRDefault="00000000">
      <w:pPr>
        <w:pStyle w:val="Prrafodelista"/>
        <w:numPr>
          <w:ilvl w:val="0"/>
          <w:numId w:val="1"/>
        </w:numPr>
        <w:tabs>
          <w:tab w:val="left" w:pos="565"/>
        </w:tabs>
        <w:spacing w:line="237" w:lineRule="auto"/>
        <w:ind w:right="187"/>
        <w:jc w:val="both"/>
      </w:pPr>
      <w:r>
        <w:t>Agréguese</w:t>
      </w:r>
      <w:r>
        <w:rPr>
          <w:spacing w:val="-1"/>
        </w:rPr>
        <w:t xml:space="preserve"> </w:t>
      </w:r>
      <w:r>
        <w:t>el</w:t>
      </w:r>
      <w:r>
        <w:rPr>
          <w:spacing w:val="-1"/>
        </w:rPr>
        <w:t xml:space="preserve"> </w:t>
      </w:r>
      <w:r>
        <w:t>siguiente</w:t>
      </w:r>
      <w:r>
        <w:rPr>
          <w:spacing w:val="-1"/>
        </w:rPr>
        <w:t xml:space="preserve"> </w:t>
      </w:r>
      <w:r>
        <w:t>inciso</w:t>
      </w:r>
      <w:r>
        <w:rPr>
          <w:spacing w:val="-1"/>
        </w:rPr>
        <w:t xml:space="preserve"> </w:t>
      </w:r>
      <w:r>
        <w:t>final</w:t>
      </w:r>
      <w:r>
        <w:rPr>
          <w:spacing w:val="-1"/>
        </w:rPr>
        <w:t xml:space="preserve"> </w:t>
      </w:r>
      <w:r>
        <w:t>en</w:t>
      </w:r>
      <w:r>
        <w:rPr>
          <w:spacing w:val="-1"/>
        </w:rPr>
        <w:t xml:space="preserve"> </w:t>
      </w:r>
      <w:r>
        <w:t>el</w:t>
      </w:r>
      <w:r>
        <w:rPr>
          <w:spacing w:val="-1"/>
        </w:rPr>
        <w:t xml:space="preserve"> </w:t>
      </w:r>
      <w:r>
        <w:t>Artículo</w:t>
      </w:r>
      <w:r>
        <w:rPr>
          <w:spacing w:val="-1"/>
        </w:rPr>
        <w:t xml:space="preserve"> </w:t>
      </w:r>
      <w:r>
        <w:t>70°</w:t>
      </w:r>
      <w:r>
        <w:rPr>
          <w:spacing w:val="-1"/>
        </w:rPr>
        <w:t xml:space="preserve"> </w:t>
      </w:r>
      <w:r>
        <w:t>del</w:t>
      </w:r>
      <w:r>
        <w:rPr>
          <w:spacing w:val="-1"/>
        </w:rPr>
        <w:t xml:space="preserve"> </w:t>
      </w:r>
      <w:r>
        <w:t>Decreto</w:t>
      </w:r>
      <w:r>
        <w:rPr>
          <w:spacing w:val="-1"/>
        </w:rPr>
        <w:t xml:space="preserve"> </w:t>
      </w:r>
      <w:r>
        <w:t>con</w:t>
      </w:r>
      <w:r>
        <w:rPr>
          <w:spacing w:val="-1"/>
        </w:rPr>
        <w:t xml:space="preserve"> </w:t>
      </w:r>
      <w:r>
        <w:t>Fuerza</w:t>
      </w:r>
      <w:r>
        <w:rPr>
          <w:spacing w:val="-1"/>
        </w:rPr>
        <w:t xml:space="preserve"> </w:t>
      </w:r>
      <w:r>
        <w:t>de</w:t>
      </w:r>
      <w:r>
        <w:rPr>
          <w:spacing w:val="-1"/>
        </w:rPr>
        <w:t xml:space="preserve"> </w:t>
      </w:r>
      <w:r>
        <w:t>Ley</w:t>
      </w:r>
      <w:r>
        <w:rPr>
          <w:spacing w:val="-1"/>
        </w:rPr>
        <w:t xml:space="preserve"> </w:t>
      </w:r>
      <w:r>
        <w:t>N°</w:t>
      </w:r>
      <w:r>
        <w:rPr>
          <w:spacing w:val="-1"/>
        </w:rPr>
        <w:t xml:space="preserve"> </w:t>
      </w:r>
      <w:r>
        <w:t>458,</w:t>
      </w:r>
      <w:r>
        <w:rPr>
          <w:spacing w:val="-1"/>
        </w:rPr>
        <w:t xml:space="preserve"> </w:t>
      </w:r>
      <w:r>
        <w:t>de 1976 del Ministerio de Vivienda y Urbanismo, que aprueba la Nueva Ley General de Urbanismo y Construcciones, del siguiente tenor:</w:t>
      </w:r>
    </w:p>
    <w:p w:rsidR="00D0099E" w:rsidRDefault="00D0099E">
      <w:pPr>
        <w:pStyle w:val="Textoindependiente"/>
        <w:spacing w:before="2"/>
      </w:pPr>
    </w:p>
    <w:p w:rsidR="00D0099E" w:rsidRDefault="00000000">
      <w:pPr>
        <w:pStyle w:val="Textoindependiente"/>
        <w:spacing w:before="1"/>
        <w:ind w:left="565" w:right="188"/>
        <w:jc w:val="both"/>
      </w:pPr>
      <w:r>
        <w:t>“Las áreas verdes cedidas a propósito de procesos de urbanización comprendidos en este artículo podrán ser utilizadas para la realización del Plan de Manejo exigido por el Artículo 5° Ley N° 20.283, sobre Recuperación del Bosque Nativo y Fomento Forestal.”</w:t>
      </w:r>
    </w:p>
    <w:p w:rsidR="00D0099E" w:rsidRDefault="00D0099E">
      <w:pPr>
        <w:pStyle w:val="Textoindependiente"/>
      </w:pPr>
    </w:p>
    <w:p w:rsidR="00D0099E" w:rsidRDefault="00000000">
      <w:pPr>
        <w:pStyle w:val="Prrafodelista"/>
        <w:numPr>
          <w:ilvl w:val="0"/>
          <w:numId w:val="1"/>
        </w:numPr>
        <w:tabs>
          <w:tab w:val="left" w:pos="565"/>
        </w:tabs>
        <w:spacing w:before="1"/>
        <w:ind w:right="188"/>
        <w:jc w:val="both"/>
      </w:pPr>
      <w:r>
        <w:t>En el Artículo 5° de la Ley N° 20.283, sobre Recuperación del Bosque Nativo y Fomento Forestal, realícese las siguientes modificaciones:</w:t>
      </w:r>
    </w:p>
    <w:p w:rsidR="00D0099E" w:rsidRDefault="00D0099E">
      <w:pPr>
        <w:pStyle w:val="Textoindependiente"/>
      </w:pPr>
    </w:p>
    <w:p w:rsidR="00D0099E" w:rsidRDefault="00000000">
      <w:pPr>
        <w:pStyle w:val="Prrafodelista"/>
        <w:numPr>
          <w:ilvl w:val="1"/>
          <w:numId w:val="1"/>
        </w:numPr>
        <w:tabs>
          <w:tab w:val="left" w:pos="990"/>
        </w:tabs>
        <w:ind w:right="188"/>
      </w:pPr>
      <w:r>
        <w:t>Reemplácese la expresión “cualquiera sea el tipo de terreno en que éste se encuentre” por la expresión “cuando se trate de terrenos rurales”.</w:t>
      </w:r>
    </w:p>
    <w:p w:rsidR="00D0099E" w:rsidRDefault="00D0099E">
      <w:pPr>
        <w:pStyle w:val="Textoindependiente"/>
        <w:spacing w:before="1"/>
      </w:pPr>
    </w:p>
    <w:p w:rsidR="00D0099E" w:rsidRDefault="00000000">
      <w:pPr>
        <w:pStyle w:val="Prrafodelista"/>
        <w:numPr>
          <w:ilvl w:val="1"/>
          <w:numId w:val="1"/>
        </w:numPr>
        <w:tabs>
          <w:tab w:val="left" w:pos="990"/>
        </w:tabs>
        <w:ind w:right="0"/>
      </w:pPr>
      <w:r>
        <w:t>Agréguese</w:t>
      </w:r>
      <w:r>
        <w:rPr>
          <w:spacing w:val="-6"/>
        </w:rPr>
        <w:t xml:space="preserve"> </w:t>
      </w:r>
      <w:r>
        <w:t>un</w:t>
      </w:r>
      <w:r>
        <w:rPr>
          <w:spacing w:val="-6"/>
        </w:rPr>
        <w:t xml:space="preserve"> </w:t>
      </w:r>
      <w:r>
        <w:t>inciso</w:t>
      </w:r>
      <w:r>
        <w:rPr>
          <w:spacing w:val="-5"/>
        </w:rPr>
        <w:t xml:space="preserve"> </w:t>
      </w:r>
      <w:r>
        <w:t>final</w:t>
      </w:r>
      <w:r>
        <w:rPr>
          <w:spacing w:val="-6"/>
        </w:rPr>
        <w:t xml:space="preserve"> </w:t>
      </w:r>
      <w:r>
        <w:t>del</w:t>
      </w:r>
      <w:r>
        <w:rPr>
          <w:spacing w:val="-6"/>
        </w:rPr>
        <w:t xml:space="preserve"> </w:t>
      </w:r>
      <w:r>
        <w:t>siguiente</w:t>
      </w:r>
      <w:r>
        <w:rPr>
          <w:spacing w:val="-5"/>
        </w:rPr>
        <w:t xml:space="preserve"> </w:t>
      </w:r>
      <w:r>
        <w:rPr>
          <w:spacing w:val="-2"/>
        </w:rPr>
        <w:t>tenor:</w:t>
      </w:r>
    </w:p>
    <w:p w:rsidR="00D0099E" w:rsidRDefault="00D0099E">
      <w:pPr>
        <w:pStyle w:val="Textoindependiente"/>
      </w:pPr>
    </w:p>
    <w:p w:rsidR="00D0099E" w:rsidRDefault="00000000">
      <w:pPr>
        <w:pStyle w:val="Textoindependiente"/>
        <w:spacing w:before="1"/>
        <w:ind w:left="990" w:right="188"/>
        <w:jc w:val="both"/>
      </w:pPr>
      <w:r>
        <w:t>“En el caso de terrenos cuyo uso de suelo sea urbano el Plan de Manejo, previamente aprobado por la Corporación, deberá realizarse en las áreas verdes cedidas gratuitamente según lo exigido por el Artículo 70°</w:t>
      </w:r>
      <w:r>
        <w:rPr>
          <w:spacing w:val="-1"/>
        </w:rPr>
        <w:t xml:space="preserve"> </w:t>
      </w:r>
      <w:r>
        <w:t>del Decreto</w:t>
      </w:r>
      <w:r>
        <w:rPr>
          <w:spacing w:val="-1"/>
        </w:rPr>
        <w:t xml:space="preserve"> </w:t>
      </w:r>
      <w:r>
        <w:t>con Fuerza</w:t>
      </w:r>
      <w:r>
        <w:rPr>
          <w:spacing w:val="-1"/>
        </w:rPr>
        <w:t xml:space="preserve"> </w:t>
      </w:r>
      <w:r>
        <w:t>de Ley N° 458, de 1976 del Ministerio de Vivienda y Urbanismo, que aprueba la Nueva Ley General de Urbanismo y Construcciones.”</w:t>
      </w:r>
    </w:p>
    <w:p w:rsidR="00D0099E" w:rsidRDefault="00000000">
      <w:pPr>
        <w:pStyle w:val="Textoindependiente"/>
        <w:spacing w:before="265"/>
        <w:ind w:left="139" w:right="17"/>
      </w:pPr>
      <w:r>
        <w:rPr>
          <w:b/>
        </w:rPr>
        <w:t xml:space="preserve">ARTÍCULO TRANSITORIO.- </w:t>
      </w:r>
      <w:r>
        <w:t>El Ministerio de Agricultura dispondrá de tres meses desde publicada esta Ley para actualizar el reglamento de la Ley N° 20.283.</w:t>
      </w:r>
    </w:p>
    <w:p w:rsidR="00D0099E" w:rsidRDefault="00D0099E">
      <w:pPr>
        <w:pStyle w:val="Textoindependiente"/>
      </w:pPr>
    </w:p>
    <w:p w:rsidR="00D0099E" w:rsidRDefault="00000000">
      <w:pPr>
        <w:pStyle w:val="Textoindependiente"/>
        <w:spacing w:before="1"/>
        <w:ind w:left="139"/>
      </w:pPr>
      <w:r>
        <w:rPr>
          <w:noProof/>
        </w:rPr>
        <w:drawing>
          <wp:anchor distT="0" distB="0" distL="0" distR="0" simplePos="0" relativeHeight="15729664" behindDoc="0" locked="0" layoutInCell="1" allowOverlap="1">
            <wp:simplePos x="0" y="0"/>
            <wp:positionH relativeFrom="page">
              <wp:posOffset>2434588</wp:posOffset>
            </wp:positionH>
            <wp:positionV relativeFrom="paragraph">
              <wp:posOffset>97542</wp:posOffset>
            </wp:positionV>
            <wp:extent cx="2341900" cy="1187450"/>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2341900" cy="1187450"/>
                    </a:xfrm>
                    <a:prstGeom prst="rect">
                      <a:avLst/>
                    </a:prstGeom>
                  </pic:spPr>
                </pic:pic>
              </a:graphicData>
            </a:graphic>
          </wp:anchor>
        </w:drawing>
      </w:r>
      <w:r>
        <w:rPr>
          <w:spacing w:val="-2"/>
        </w:rPr>
        <w:t>Fraternalmente,</w:t>
      </w:r>
    </w:p>
    <w:p w:rsidR="00D0099E" w:rsidRDefault="00D0099E">
      <w:pPr>
        <w:pStyle w:val="Textoindependiente"/>
      </w:pPr>
    </w:p>
    <w:p w:rsidR="00D0099E" w:rsidRDefault="00D0099E">
      <w:pPr>
        <w:pStyle w:val="Textoindependiente"/>
      </w:pPr>
    </w:p>
    <w:p w:rsidR="00D0099E" w:rsidRDefault="00D0099E">
      <w:pPr>
        <w:pStyle w:val="Textoindependiente"/>
      </w:pPr>
    </w:p>
    <w:p w:rsidR="00D0099E" w:rsidRDefault="00D0099E">
      <w:pPr>
        <w:pStyle w:val="Textoindependiente"/>
      </w:pPr>
    </w:p>
    <w:p w:rsidR="00D0099E" w:rsidRDefault="00D0099E">
      <w:pPr>
        <w:pStyle w:val="Textoindependiente"/>
        <w:spacing w:before="1"/>
      </w:pPr>
    </w:p>
    <w:p w:rsidR="00D0099E" w:rsidRDefault="00000000">
      <w:pPr>
        <w:pStyle w:val="Ttulo1"/>
        <w:ind w:left="2383"/>
      </w:pPr>
      <w:r>
        <w:t>DR.</w:t>
      </w:r>
      <w:r>
        <w:rPr>
          <w:spacing w:val="-8"/>
        </w:rPr>
        <w:t xml:space="preserve"> </w:t>
      </w:r>
      <w:r>
        <w:t>TOMÁS</w:t>
      </w:r>
      <w:r>
        <w:rPr>
          <w:spacing w:val="-8"/>
        </w:rPr>
        <w:t xml:space="preserve"> </w:t>
      </w:r>
      <w:r>
        <w:t>IGNACIO</w:t>
      </w:r>
      <w:r>
        <w:rPr>
          <w:spacing w:val="-8"/>
        </w:rPr>
        <w:t xml:space="preserve"> </w:t>
      </w:r>
      <w:r>
        <w:t>LAGOMARSINO</w:t>
      </w:r>
      <w:r>
        <w:rPr>
          <w:spacing w:val="-9"/>
        </w:rPr>
        <w:t xml:space="preserve"> </w:t>
      </w:r>
      <w:r>
        <w:rPr>
          <w:spacing w:val="-2"/>
        </w:rPr>
        <w:t>GUZMÁN</w:t>
      </w:r>
    </w:p>
    <w:p w:rsidR="00D0099E" w:rsidRDefault="00000000">
      <w:pPr>
        <w:pStyle w:val="Textoindependiente"/>
        <w:ind w:left="3123"/>
      </w:pPr>
      <w:r>
        <w:t>H.</w:t>
      </w:r>
      <w:r>
        <w:rPr>
          <w:spacing w:val="-6"/>
        </w:rPr>
        <w:t xml:space="preserve"> </w:t>
      </w:r>
      <w:r>
        <w:t>DIPUTADO</w:t>
      </w:r>
      <w:r>
        <w:rPr>
          <w:spacing w:val="-5"/>
        </w:rPr>
        <w:t xml:space="preserve"> </w:t>
      </w:r>
      <w:r>
        <w:t>DE</w:t>
      </w:r>
      <w:r>
        <w:rPr>
          <w:spacing w:val="-6"/>
        </w:rPr>
        <w:t xml:space="preserve"> </w:t>
      </w:r>
      <w:r>
        <w:t>LA</w:t>
      </w:r>
      <w:r>
        <w:rPr>
          <w:spacing w:val="-5"/>
        </w:rPr>
        <w:t xml:space="preserve"> </w:t>
      </w:r>
      <w:r>
        <w:rPr>
          <w:spacing w:val="-2"/>
        </w:rPr>
        <w:t>REPÚBLICA</w:t>
      </w:r>
    </w:p>
    <w:sectPr w:rsidR="00D0099E">
      <w:pgSz w:w="12240" w:h="15840"/>
      <w:pgMar w:top="1340" w:right="1580" w:bottom="280" w:left="1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8B04A5"/>
    <w:multiLevelType w:val="hybridMultilevel"/>
    <w:tmpl w:val="D8AE06CA"/>
    <w:lvl w:ilvl="0" w:tplc="F7983B1C">
      <w:start w:val="1"/>
      <w:numFmt w:val="decimal"/>
      <w:lvlText w:val="%1."/>
      <w:lvlJc w:val="left"/>
      <w:pPr>
        <w:ind w:left="565" w:hanging="426"/>
        <w:jc w:val="left"/>
      </w:pPr>
      <w:rPr>
        <w:rFonts w:ascii="Calibri" w:eastAsia="Calibri" w:hAnsi="Calibri" w:cs="Calibri" w:hint="default"/>
        <w:b w:val="0"/>
        <w:bCs w:val="0"/>
        <w:i w:val="0"/>
        <w:iCs w:val="0"/>
        <w:spacing w:val="-1"/>
        <w:w w:val="100"/>
        <w:sz w:val="22"/>
        <w:szCs w:val="22"/>
        <w:lang w:val="es-ES" w:eastAsia="en-US" w:bidi="ar-SA"/>
      </w:rPr>
    </w:lvl>
    <w:lvl w:ilvl="1" w:tplc="30FECFE2">
      <w:start w:val="1"/>
      <w:numFmt w:val="lowerLetter"/>
      <w:lvlText w:val="%2."/>
      <w:lvlJc w:val="left"/>
      <w:pPr>
        <w:ind w:left="990" w:hanging="425"/>
        <w:jc w:val="left"/>
      </w:pPr>
      <w:rPr>
        <w:rFonts w:ascii="Calibri" w:eastAsia="Calibri" w:hAnsi="Calibri" w:cs="Calibri" w:hint="default"/>
        <w:b w:val="0"/>
        <w:bCs w:val="0"/>
        <w:i w:val="0"/>
        <w:iCs w:val="0"/>
        <w:spacing w:val="-1"/>
        <w:w w:val="100"/>
        <w:sz w:val="22"/>
        <w:szCs w:val="22"/>
        <w:lang w:val="es-ES" w:eastAsia="en-US" w:bidi="ar-SA"/>
      </w:rPr>
    </w:lvl>
    <w:lvl w:ilvl="2" w:tplc="A3EE798A">
      <w:numFmt w:val="bullet"/>
      <w:lvlText w:val="•"/>
      <w:lvlJc w:val="left"/>
      <w:pPr>
        <w:ind w:left="1900" w:hanging="425"/>
      </w:pPr>
      <w:rPr>
        <w:rFonts w:hint="default"/>
        <w:lang w:val="es-ES" w:eastAsia="en-US" w:bidi="ar-SA"/>
      </w:rPr>
    </w:lvl>
    <w:lvl w:ilvl="3" w:tplc="182CA210">
      <w:numFmt w:val="bullet"/>
      <w:lvlText w:val="•"/>
      <w:lvlJc w:val="left"/>
      <w:pPr>
        <w:ind w:left="2800" w:hanging="425"/>
      </w:pPr>
      <w:rPr>
        <w:rFonts w:hint="default"/>
        <w:lang w:val="es-ES" w:eastAsia="en-US" w:bidi="ar-SA"/>
      </w:rPr>
    </w:lvl>
    <w:lvl w:ilvl="4" w:tplc="DEA4C380">
      <w:numFmt w:val="bullet"/>
      <w:lvlText w:val="•"/>
      <w:lvlJc w:val="left"/>
      <w:pPr>
        <w:ind w:left="3700" w:hanging="425"/>
      </w:pPr>
      <w:rPr>
        <w:rFonts w:hint="default"/>
        <w:lang w:val="es-ES" w:eastAsia="en-US" w:bidi="ar-SA"/>
      </w:rPr>
    </w:lvl>
    <w:lvl w:ilvl="5" w:tplc="AF70EC2C">
      <w:numFmt w:val="bullet"/>
      <w:lvlText w:val="•"/>
      <w:lvlJc w:val="left"/>
      <w:pPr>
        <w:ind w:left="4600" w:hanging="425"/>
      </w:pPr>
      <w:rPr>
        <w:rFonts w:hint="default"/>
        <w:lang w:val="es-ES" w:eastAsia="en-US" w:bidi="ar-SA"/>
      </w:rPr>
    </w:lvl>
    <w:lvl w:ilvl="6" w:tplc="101C6CAC">
      <w:numFmt w:val="bullet"/>
      <w:lvlText w:val="•"/>
      <w:lvlJc w:val="left"/>
      <w:pPr>
        <w:ind w:left="5500" w:hanging="425"/>
      </w:pPr>
      <w:rPr>
        <w:rFonts w:hint="default"/>
        <w:lang w:val="es-ES" w:eastAsia="en-US" w:bidi="ar-SA"/>
      </w:rPr>
    </w:lvl>
    <w:lvl w:ilvl="7" w:tplc="974E0CBC">
      <w:numFmt w:val="bullet"/>
      <w:lvlText w:val="•"/>
      <w:lvlJc w:val="left"/>
      <w:pPr>
        <w:ind w:left="6400" w:hanging="425"/>
      </w:pPr>
      <w:rPr>
        <w:rFonts w:hint="default"/>
        <w:lang w:val="es-ES" w:eastAsia="en-US" w:bidi="ar-SA"/>
      </w:rPr>
    </w:lvl>
    <w:lvl w:ilvl="8" w:tplc="D7766BD6">
      <w:numFmt w:val="bullet"/>
      <w:lvlText w:val="•"/>
      <w:lvlJc w:val="left"/>
      <w:pPr>
        <w:ind w:left="7300" w:hanging="425"/>
      </w:pPr>
      <w:rPr>
        <w:rFonts w:hint="default"/>
        <w:lang w:val="es-ES" w:eastAsia="en-US" w:bidi="ar-SA"/>
      </w:rPr>
    </w:lvl>
  </w:abstractNum>
  <w:abstractNum w:abstractNumId="1" w15:restartNumberingAfterBreak="0">
    <w:nsid w:val="5DFC49B4"/>
    <w:multiLevelType w:val="hybridMultilevel"/>
    <w:tmpl w:val="838ADBC2"/>
    <w:lvl w:ilvl="0" w:tplc="4BDCC912">
      <w:start w:val="1"/>
      <w:numFmt w:val="decimal"/>
      <w:lvlText w:val="%1."/>
      <w:lvlJc w:val="left"/>
      <w:pPr>
        <w:ind w:left="565" w:hanging="426"/>
        <w:jc w:val="left"/>
      </w:pPr>
      <w:rPr>
        <w:rFonts w:ascii="Calibri" w:eastAsia="Calibri" w:hAnsi="Calibri" w:cs="Calibri" w:hint="default"/>
        <w:b w:val="0"/>
        <w:bCs w:val="0"/>
        <w:i w:val="0"/>
        <w:iCs w:val="0"/>
        <w:spacing w:val="-1"/>
        <w:w w:val="100"/>
        <w:sz w:val="22"/>
        <w:szCs w:val="22"/>
        <w:lang w:val="es-ES" w:eastAsia="en-US" w:bidi="ar-SA"/>
      </w:rPr>
    </w:lvl>
    <w:lvl w:ilvl="1" w:tplc="2D2C7452">
      <w:numFmt w:val="bullet"/>
      <w:lvlText w:val="•"/>
      <w:lvlJc w:val="left"/>
      <w:pPr>
        <w:ind w:left="1414" w:hanging="426"/>
      </w:pPr>
      <w:rPr>
        <w:rFonts w:hint="default"/>
        <w:lang w:val="es-ES" w:eastAsia="en-US" w:bidi="ar-SA"/>
      </w:rPr>
    </w:lvl>
    <w:lvl w:ilvl="2" w:tplc="007278DC">
      <w:numFmt w:val="bullet"/>
      <w:lvlText w:val="•"/>
      <w:lvlJc w:val="left"/>
      <w:pPr>
        <w:ind w:left="2268" w:hanging="426"/>
      </w:pPr>
      <w:rPr>
        <w:rFonts w:hint="default"/>
        <w:lang w:val="es-ES" w:eastAsia="en-US" w:bidi="ar-SA"/>
      </w:rPr>
    </w:lvl>
    <w:lvl w:ilvl="3" w:tplc="F424D0D2">
      <w:numFmt w:val="bullet"/>
      <w:lvlText w:val="•"/>
      <w:lvlJc w:val="left"/>
      <w:pPr>
        <w:ind w:left="3122" w:hanging="426"/>
      </w:pPr>
      <w:rPr>
        <w:rFonts w:hint="default"/>
        <w:lang w:val="es-ES" w:eastAsia="en-US" w:bidi="ar-SA"/>
      </w:rPr>
    </w:lvl>
    <w:lvl w:ilvl="4" w:tplc="AEF688D8">
      <w:numFmt w:val="bullet"/>
      <w:lvlText w:val="•"/>
      <w:lvlJc w:val="left"/>
      <w:pPr>
        <w:ind w:left="3976" w:hanging="426"/>
      </w:pPr>
      <w:rPr>
        <w:rFonts w:hint="default"/>
        <w:lang w:val="es-ES" w:eastAsia="en-US" w:bidi="ar-SA"/>
      </w:rPr>
    </w:lvl>
    <w:lvl w:ilvl="5" w:tplc="285A4C5C">
      <w:numFmt w:val="bullet"/>
      <w:lvlText w:val="•"/>
      <w:lvlJc w:val="left"/>
      <w:pPr>
        <w:ind w:left="4830" w:hanging="426"/>
      </w:pPr>
      <w:rPr>
        <w:rFonts w:hint="default"/>
        <w:lang w:val="es-ES" w:eastAsia="en-US" w:bidi="ar-SA"/>
      </w:rPr>
    </w:lvl>
    <w:lvl w:ilvl="6" w:tplc="D44A97D2">
      <w:numFmt w:val="bullet"/>
      <w:lvlText w:val="•"/>
      <w:lvlJc w:val="left"/>
      <w:pPr>
        <w:ind w:left="5684" w:hanging="426"/>
      </w:pPr>
      <w:rPr>
        <w:rFonts w:hint="default"/>
        <w:lang w:val="es-ES" w:eastAsia="en-US" w:bidi="ar-SA"/>
      </w:rPr>
    </w:lvl>
    <w:lvl w:ilvl="7" w:tplc="BE1E173A">
      <w:numFmt w:val="bullet"/>
      <w:lvlText w:val="•"/>
      <w:lvlJc w:val="left"/>
      <w:pPr>
        <w:ind w:left="6538" w:hanging="426"/>
      </w:pPr>
      <w:rPr>
        <w:rFonts w:hint="default"/>
        <w:lang w:val="es-ES" w:eastAsia="en-US" w:bidi="ar-SA"/>
      </w:rPr>
    </w:lvl>
    <w:lvl w:ilvl="8" w:tplc="58DC6770">
      <w:numFmt w:val="bullet"/>
      <w:lvlText w:val="•"/>
      <w:lvlJc w:val="left"/>
      <w:pPr>
        <w:ind w:left="7392" w:hanging="426"/>
      </w:pPr>
      <w:rPr>
        <w:rFonts w:hint="default"/>
        <w:lang w:val="es-ES" w:eastAsia="en-US" w:bidi="ar-SA"/>
      </w:rPr>
    </w:lvl>
  </w:abstractNum>
  <w:num w:numId="1" w16cid:durableId="1038896717">
    <w:abstractNumId w:val="0"/>
  </w:num>
  <w:num w:numId="2" w16cid:durableId="13933816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D0099E"/>
    <w:rsid w:val="003D2C18"/>
    <w:rsid w:val="00B33DC4"/>
    <w:rsid w:val="00D0099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A21D6A-64F5-4523-9C3E-EB2C71B93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139"/>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565" w:right="118" w:hanging="426"/>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cn.cl/historiadelaley/nc/historia-de-la-ley/5264/"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1294</Words>
  <Characters>7122</Characters>
  <Application>Microsoft Office Word</Application>
  <DocSecurity>0</DocSecurity>
  <Lines>59</Lines>
  <Paragraphs>16</Paragraphs>
  <ScaleCrop>false</ScaleCrop>
  <Company/>
  <LinksUpToDate>false</LinksUpToDate>
  <CharactersWithSpaces>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Guillermo Diaz Vallejos</cp:lastModifiedBy>
  <cp:revision>1</cp:revision>
  <dcterms:created xsi:type="dcterms:W3CDTF">2024-08-06T20:29:00Z</dcterms:created>
  <dcterms:modified xsi:type="dcterms:W3CDTF">2024-08-07T14:29:00Z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2024-08-06T00:00:00Z</vt:filetime>
  </property>
  <property fmtid="{D5CDD505-2E9C-101B-9397-08002B2CF9AE}" pid="3" name="LastSaved">
    <vt:filetime>2024-08-06T00:00:00Z</vt:filetime>
  </property>
  <property fmtid="{D5CDD505-2E9C-101B-9397-08002B2CF9AE}" pid="4" name="Producer">
    <vt:lpwstr>macOS Versión 14.5 (Compilación 23F79) Quartz PDFContext</vt:lpwstr>
  </property>
</Properties>
</file>