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0AA1" w:rsidRDefault="00000000">
      <w:pPr>
        <w:pStyle w:val="Textoindependiente"/>
        <w:spacing w:before="163" w:line="276" w:lineRule="auto"/>
        <w:ind w:left="102" w:right="215"/>
        <w:jc w:val="both"/>
      </w:pPr>
      <w:r>
        <w:rPr>
          <w:spacing w:val="-2"/>
        </w:rPr>
        <w:t>PROYECTO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LEY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5"/>
        </w:rPr>
        <w:t xml:space="preserve"> </w:t>
      </w:r>
      <w:r>
        <w:rPr>
          <w:spacing w:val="-2"/>
        </w:rPr>
        <w:t>AMPLÍA</w:t>
      </w:r>
      <w:r>
        <w:rPr>
          <w:spacing w:val="-15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CATÁLOGO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SANCIONES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rPr>
          <w:spacing w:val="-2"/>
        </w:rPr>
        <w:t xml:space="preserve">CONTRA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LOS</w:t>
      </w:r>
      <w:r>
        <w:rPr>
          <w:spacing w:val="-13"/>
        </w:rPr>
        <w:t xml:space="preserve"> </w:t>
      </w:r>
      <w:r>
        <w:rPr>
          <w:spacing w:val="-4"/>
        </w:rPr>
        <w:t>DEUDORES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>ALIMENTOS,</w:t>
      </w:r>
      <w:r>
        <w:rPr>
          <w:spacing w:val="-13"/>
        </w:rPr>
        <w:t xml:space="preserve"> </w:t>
      </w:r>
      <w:r>
        <w:rPr>
          <w:spacing w:val="-4"/>
        </w:rPr>
        <w:t>RESTRINGIENDO</w:t>
      </w:r>
      <w:r>
        <w:rPr>
          <w:spacing w:val="-13"/>
        </w:rPr>
        <w:t xml:space="preserve"> </w:t>
      </w:r>
      <w:r>
        <w:rPr>
          <w:spacing w:val="-4"/>
        </w:rPr>
        <w:t>EL</w:t>
      </w:r>
      <w:r>
        <w:rPr>
          <w:spacing w:val="-12"/>
        </w:rPr>
        <w:t xml:space="preserve"> </w:t>
      </w:r>
      <w:r>
        <w:rPr>
          <w:spacing w:val="-4"/>
        </w:rPr>
        <w:t>ACCESO</w:t>
      </w:r>
      <w:r>
        <w:rPr>
          <w:spacing w:val="1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 xml:space="preserve">ESTOS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CASINOS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JUEGOS</w:t>
      </w:r>
      <w:r>
        <w:rPr>
          <w:spacing w:val="-9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HIPÓDROMOS,</w:t>
      </w:r>
      <w:r>
        <w:rPr>
          <w:spacing w:val="-9"/>
        </w:rPr>
        <w:t xml:space="preserve"> </w:t>
      </w:r>
      <w:r>
        <w:rPr>
          <w:spacing w:val="-6"/>
        </w:rPr>
        <w:t>Y</w:t>
      </w:r>
      <w:r>
        <w:rPr>
          <w:spacing w:val="-8"/>
        </w:rPr>
        <w:t xml:space="preserve"> </w:t>
      </w:r>
      <w:r>
        <w:rPr>
          <w:spacing w:val="-6"/>
        </w:rPr>
        <w:t>ESTABLECIENDO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 xml:space="preserve">PROHIBICIÓN </w:t>
      </w:r>
      <w:r>
        <w:t>DE</w:t>
      </w:r>
      <w:r>
        <w:rPr>
          <w:spacing w:val="-2"/>
        </w:rPr>
        <w:t xml:space="preserve"> </w:t>
      </w:r>
      <w:r>
        <w:t>APOSTAR.</w:t>
      </w:r>
    </w:p>
    <w:p w:rsidR="00A40AA1" w:rsidRDefault="00A40AA1">
      <w:pPr>
        <w:pStyle w:val="Textoindependiente"/>
        <w:spacing w:before="82"/>
      </w:pPr>
    </w:p>
    <w:p w:rsidR="00A40AA1" w:rsidRDefault="00000000">
      <w:pPr>
        <w:pStyle w:val="Ttulo1"/>
        <w:numPr>
          <w:ilvl w:val="0"/>
          <w:numId w:val="4"/>
        </w:numPr>
        <w:tabs>
          <w:tab w:val="left" w:pos="1181"/>
        </w:tabs>
        <w:ind w:left="1181"/>
      </w:pPr>
      <w:r>
        <w:rPr>
          <w:spacing w:val="-2"/>
        </w:rPr>
        <w:t>ANTECEDENTES.</w:t>
      </w:r>
    </w:p>
    <w:p w:rsidR="00A40AA1" w:rsidRDefault="00A40AA1">
      <w:pPr>
        <w:pStyle w:val="Textoindependiente"/>
        <w:spacing w:before="275"/>
        <w:rPr>
          <w:b/>
        </w:rPr>
      </w:pPr>
    </w:p>
    <w:p w:rsidR="00A40AA1" w:rsidRDefault="00000000">
      <w:pPr>
        <w:spacing w:before="1" w:line="360" w:lineRule="auto"/>
        <w:ind w:left="102" w:right="115" w:firstLine="707"/>
        <w:jc w:val="both"/>
        <w:rPr>
          <w:i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Convención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Niño,</w:t>
      </w:r>
      <w:r>
        <w:rPr>
          <w:spacing w:val="-2"/>
          <w:sz w:val="24"/>
        </w:rPr>
        <w:t xml:space="preserve"> </w:t>
      </w:r>
      <w:r>
        <w:rPr>
          <w:sz w:val="24"/>
        </w:rPr>
        <w:t>establece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3°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N°2: </w:t>
      </w:r>
      <w:r>
        <w:rPr>
          <w:i/>
          <w:sz w:val="24"/>
        </w:rPr>
        <w:t>“Los Estados Partes se comprometen a asegurar al niño la protección y el cuidado 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necesarios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bienestar,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teniendo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cuenta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derechos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deberes de sus padres</w:t>
      </w:r>
      <w:r>
        <w:rPr>
          <w:i/>
          <w:sz w:val="24"/>
        </w:rPr>
        <w:t xml:space="preserve">, tutores u otras personas responsables de él ante la ley y, con ese fin, tomarán todas las medidas legislativas y administrativas adecuadas.” (Énfasis </w:t>
      </w:r>
      <w:r>
        <w:rPr>
          <w:i/>
          <w:spacing w:val="-2"/>
          <w:sz w:val="24"/>
        </w:rPr>
        <w:t>añadido)</w:t>
      </w:r>
    </w:p>
    <w:p w:rsidR="00A40AA1" w:rsidRDefault="00A40AA1">
      <w:pPr>
        <w:pStyle w:val="Textoindependiente"/>
        <w:rPr>
          <w:i/>
        </w:rPr>
      </w:pPr>
    </w:p>
    <w:p w:rsidR="00A40AA1" w:rsidRDefault="00000000">
      <w:pPr>
        <w:spacing w:line="360" w:lineRule="auto"/>
        <w:ind w:left="102" w:right="120" w:firstLine="707"/>
        <w:jc w:val="both"/>
        <w:rPr>
          <w:i/>
          <w:sz w:val="24"/>
        </w:rPr>
      </w:pPr>
      <w:r>
        <w:rPr>
          <w:i/>
          <w:sz w:val="24"/>
        </w:rPr>
        <w:t xml:space="preserve">De igual modo, el artículo 27 N°4 de dicha Convención prescribe: “Los Estados Partes tomarán </w:t>
      </w:r>
      <w:r>
        <w:rPr>
          <w:b/>
          <w:i/>
          <w:sz w:val="24"/>
        </w:rPr>
        <w:t xml:space="preserve">todas las medidas apropiadas para asegurar el pago de la pensión alimenticia por parte de los padres </w:t>
      </w:r>
      <w:r>
        <w:rPr>
          <w:i/>
          <w:sz w:val="24"/>
        </w:rPr>
        <w:t>u otras personas que tengan la responsabilidad financiera por el niño, tanto si viven en el Estado Parte como si viven en el extranjero”. (Énfasis añadido)</w:t>
      </w:r>
    </w:p>
    <w:p w:rsidR="00A40AA1" w:rsidRDefault="00000000">
      <w:pPr>
        <w:spacing w:before="275" w:line="360" w:lineRule="auto"/>
        <w:ind w:left="102" w:right="121" w:firstLine="707"/>
        <w:jc w:val="both"/>
        <w:rPr>
          <w:i/>
          <w:sz w:val="24"/>
        </w:rPr>
      </w:pP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nuestra</w:t>
      </w:r>
      <w:r>
        <w:rPr>
          <w:spacing w:val="-14"/>
          <w:sz w:val="24"/>
        </w:rPr>
        <w:t xml:space="preserve"> </w:t>
      </w:r>
      <w:r>
        <w:rPr>
          <w:sz w:val="24"/>
        </w:rPr>
        <w:t>legislación,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5"/>
          <w:sz w:val="24"/>
        </w:rPr>
        <w:t xml:space="preserve"> </w:t>
      </w:r>
      <w:r>
        <w:rPr>
          <w:sz w:val="24"/>
        </w:rPr>
        <w:t>321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Código</w:t>
      </w:r>
      <w:r>
        <w:rPr>
          <w:spacing w:val="-12"/>
          <w:sz w:val="24"/>
        </w:rPr>
        <w:t xml:space="preserve"> </w:t>
      </w:r>
      <w:r>
        <w:rPr>
          <w:sz w:val="24"/>
        </w:rPr>
        <w:t>Civil</w:t>
      </w:r>
      <w:r>
        <w:rPr>
          <w:spacing w:val="-14"/>
          <w:sz w:val="24"/>
        </w:rPr>
        <w:t xml:space="preserve"> </w:t>
      </w:r>
      <w:r>
        <w:rPr>
          <w:sz w:val="24"/>
        </w:rPr>
        <w:t>establece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listado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de las personas a las que se deben alimentos por ley, y el artículo 323 del mismo Código, precisa que: </w:t>
      </w:r>
      <w:r>
        <w:rPr>
          <w:i/>
          <w:sz w:val="24"/>
        </w:rPr>
        <w:t>“Los alimentos deben habilitar al alimentado para subsistir adecuadamente, resguardando el interés superior, la autonomía progresiva y el desarrollo integral del niño, niña y adolescente.”</w:t>
      </w:r>
    </w:p>
    <w:p w:rsidR="00A40AA1" w:rsidRDefault="00A40AA1">
      <w:pPr>
        <w:pStyle w:val="Textoindependiente"/>
        <w:spacing w:before="2"/>
        <w:rPr>
          <w:i/>
        </w:rPr>
      </w:pPr>
    </w:p>
    <w:p w:rsidR="00A40AA1" w:rsidRDefault="00000000">
      <w:pPr>
        <w:spacing w:line="360" w:lineRule="auto"/>
        <w:ind w:left="102" w:right="115" w:firstLine="707"/>
        <w:jc w:val="both"/>
        <w:rPr>
          <w:sz w:val="24"/>
        </w:rPr>
      </w:pPr>
      <w:r>
        <w:rPr>
          <w:sz w:val="24"/>
        </w:rPr>
        <w:t xml:space="preserve">Asimismo, el artículo 15 inciso segundo de la ley 21.430 Sobre Garantías y Protección Integral de los Derechos de la Niñez y Adolescencia, establece que: </w:t>
      </w:r>
      <w:r>
        <w:rPr>
          <w:i/>
          <w:sz w:val="24"/>
        </w:rPr>
        <w:t>“Todo niño, niña o adolescente tiene derecho a vivir en las condiciones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adecuadas para su desarrollo físico, mental, intelectual, ético, espiritual y social”, </w:t>
      </w:r>
      <w:r>
        <w:rPr>
          <w:sz w:val="24"/>
        </w:rPr>
        <w:t>precisando que la familia detenta la responsabilidad primordial para cumplir dicho fin.</w:t>
      </w:r>
    </w:p>
    <w:p w:rsidR="00A40AA1" w:rsidRDefault="00000000">
      <w:pPr>
        <w:pStyle w:val="Textoindependiente"/>
        <w:spacing w:before="275" w:line="360" w:lineRule="auto"/>
        <w:ind w:left="102" w:right="113" w:firstLine="707"/>
        <w:jc w:val="both"/>
      </w:pPr>
      <w:r>
        <w:t>Sin perjuicio de lo anterior, históricamente, el</w:t>
      </w:r>
      <w:r>
        <w:rPr>
          <w:spacing w:val="-1"/>
        </w:rPr>
        <w:t xml:space="preserve"> </w:t>
      </w:r>
      <w:r>
        <w:t>sistema de cobro judicial de la pensión de</w:t>
      </w:r>
      <w:r>
        <w:rPr>
          <w:spacing w:val="-3"/>
        </w:rPr>
        <w:t xml:space="preserve"> </w:t>
      </w:r>
      <w:r>
        <w:t>alimentos, ha carecido de</w:t>
      </w:r>
      <w:r>
        <w:rPr>
          <w:spacing w:val="-2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sanciones</w:t>
      </w:r>
      <w:r>
        <w:rPr>
          <w:spacing w:val="-1"/>
        </w:rPr>
        <w:t xml:space="preserve"> </w:t>
      </w:r>
      <w:r>
        <w:t>efectivas</w:t>
      </w:r>
      <w:r>
        <w:rPr>
          <w:spacing w:val="-1"/>
        </w:rPr>
        <w:t xml:space="preserve"> </w:t>
      </w:r>
      <w:r>
        <w:t>en contra de los deudores. Esto, por muchos años, propició y favoreció una cultura de incumplimiento, lo que ocasionó por muchos años, una grave vulneración en</w:t>
      </w:r>
      <w:r>
        <w:rPr>
          <w:spacing w:val="40"/>
        </w:rPr>
        <w:t xml:space="preserve"> </w:t>
      </w:r>
      <w:r>
        <w:t>los derechos de miles de Niños, Niñas y Adolescentes. En este contexto, el 18 de noviembre de 2021 se publicó la Ley 21.389 que creó el Registro Nacional de Deudores de Pensiones de Alimentos, y modificó diversos cuerpos legales para perfeccionar el sistema de pago de las pensiones de alimentos. Esta ley marcó un significativo</w:t>
      </w:r>
      <w:r>
        <w:rPr>
          <w:spacing w:val="-10"/>
        </w:rPr>
        <w:t xml:space="preserve"> </w:t>
      </w:r>
      <w:r>
        <w:t>avance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protección</w:t>
      </w:r>
      <w:r>
        <w:rPr>
          <w:spacing w:val="-7"/>
        </w:rPr>
        <w:t xml:space="preserve"> </w:t>
      </w:r>
      <w:r>
        <w:t>integral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NNA,</w:t>
      </w:r>
      <w:r>
        <w:rPr>
          <w:spacing w:val="-7"/>
        </w:rPr>
        <w:t xml:space="preserve"> </w:t>
      </w:r>
      <w:r>
        <w:t>pues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ella se</w:t>
      </w:r>
      <w:r>
        <w:rPr>
          <w:spacing w:val="-17"/>
        </w:rPr>
        <w:t xml:space="preserve"> </w:t>
      </w:r>
      <w:r>
        <w:t>dejaron</w:t>
      </w:r>
      <w:r>
        <w:rPr>
          <w:spacing w:val="-17"/>
        </w:rPr>
        <w:t xml:space="preserve"> </w:t>
      </w:r>
      <w:r>
        <w:t>atrás</w:t>
      </w:r>
      <w:r>
        <w:rPr>
          <w:spacing w:val="-16"/>
        </w:rPr>
        <w:t xml:space="preserve"> </w:t>
      </w:r>
      <w:r>
        <w:t>criterios</w:t>
      </w:r>
      <w:r>
        <w:rPr>
          <w:spacing w:val="-17"/>
        </w:rPr>
        <w:t xml:space="preserve"> </w:t>
      </w:r>
      <w:r>
        <w:t>garantistas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favor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alimentantes,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establecieron sanciones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morosidad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estos,</w:t>
      </w:r>
      <w:r>
        <w:rPr>
          <w:spacing w:val="-3"/>
        </w:rPr>
        <w:t xml:space="preserve"> </w:t>
      </w:r>
      <w:r>
        <w:t>teniendo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niño.</w:t>
      </w:r>
    </w:p>
    <w:p w:rsidR="00A40AA1" w:rsidRDefault="00A40AA1">
      <w:pPr>
        <w:spacing w:line="360" w:lineRule="auto"/>
        <w:jc w:val="both"/>
        <w:sectPr w:rsidR="00A40AA1">
          <w:headerReference w:type="default" r:id="rId7"/>
          <w:footerReference w:type="default" r:id="rId8"/>
          <w:type w:val="continuous"/>
          <w:pgSz w:w="12240" w:h="20160"/>
          <w:pgMar w:top="1320" w:right="1580" w:bottom="960" w:left="1600" w:header="187" w:footer="772" w:gutter="0"/>
          <w:pgNumType w:start="1"/>
          <w:cols w:space="720"/>
        </w:sectPr>
      </w:pPr>
    </w:p>
    <w:p w:rsidR="00A40AA1" w:rsidRDefault="00000000">
      <w:pPr>
        <w:pStyle w:val="Textoindependiente"/>
        <w:spacing w:before="82" w:line="360" w:lineRule="auto"/>
        <w:ind w:left="102" w:right="117" w:firstLine="707"/>
        <w:jc w:val="both"/>
      </w:pPr>
      <w:r>
        <w:lastRenderedPageBreak/>
        <w:t>Actualmente, quienes adeuden total o parcialmente, al menos tres mensualidades consecutivas de alimentos provisorios o definitivos, o cinco discontinuas, no podrán, entre otras importantes restricciones: inscribir en los respectivos registros la transferencia de inmuebles o vehículos motorizados, renovar sus licencias de conducir y tampoco sus pasaportes.</w:t>
      </w:r>
    </w:p>
    <w:p w:rsidR="00A40AA1" w:rsidRDefault="00A40AA1">
      <w:pPr>
        <w:pStyle w:val="Textoindependiente"/>
        <w:spacing w:before="1"/>
      </w:pPr>
    </w:p>
    <w:p w:rsidR="00A40AA1" w:rsidRDefault="00000000">
      <w:pPr>
        <w:pStyle w:val="Textoindependiente"/>
        <w:spacing w:before="1" w:line="360" w:lineRule="auto"/>
        <w:ind w:left="102" w:right="118" w:firstLine="707"/>
        <w:jc w:val="both"/>
      </w:pPr>
      <w:r>
        <w:t>En</w:t>
      </w:r>
      <w:r>
        <w:rPr>
          <w:spacing w:val="-9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contexto,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septiembre</w:t>
      </w:r>
      <w:r>
        <w:rPr>
          <w:spacing w:val="-1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publicó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21.484 sobre Responsabilidad Parental y Pago efectivo de deudas de alimentos, con el objeto de</w:t>
      </w:r>
      <w:r>
        <w:rPr>
          <w:spacing w:val="40"/>
        </w:rPr>
        <w:t xml:space="preserve"> </w:t>
      </w:r>
      <w:r>
        <w:t>fortalecer la institucionalidad vigente, estableciendo un mecanismo de pago efectivo de las pensiones de alimentos.</w:t>
      </w:r>
    </w:p>
    <w:p w:rsidR="00A40AA1" w:rsidRDefault="00A40AA1">
      <w:pPr>
        <w:pStyle w:val="Textoindependiente"/>
      </w:pPr>
    </w:p>
    <w:p w:rsidR="00A40AA1" w:rsidRDefault="00000000">
      <w:pPr>
        <w:pStyle w:val="Textoindependiente"/>
        <w:spacing w:line="357" w:lineRule="auto"/>
        <w:ind w:left="102" w:right="117" w:firstLine="707"/>
        <w:jc w:val="both"/>
      </w:pPr>
      <w:r>
        <w:t>No obstante, según cifras entregadas desde el Ministerio de la Mujer, en septiembre</w:t>
      </w:r>
      <w:r>
        <w:rPr>
          <w:spacing w:val="-3"/>
        </w:rPr>
        <w:t xml:space="preserve"> </w:t>
      </w:r>
      <w:r>
        <w:t>de 2023,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Deudores</w:t>
      </w:r>
      <w:r>
        <w:rPr>
          <w:spacing w:val="-3"/>
        </w:rPr>
        <w:t xml:space="preserve"> </w:t>
      </w:r>
      <w:r>
        <w:t>de Pensiones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Alimentos ya acumulaba 154.000 causas y 147.439 deudores inscritos, quienes adeudaban un total de más de $ 98.000 millones.</w:t>
      </w:r>
      <w:r>
        <w:rPr>
          <w:position w:val="8"/>
          <w:sz w:val="16"/>
        </w:rPr>
        <w:t>1</w:t>
      </w:r>
      <w:r>
        <w:rPr>
          <w:spacing w:val="40"/>
          <w:position w:val="8"/>
          <w:sz w:val="16"/>
        </w:rPr>
        <w:t xml:space="preserve"> </w:t>
      </w:r>
      <w:r>
        <w:t>.</w:t>
      </w:r>
    </w:p>
    <w:p w:rsidR="00A40AA1" w:rsidRDefault="00A40AA1">
      <w:pPr>
        <w:pStyle w:val="Textoindependiente"/>
        <w:spacing w:before="6"/>
      </w:pPr>
    </w:p>
    <w:p w:rsidR="00A40AA1" w:rsidRDefault="00000000">
      <w:pPr>
        <w:pStyle w:val="Textoindependiente"/>
        <w:spacing w:before="1" w:line="360" w:lineRule="auto"/>
        <w:ind w:left="102" w:right="115" w:firstLine="707"/>
        <w:jc w:val="both"/>
      </w:pPr>
      <w:r>
        <w:t>En este</w:t>
      </w:r>
      <w:r>
        <w:rPr>
          <w:spacing w:val="40"/>
        </w:rPr>
        <w:t xml:space="preserve"> </w:t>
      </w:r>
      <w:r>
        <w:t>complejo panorama, resulta necesario e indispensable fortalecer la institucionalidad vigente y</w:t>
      </w:r>
      <w:r>
        <w:rPr>
          <w:spacing w:val="40"/>
        </w:rPr>
        <w:t xml:space="preserve"> </w:t>
      </w:r>
      <w:r>
        <w:t>ampliar el catálogo de sanciones para los deudores de alimentos. Esto, con el objeto de incentivarlos a cumplir, mediante apremios y restricciones, con una obligación que legal y moralmente les corresponde.</w:t>
      </w:r>
    </w:p>
    <w:p w:rsidR="00A40AA1" w:rsidRDefault="00A40AA1">
      <w:pPr>
        <w:pStyle w:val="Textoindependiente"/>
        <w:spacing w:before="136"/>
      </w:pPr>
    </w:p>
    <w:p w:rsidR="00A40AA1" w:rsidRDefault="00000000">
      <w:pPr>
        <w:pStyle w:val="Ttulo1"/>
        <w:numPr>
          <w:ilvl w:val="0"/>
          <w:numId w:val="4"/>
        </w:numPr>
        <w:tabs>
          <w:tab w:val="left" w:pos="1181"/>
        </w:tabs>
        <w:ind w:left="1181"/>
      </w:pPr>
      <w:r>
        <w:t>IDEA</w:t>
      </w:r>
      <w:r>
        <w:rPr>
          <w:spacing w:val="-1"/>
        </w:rPr>
        <w:t xml:space="preserve"> </w:t>
      </w:r>
      <w:r>
        <w:t>MATRIZ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PROYECTO.</w:t>
      </w:r>
    </w:p>
    <w:p w:rsidR="00A40AA1" w:rsidRDefault="00A40AA1">
      <w:pPr>
        <w:pStyle w:val="Textoindependiente"/>
        <w:spacing w:before="139"/>
        <w:rPr>
          <w:b/>
        </w:rPr>
      </w:pPr>
    </w:p>
    <w:p w:rsidR="00A40AA1" w:rsidRDefault="00000000">
      <w:pPr>
        <w:pStyle w:val="Textoindependiente"/>
        <w:spacing w:line="360" w:lineRule="auto"/>
        <w:ind w:left="102" w:right="115" w:firstLine="707"/>
        <w:jc w:val="both"/>
      </w:pPr>
      <w:r>
        <w:t>Aumentar el catálogo de sanciones para las personas que posean una inscripción</w:t>
      </w:r>
      <w:r>
        <w:rPr>
          <w:spacing w:val="-11"/>
        </w:rPr>
        <w:t xml:space="preserve"> </w:t>
      </w:r>
      <w:r>
        <w:t>vigente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Deudores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Pensiones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Alimentos en</w:t>
      </w:r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deudores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alimentos.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ello,</w:t>
      </w:r>
      <w:r>
        <w:rPr>
          <w:spacing w:val="-3"/>
        </w:rPr>
        <w:t xml:space="preserve"> </w:t>
      </w:r>
      <w:r>
        <w:t>proponemos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deudores, por una parte, tengan restringido el acceso a hipódromos y a salas de juegos de casinos, y además se les prohíba apostar en dichos recintos.</w:t>
      </w:r>
    </w:p>
    <w:p w:rsidR="00A40AA1" w:rsidRDefault="00000000">
      <w:pPr>
        <w:pStyle w:val="Ttulo1"/>
        <w:numPr>
          <w:ilvl w:val="0"/>
          <w:numId w:val="4"/>
        </w:numPr>
        <w:tabs>
          <w:tab w:val="left" w:pos="1181"/>
        </w:tabs>
        <w:spacing w:before="275"/>
        <w:ind w:left="1181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LEY.</w:t>
      </w:r>
    </w:p>
    <w:p w:rsidR="00A40AA1" w:rsidRDefault="00A40AA1">
      <w:pPr>
        <w:pStyle w:val="Textoindependiente"/>
        <w:spacing w:before="137"/>
        <w:rPr>
          <w:b/>
        </w:rPr>
      </w:pPr>
    </w:p>
    <w:p w:rsidR="00A40AA1" w:rsidRDefault="00000000">
      <w:pPr>
        <w:pStyle w:val="Textoindependiente"/>
        <w:spacing w:line="362" w:lineRule="auto"/>
        <w:ind w:left="102" w:right="119"/>
        <w:jc w:val="both"/>
      </w:pPr>
      <w:r>
        <w:rPr>
          <w:b/>
          <w:u w:val="single"/>
        </w:rPr>
        <w:t>ARTÍCULO PRIMERO:</w:t>
      </w:r>
      <w:r>
        <w:rPr>
          <w:b/>
        </w:rPr>
        <w:t xml:space="preserve"> </w:t>
      </w:r>
      <w:r>
        <w:t>Modifíquese la Ley Nº 14.908 sobre Abandono de Familia y Pago de Pensiones Alimenticias, en los siguientes términos:</w:t>
      </w:r>
    </w:p>
    <w:p w:rsidR="00A40AA1" w:rsidRDefault="00000000">
      <w:pPr>
        <w:pStyle w:val="Ttulo2"/>
        <w:numPr>
          <w:ilvl w:val="0"/>
          <w:numId w:val="3"/>
        </w:numPr>
        <w:tabs>
          <w:tab w:val="left" w:pos="440"/>
        </w:tabs>
        <w:spacing w:before="271" w:line="360" w:lineRule="auto"/>
        <w:ind w:right="123" w:firstLine="0"/>
      </w:pPr>
      <w:r>
        <w:t>Incorpórese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siguiente</w:t>
      </w:r>
      <w:r>
        <w:rPr>
          <w:spacing w:val="40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t>40</w:t>
      </w:r>
      <w:r>
        <w:rPr>
          <w:spacing w:val="40"/>
        </w:rPr>
        <w:t xml:space="preserve"> </w:t>
      </w:r>
      <w:r>
        <w:t>nuevo,</w:t>
      </w:r>
      <w:r>
        <w:rPr>
          <w:spacing w:val="40"/>
        </w:rPr>
        <w:t xml:space="preserve"> </w:t>
      </w:r>
      <w:r>
        <w:t>pasando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actual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el artículo 41:</w:t>
      </w:r>
    </w:p>
    <w:p w:rsidR="00A40AA1" w:rsidRDefault="00A40AA1">
      <w:pPr>
        <w:pStyle w:val="Textoindependiente"/>
        <w:rPr>
          <w:b/>
        </w:rPr>
      </w:pPr>
    </w:p>
    <w:p w:rsidR="00A40AA1" w:rsidRDefault="00000000">
      <w:pPr>
        <w:pStyle w:val="Textoindependiente"/>
        <w:spacing w:line="360" w:lineRule="auto"/>
        <w:ind w:left="102" w:right="116"/>
        <w:jc w:val="both"/>
      </w:pPr>
      <w:r>
        <w:t>Artículo 40: Prohibiciones de acceso a recintos de apuestas. Las personas que posean una inscripción vigente en el</w:t>
      </w:r>
      <w:r>
        <w:rPr>
          <w:spacing w:val="-1"/>
        </w:rPr>
        <w:t xml:space="preserve"> </w:t>
      </w:r>
      <w:r>
        <w:t>Registro Nacional</w:t>
      </w:r>
      <w:r>
        <w:rPr>
          <w:spacing w:val="-3"/>
        </w:rPr>
        <w:t xml:space="preserve"> </w:t>
      </w:r>
      <w:r>
        <w:t>de Deudores</w:t>
      </w:r>
      <w:r>
        <w:rPr>
          <w:spacing w:val="-1"/>
        </w:rPr>
        <w:t xml:space="preserve"> </w:t>
      </w:r>
      <w:r>
        <w:t>de Pensiones de Alimentos en calidad de deudores de alimentos, tendrán prohibido el ingreso a salas de juegos de casinos y a hipódromos.</w:t>
      </w:r>
    </w:p>
    <w:p w:rsidR="00A40AA1" w:rsidRDefault="00A40AA1">
      <w:pPr>
        <w:pStyle w:val="Textoindependiente"/>
        <w:rPr>
          <w:sz w:val="20"/>
        </w:rPr>
      </w:pPr>
    </w:p>
    <w:p w:rsidR="00A40AA1" w:rsidRDefault="00A40AA1">
      <w:pPr>
        <w:pStyle w:val="Textoindependiente"/>
        <w:rPr>
          <w:sz w:val="20"/>
        </w:rPr>
      </w:pPr>
    </w:p>
    <w:p w:rsidR="00A40AA1" w:rsidRDefault="00000000">
      <w:pPr>
        <w:pStyle w:val="Textoindependiente"/>
        <w:spacing w:before="2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298150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B51A1" id="Graphic 3" o:spid="_x0000_s1026" style="position:absolute;margin-left:85.1pt;margin-top:23.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pGXcZ3wAAAAkBAAAPAAAAZHJzL2Rvd25yZXYueG1sTI/LTsMwEEX3&#10;SPyDNUhsEHVICg0hTlUFsaAIAQWxduMhjojtYLut+XuGFezmao7uo14mM7I9+jA4K+BilgFD2zk1&#10;2F7A2+vdeQksRGmVHJ1FAd8YYNkcH9WyUu5gX3C/iT0jExsqKUDHOFWch06jkWHmJrT0+3DeyEjS&#10;91x5eSBzM/I8y664kYOlBC0nbDV2n5udEdCmtLp9utfd2RqfH9+La98WXw9CnJ6k1Q2wiCn+wfBb&#10;n6pDQ522bmdVYCPpRZYTKmC+oE0EzC/LAtiWjjIH3tT8/4LmBwAA//8DAFBLAQItABQABgAIAAAA&#10;IQC2gziS/gAAAOEBAAATAAAAAAAAAAAAAAAAAAAAAABbQ29udGVudF9UeXBlc10ueG1sUEsBAi0A&#10;FAAGAAgAAAAhADj9If/WAAAAlAEAAAsAAAAAAAAAAAAAAAAALwEAAF9yZWxzLy5yZWxzUEsBAi0A&#10;FAAGAAgAAAAhAEkbCj4dAgAAvQQAAA4AAAAAAAAAAAAAAAAALgIAAGRycy9lMm9Eb2MueG1sUEsB&#10;Ai0AFAAGAAgAAAAhACkZdxnfAAAACQEAAA8AAAAAAAAAAAAAAAAAdwQAAGRycy9kb3ducmV2Lnht&#10;bFBLBQYAAAAABAAEAPMAAACD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40AA1" w:rsidRDefault="00000000">
      <w:pPr>
        <w:spacing w:before="99"/>
        <w:ind w:left="102" w:right="633"/>
        <w:rPr>
          <w:rFonts w:ascii="Times New Roman" w:hAnsi="Times New Roman"/>
          <w:sz w:val="18"/>
        </w:rPr>
      </w:pPr>
      <w:r>
        <w:rPr>
          <w:rFonts w:ascii="Times New Roman" w:hAnsi="Times New Roman"/>
          <w:position w:val="6"/>
          <w:sz w:val="12"/>
        </w:rPr>
        <w:t>1</w:t>
      </w:r>
      <w:r>
        <w:rPr>
          <w:rFonts w:ascii="Times New Roman" w:hAnsi="Times New Roman"/>
          <w:spacing w:val="6"/>
          <w:position w:val="6"/>
          <w:sz w:val="12"/>
        </w:rPr>
        <w:t xml:space="preserve"> </w:t>
      </w:r>
      <w:r>
        <w:rPr>
          <w:rFonts w:ascii="Times New Roman" w:hAnsi="Times New Roman"/>
          <w:sz w:val="18"/>
        </w:rPr>
        <w:t>Información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disponible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en</w:t>
      </w:r>
      <w:r>
        <w:rPr>
          <w:rFonts w:ascii="Times New Roman" w:hAnsi="Times New Roman"/>
          <w:spacing w:val="-8"/>
          <w:sz w:val="18"/>
        </w:rPr>
        <w:t xml:space="preserve"> </w:t>
      </w:r>
      <w:hyperlink r:id="rId9">
        <w:r>
          <w:rPr>
            <w:rFonts w:ascii="Times New Roman" w:hAnsi="Times New Roman"/>
            <w:color w:val="467885"/>
            <w:sz w:val="18"/>
            <w:u w:val="single" w:color="467885"/>
          </w:rPr>
          <w:t>https://www.df.cl/economia-y-politica/laboral-personas/pension-de-alimentos-registro-</w:t>
        </w:r>
      </w:hyperlink>
      <w:r>
        <w:rPr>
          <w:rFonts w:ascii="Times New Roman" w:hAnsi="Times New Roman"/>
          <w:color w:val="467885"/>
          <w:sz w:val="18"/>
        </w:rPr>
        <w:t xml:space="preserve"> </w:t>
      </w:r>
      <w:hyperlink r:id="rId10">
        <w:r>
          <w:rPr>
            <w:rFonts w:ascii="Times New Roman" w:hAnsi="Times New Roman"/>
            <w:color w:val="467885"/>
            <w:spacing w:val="-2"/>
            <w:sz w:val="18"/>
            <w:u w:val="single" w:color="467885"/>
          </w:rPr>
          <w:t>nacional-ya-cuenta-con-mas-de-147-mil</w:t>
        </w:r>
      </w:hyperlink>
    </w:p>
    <w:p w:rsidR="00A40AA1" w:rsidRDefault="00A40AA1">
      <w:pPr>
        <w:rPr>
          <w:rFonts w:ascii="Times New Roman" w:hAnsi="Times New Roman"/>
          <w:sz w:val="18"/>
        </w:rPr>
        <w:sectPr w:rsidR="00A40AA1">
          <w:pgSz w:w="12240" w:h="20160"/>
          <w:pgMar w:top="1320" w:right="1580" w:bottom="960" w:left="1600" w:header="187" w:footer="772" w:gutter="0"/>
          <w:cols w:space="720"/>
        </w:sectPr>
      </w:pPr>
    </w:p>
    <w:p w:rsidR="00A40AA1" w:rsidRDefault="00000000">
      <w:pPr>
        <w:pStyle w:val="Ttulo2"/>
        <w:numPr>
          <w:ilvl w:val="0"/>
          <w:numId w:val="3"/>
        </w:numPr>
        <w:tabs>
          <w:tab w:val="left" w:pos="394"/>
        </w:tabs>
        <w:spacing w:before="82"/>
        <w:ind w:left="394" w:hanging="292"/>
      </w:pPr>
      <w:r>
        <w:lastRenderedPageBreak/>
        <w:t>Incorpórese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rPr>
          <w:spacing w:val="-2"/>
        </w:rPr>
        <w:t>nuevo:</w:t>
      </w:r>
    </w:p>
    <w:p w:rsidR="00A40AA1" w:rsidRDefault="00A40AA1">
      <w:pPr>
        <w:pStyle w:val="Textoindependiente"/>
        <w:spacing w:before="139"/>
        <w:rPr>
          <w:b/>
        </w:rPr>
      </w:pPr>
    </w:p>
    <w:p w:rsidR="00A40AA1" w:rsidRDefault="00000000">
      <w:pPr>
        <w:pStyle w:val="Textoindependiente"/>
        <w:spacing w:line="360" w:lineRule="auto"/>
        <w:ind w:left="102" w:right="122"/>
        <w:jc w:val="both"/>
      </w:pPr>
      <w:r>
        <w:t>Artículo 40 Bis: Prohibición de apostar. Las personas que posean una inscripción vigente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Nacional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Deudores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Pensiones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Alimentos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calidad de</w:t>
      </w:r>
      <w:r>
        <w:rPr>
          <w:spacing w:val="-12"/>
        </w:rPr>
        <w:t xml:space="preserve"> </w:t>
      </w:r>
      <w:r>
        <w:t>deudores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alimentos,</w:t>
      </w:r>
      <w:r>
        <w:rPr>
          <w:spacing w:val="-12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podrán,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sí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interpósita</w:t>
      </w:r>
      <w:r>
        <w:rPr>
          <w:spacing w:val="-12"/>
        </w:rPr>
        <w:t xml:space="preserve"> </w:t>
      </w:r>
      <w:r>
        <w:t>persona,</w:t>
      </w:r>
      <w:r>
        <w:rPr>
          <w:spacing w:val="-12"/>
        </w:rPr>
        <w:t xml:space="preserve"> </w:t>
      </w:r>
      <w:r>
        <w:t>efectuar</w:t>
      </w:r>
      <w:r>
        <w:rPr>
          <w:spacing w:val="-13"/>
        </w:rPr>
        <w:t xml:space="preserve"> </w:t>
      </w:r>
      <w:r>
        <w:t>bajo circunstancia alguna ningún tipo de apuestas en los juegos de azar desarrollados en casinos de juegos o en hipódromos.</w:t>
      </w:r>
    </w:p>
    <w:p w:rsidR="00A40AA1" w:rsidRDefault="00000000">
      <w:pPr>
        <w:spacing w:before="275" w:line="360" w:lineRule="auto"/>
        <w:ind w:left="102" w:right="122"/>
        <w:jc w:val="both"/>
        <w:rPr>
          <w:sz w:val="24"/>
        </w:rPr>
      </w:pPr>
      <w:r>
        <w:rPr>
          <w:b/>
          <w:sz w:val="24"/>
          <w:u w:val="single"/>
        </w:rPr>
        <w:t>ARTÍCULO SEGUNDO:</w:t>
      </w:r>
      <w:r>
        <w:rPr>
          <w:b/>
          <w:sz w:val="24"/>
        </w:rPr>
        <w:t xml:space="preserve"> </w:t>
      </w:r>
      <w:r>
        <w:rPr>
          <w:sz w:val="24"/>
        </w:rPr>
        <w:t>Modifíquese la Ley 4566 General de Hipódromos, en el siguiente sentido:</w:t>
      </w:r>
    </w:p>
    <w:p w:rsidR="00A40AA1" w:rsidRDefault="00A40AA1">
      <w:pPr>
        <w:pStyle w:val="Textoindependiente"/>
      </w:pPr>
    </w:p>
    <w:p w:rsidR="00A40AA1" w:rsidRDefault="00000000">
      <w:pPr>
        <w:pStyle w:val="Ttulo2"/>
        <w:numPr>
          <w:ilvl w:val="0"/>
          <w:numId w:val="2"/>
        </w:numPr>
        <w:tabs>
          <w:tab w:val="left" w:pos="413"/>
        </w:tabs>
        <w:spacing w:before="1" w:line="362" w:lineRule="auto"/>
        <w:ind w:right="118" w:firstLine="0"/>
      </w:pPr>
      <w:r>
        <w:t>Incorpórese</w:t>
      </w:r>
      <w:r>
        <w:rPr>
          <w:spacing w:val="29"/>
        </w:rPr>
        <w:t xml:space="preserve"> </w:t>
      </w:r>
      <w:r>
        <w:t>en el</w:t>
      </w:r>
      <w:r>
        <w:rPr>
          <w:spacing w:val="26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1.o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Ley</w:t>
      </w:r>
      <w:r>
        <w:rPr>
          <w:spacing w:val="29"/>
        </w:rPr>
        <w:t xml:space="preserve"> </w:t>
      </w:r>
      <w:r>
        <w:t>4566</w:t>
      </w:r>
      <w:r>
        <w:rPr>
          <w:spacing w:val="33"/>
        </w:rPr>
        <w:t xml:space="preserve"> </w:t>
      </w:r>
      <w:r>
        <w:t>General</w:t>
      </w:r>
      <w:r>
        <w:rPr>
          <w:spacing w:val="29"/>
        </w:rPr>
        <w:t xml:space="preserve"> </w:t>
      </w:r>
      <w:r>
        <w:t>de Hipódromos,</w:t>
      </w:r>
      <w:r>
        <w:rPr>
          <w:spacing w:val="28"/>
        </w:rPr>
        <w:t xml:space="preserve"> </w:t>
      </w:r>
      <w:r>
        <w:t>el siguiente inciso final nuevo:</w:t>
      </w:r>
    </w:p>
    <w:p w:rsidR="00A40AA1" w:rsidRDefault="00000000">
      <w:pPr>
        <w:pStyle w:val="Textoindependiente"/>
        <w:spacing w:before="271" w:line="360" w:lineRule="auto"/>
        <w:ind w:left="102" w:right="116"/>
        <w:jc w:val="both"/>
      </w:pPr>
      <w:r>
        <w:t>Con</w:t>
      </w:r>
      <w:r>
        <w:rPr>
          <w:spacing w:val="-3"/>
        </w:rPr>
        <w:t xml:space="preserve"> </w:t>
      </w:r>
      <w:r>
        <w:t>todo,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posean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Nacional de Deudores de Pensiones de Alimentos en calidad de deudores de alimentos, no podrán</w:t>
      </w:r>
      <w:r>
        <w:rPr>
          <w:spacing w:val="-2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admitidos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apuestas</w:t>
      </w:r>
      <w:r>
        <w:rPr>
          <w:spacing w:val="-4"/>
        </w:rPr>
        <w:t xml:space="preserve"> </w:t>
      </w:r>
      <w:r>
        <w:t>mutuas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rPr>
          <w:spacing w:val="-4"/>
        </w:rPr>
        <w:t>ley.</w:t>
      </w:r>
    </w:p>
    <w:p w:rsidR="00A40AA1" w:rsidRDefault="00A40AA1">
      <w:pPr>
        <w:pStyle w:val="Textoindependiente"/>
        <w:spacing w:before="1"/>
      </w:pPr>
    </w:p>
    <w:p w:rsidR="00A40AA1" w:rsidRDefault="00000000">
      <w:pPr>
        <w:pStyle w:val="Ttulo2"/>
        <w:numPr>
          <w:ilvl w:val="0"/>
          <w:numId w:val="2"/>
        </w:numPr>
        <w:tabs>
          <w:tab w:val="left" w:pos="394"/>
        </w:tabs>
        <w:ind w:left="394" w:hanging="292"/>
      </w:pPr>
      <w:r>
        <w:t>Incorpórese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artículo 5.o</w:t>
      </w:r>
      <w:r>
        <w:rPr>
          <w:spacing w:val="-4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rPr>
          <w:spacing w:val="-2"/>
        </w:rPr>
        <w:t>nuevo:</w:t>
      </w:r>
    </w:p>
    <w:p w:rsidR="00A40AA1" w:rsidRDefault="00A40AA1">
      <w:pPr>
        <w:pStyle w:val="Textoindependiente"/>
        <w:spacing w:before="137"/>
        <w:rPr>
          <w:b/>
        </w:rPr>
      </w:pPr>
    </w:p>
    <w:p w:rsidR="00A40AA1" w:rsidRDefault="00000000">
      <w:pPr>
        <w:pStyle w:val="Textoindependiente"/>
        <w:spacing w:line="360" w:lineRule="auto"/>
        <w:ind w:left="102" w:right="125"/>
        <w:jc w:val="both"/>
      </w:pPr>
      <w:r>
        <w:t>Art.5.o Bis: Prohíbase el ingreso a los lugares señalados en el artículo anterior, a las personas que posean una inscripción vigente en el Registro Nacional de Deudores de Pensiones de Alimentos en calidad de deudores.</w:t>
      </w:r>
    </w:p>
    <w:p w:rsidR="00A40AA1" w:rsidRDefault="00A40AA1">
      <w:pPr>
        <w:pStyle w:val="Textoindependiente"/>
        <w:spacing w:before="1"/>
      </w:pPr>
    </w:p>
    <w:p w:rsidR="00A40AA1" w:rsidRDefault="00000000">
      <w:pPr>
        <w:pStyle w:val="Textoindependiente"/>
        <w:spacing w:before="1" w:line="360" w:lineRule="auto"/>
        <w:ind w:left="102" w:right="121"/>
        <w:jc w:val="both"/>
      </w:pPr>
      <w:r>
        <w:rPr>
          <w:b/>
          <w:u w:val="single"/>
        </w:rPr>
        <w:t>ARTÍCULO TERCERO</w:t>
      </w:r>
      <w:r>
        <w:rPr>
          <w:u w:val="single"/>
        </w:rPr>
        <w:t>:</w:t>
      </w:r>
      <w:r>
        <w:t xml:space="preserve"> Modifíquese la ley N°19.995, que establece las bases generales para la</w:t>
      </w:r>
      <w:r>
        <w:rPr>
          <w:spacing w:val="-2"/>
        </w:rPr>
        <w:t xml:space="preserve"> </w:t>
      </w:r>
      <w:r>
        <w:t>autorización, funcionamiento y fiscalización</w:t>
      </w:r>
      <w:r>
        <w:rPr>
          <w:spacing w:val="-2"/>
        </w:rPr>
        <w:t xml:space="preserve"> </w:t>
      </w:r>
      <w:r>
        <w:t>de casinos de juego, en el siguiente sentido:</w:t>
      </w:r>
    </w:p>
    <w:p w:rsidR="00A40AA1" w:rsidRDefault="00000000">
      <w:pPr>
        <w:pStyle w:val="Ttulo2"/>
        <w:numPr>
          <w:ilvl w:val="0"/>
          <w:numId w:val="1"/>
        </w:numPr>
        <w:tabs>
          <w:tab w:val="left" w:pos="374"/>
        </w:tabs>
        <w:spacing w:before="275"/>
        <w:ind w:left="374" w:hanging="272"/>
      </w:pPr>
      <w:r>
        <w:t>Incorpórese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inciso</w:t>
      </w:r>
      <w:r>
        <w:rPr>
          <w:spacing w:val="-10"/>
        </w:rPr>
        <w:t xml:space="preserve"> </w:t>
      </w:r>
      <w:r>
        <w:t>primero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9°,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literal</w:t>
      </w:r>
      <w:r>
        <w:rPr>
          <w:spacing w:val="-9"/>
        </w:rPr>
        <w:t xml:space="preserve"> </w:t>
      </w:r>
      <w:r>
        <w:t>g)</w:t>
      </w:r>
      <w:r>
        <w:rPr>
          <w:spacing w:val="-10"/>
        </w:rPr>
        <w:t xml:space="preserve"> </w:t>
      </w:r>
      <w:r>
        <w:rPr>
          <w:spacing w:val="-2"/>
        </w:rPr>
        <w:t>nuevo:</w:t>
      </w:r>
    </w:p>
    <w:p w:rsidR="00A40AA1" w:rsidRDefault="00A40AA1">
      <w:pPr>
        <w:pStyle w:val="Textoindependiente"/>
        <w:spacing w:before="139"/>
        <w:rPr>
          <w:b/>
        </w:rPr>
      </w:pPr>
    </w:p>
    <w:p w:rsidR="00A40AA1" w:rsidRDefault="00000000">
      <w:pPr>
        <w:pStyle w:val="Textoindependiente"/>
        <w:spacing w:line="360" w:lineRule="auto"/>
        <w:ind w:left="102"/>
      </w:pPr>
      <w:r>
        <w:t>g)</w:t>
      </w:r>
      <w:r>
        <w:rPr>
          <w:spacing w:val="30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personas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posean</w:t>
      </w:r>
      <w:r>
        <w:rPr>
          <w:spacing w:val="30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inscripción</w:t>
      </w:r>
      <w:r>
        <w:rPr>
          <w:spacing w:val="30"/>
        </w:rPr>
        <w:t xml:space="preserve"> </w:t>
      </w:r>
      <w:r>
        <w:t>vigente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Registro</w:t>
      </w:r>
      <w:r>
        <w:rPr>
          <w:spacing w:val="30"/>
        </w:rPr>
        <w:t xml:space="preserve"> </w:t>
      </w:r>
      <w:r>
        <w:t>Nacional</w:t>
      </w:r>
      <w:r>
        <w:rPr>
          <w:spacing w:val="27"/>
        </w:rPr>
        <w:t xml:space="preserve"> </w:t>
      </w:r>
      <w:r>
        <w:t>de deudores de pensiones de alimentos, en calidad de deudor de alimentos.</w:t>
      </w:r>
    </w:p>
    <w:p w:rsidR="00A40AA1" w:rsidRDefault="00000000">
      <w:pPr>
        <w:pStyle w:val="Ttulo2"/>
        <w:numPr>
          <w:ilvl w:val="0"/>
          <w:numId w:val="1"/>
        </w:numPr>
        <w:tabs>
          <w:tab w:val="left" w:pos="444"/>
        </w:tabs>
        <w:spacing w:before="273" w:line="362" w:lineRule="auto"/>
        <w:ind w:left="102" w:right="115" w:firstLine="0"/>
      </w:pPr>
      <w:r>
        <w:t>Incorpórese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inciso</w:t>
      </w:r>
      <w:r>
        <w:rPr>
          <w:spacing w:val="40"/>
        </w:rPr>
        <w:t xml:space="preserve"> </w:t>
      </w:r>
      <w:r>
        <w:t>primero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t>10°,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siguiente</w:t>
      </w:r>
      <w:r>
        <w:rPr>
          <w:spacing w:val="40"/>
        </w:rPr>
        <w:t xml:space="preserve"> </w:t>
      </w:r>
      <w:r>
        <w:t>literal</w:t>
      </w:r>
      <w:r>
        <w:rPr>
          <w:spacing w:val="40"/>
        </w:rPr>
        <w:t xml:space="preserve"> </w:t>
      </w:r>
      <w:r>
        <w:t xml:space="preserve">d) </w:t>
      </w:r>
      <w:r>
        <w:rPr>
          <w:spacing w:val="-2"/>
        </w:rPr>
        <w:t>nuevo:</w:t>
      </w:r>
    </w:p>
    <w:p w:rsidR="00A40AA1" w:rsidRDefault="00000000">
      <w:pPr>
        <w:pStyle w:val="Textoindependiente"/>
        <w:spacing w:before="272" w:line="360" w:lineRule="auto"/>
        <w:ind w:left="102" w:right="124"/>
        <w:jc w:val="both"/>
      </w:pPr>
      <w:r>
        <w:t>“d) Las personas que posean una inscripción vigente en el Registro Nacional de deudores de pensiones de alimentos, en calidad de deudor de alimentos.”</w:t>
      </w:r>
    </w:p>
    <w:sectPr w:rsidR="00A40AA1">
      <w:pgSz w:w="12240" w:h="20160"/>
      <w:pgMar w:top="1320" w:right="1580" w:bottom="960" w:left="1600" w:header="187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1C46" w:rsidRDefault="00011C46">
      <w:r>
        <w:separator/>
      </w:r>
    </w:p>
  </w:endnote>
  <w:endnote w:type="continuationSeparator" w:id="0">
    <w:p w:rsidR="00011C46" w:rsidRDefault="0001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0AA1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>
              <wp:simplePos x="0" y="0"/>
              <wp:positionH relativeFrom="page">
                <wp:posOffset>6578854</wp:posOffset>
              </wp:positionH>
              <wp:positionV relativeFrom="page">
                <wp:posOffset>12171510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0AA1" w:rsidRDefault="00000000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8pt;margin-top:958.4pt;width:13pt;height:15.3pt;z-index:-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JfmJ0TfAAAA&#10;DwEAAA8AAABkcnMvZG93bnJldi54bWxMT8tOwzAQvCPxD9YicaN2S2VoiFNVCE5IiDQcODqxm1iN&#10;1yF22/D3bE5w23lodibfTr5nZztGF1DBciGAWWyCcdgq+Kxe7x6BxaTR6D6gVfBjI2yL66tcZyZc&#10;sLTnfWoZhWDMtIIupSHjPDad9TouwmCRtEMYvU4Ex5abUV8o3Pd8JYTkXjukD50e7HNnm+P+5BXs&#10;vrB8cd/v9Ud5KF1VbQS+yaNStzfT7glYslP6M8Ncn6pDQZ3qcEITWU9Y3Esak+jaLCWtmD1Croir&#10;Z279sAZe5Pz/juIXAAD//wMAUEsBAi0AFAAGAAgAAAAhALaDOJL+AAAA4QEAABMAAAAAAAAAAAAA&#10;AAAAAAAAAFtDb250ZW50X1R5cGVzXS54bWxQSwECLQAUAAYACAAAACEAOP0h/9YAAACUAQAACwAA&#10;AAAAAAAAAAAAAAAvAQAAX3JlbHMvLnJlbHNQSwECLQAUAAYACAAAACEAueIiBJIBAAAaAwAADgAA&#10;AAAAAAAAAAAAAAAuAgAAZHJzL2Uyb0RvYy54bWxQSwECLQAUAAYACAAAACEAl+YnRN8AAAAPAQAA&#10;DwAAAAAAAAAAAAAAAADsAwAAZHJzL2Rvd25yZXYueG1sUEsFBgAAAAAEAAQA8wAAAPgEAAAAAA==&#10;" filled="f" stroked="f">
              <v:textbox inset="0,0,0,0">
                <w:txbxContent>
                  <w:p w:rsidR="00A40AA1" w:rsidRDefault="00000000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1C46" w:rsidRDefault="00011C46">
      <w:r>
        <w:separator/>
      </w:r>
    </w:p>
  </w:footnote>
  <w:footnote w:type="continuationSeparator" w:id="0">
    <w:p w:rsidR="00011C46" w:rsidRDefault="0001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0AA1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5104" behindDoc="1" locked="0" layoutInCell="1" allowOverlap="1">
          <wp:simplePos x="0" y="0"/>
          <wp:positionH relativeFrom="page">
            <wp:posOffset>184150</wp:posOffset>
          </wp:positionH>
          <wp:positionV relativeFrom="page">
            <wp:posOffset>118770</wp:posOffset>
          </wp:positionV>
          <wp:extent cx="704850" cy="6975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6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B6BDF"/>
    <w:multiLevelType w:val="hybridMultilevel"/>
    <w:tmpl w:val="3F2492EA"/>
    <w:lvl w:ilvl="0" w:tplc="A2B20866">
      <w:start w:val="1"/>
      <w:numFmt w:val="lowerLetter"/>
      <w:lvlText w:val="%1)"/>
      <w:lvlJc w:val="left"/>
      <w:pPr>
        <w:ind w:left="375" w:hanging="27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15CB2C6">
      <w:numFmt w:val="bullet"/>
      <w:lvlText w:val="•"/>
      <w:lvlJc w:val="left"/>
      <w:pPr>
        <w:ind w:left="1248" w:hanging="274"/>
      </w:pPr>
      <w:rPr>
        <w:rFonts w:hint="default"/>
        <w:lang w:val="es-ES" w:eastAsia="en-US" w:bidi="ar-SA"/>
      </w:rPr>
    </w:lvl>
    <w:lvl w:ilvl="2" w:tplc="E6DE6816">
      <w:numFmt w:val="bullet"/>
      <w:lvlText w:val="•"/>
      <w:lvlJc w:val="left"/>
      <w:pPr>
        <w:ind w:left="2116" w:hanging="274"/>
      </w:pPr>
      <w:rPr>
        <w:rFonts w:hint="default"/>
        <w:lang w:val="es-ES" w:eastAsia="en-US" w:bidi="ar-SA"/>
      </w:rPr>
    </w:lvl>
    <w:lvl w:ilvl="3" w:tplc="6C487792">
      <w:numFmt w:val="bullet"/>
      <w:lvlText w:val="•"/>
      <w:lvlJc w:val="left"/>
      <w:pPr>
        <w:ind w:left="2984" w:hanging="274"/>
      </w:pPr>
      <w:rPr>
        <w:rFonts w:hint="default"/>
        <w:lang w:val="es-ES" w:eastAsia="en-US" w:bidi="ar-SA"/>
      </w:rPr>
    </w:lvl>
    <w:lvl w:ilvl="4" w:tplc="A4749616">
      <w:numFmt w:val="bullet"/>
      <w:lvlText w:val="•"/>
      <w:lvlJc w:val="left"/>
      <w:pPr>
        <w:ind w:left="3852" w:hanging="274"/>
      </w:pPr>
      <w:rPr>
        <w:rFonts w:hint="default"/>
        <w:lang w:val="es-ES" w:eastAsia="en-US" w:bidi="ar-SA"/>
      </w:rPr>
    </w:lvl>
    <w:lvl w:ilvl="5" w:tplc="3196BE06">
      <w:numFmt w:val="bullet"/>
      <w:lvlText w:val="•"/>
      <w:lvlJc w:val="left"/>
      <w:pPr>
        <w:ind w:left="4720" w:hanging="274"/>
      </w:pPr>
      <w:rPr>
        <w:rFonts w:hint="default"/>
        <w:lang w:val="es-ES" w:eastAsia="en-US" w:bidi="ar-SA"/>
      </w:rPr>
    </w:lvl>
    <w:lvl w:ilvl="6" w:tplc="80E09A0E">
      <w:numFmt w:val="bullet"/>
      <w:lvlText w:val="•"/>
      <w:lvlJc w:val="left"/>
      <w:pPr>
        <w:ind w:left="5588" w:hanging="274"/>
      </w:pPr>
      <w:rPr>
        <w:rFonts w:hint="default"/>
        <w:lang w:val="es-ES" w:eastAsia="en-US" w:bidi="ar-SA"/>
      </w:rPr>
    </w:lvl>
    <w:lvl w:ilvl="7" w:tplc="ACE2E056">
      <w:numFmt w:val="bullet"/>
      <w:lvlText w:val="•"/>
      <w:lvlJc w:val="left"/>
      <w:pPr>
        <w:ind w:left="6456" w:hanging="274"/>
      </w:pPr>
      <w:rPr>
        <w:rFonts w:hint="default"/>
        <w:lang w:val="es-ES" w:eastAsia="en-US" w:bidi="ar-SA"/>
      </w:rPr>
    </w:lvl>
    <w:lvl w:ilvl="8" w:tplc="FCE212E0">
      <w:numFmt w:val="bullet"/>
      <w:lvlText w:val="•"/>
      <w:lvlJc w:val="left"/>
      <w:pPr>
        <w:ind w:left="7324" w:hanging="274"/>
      </w:pPr>
      <w:rPr>
        <w:rFonts w:hint="default"/>
        <w:lang w:val="es-ES" w:eastAsia="en-US" w:bidi="ar-SA"/>
      </w:rPr>
    </w:lvl>
  </w:abstractNum>
  <w:abstractNum w:abstractNumId="1" w15:restartNumberingAfterBreak="0">
    <w:nsid w:val="41D965CA"/>
    <w:multiLevelType w:val="hybridMultilevel"/>
    <w:tmpl w:val="96AA8E84"/>
    <w:lvl w:ilvl="0" w:tplc="CC821680">
      <w:start w:val="1"/>
      <w:numFmt w:val="lowerLetter"/>
      <w:lvlText w:val="%1)"/>
      <w:lvlJc w:val="left"/>
      <w:pPr>
        <w:ind w:left="102" w:hanging="31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65A8922">
      <w:numFmt w:val="bullet"/>
      <w:lvlText w:val="•"/>
      <w:lvlJc w:val="left"/>
      <w:pPr>
        <w:ind w:left="996" w:hanging="312"/>
      </w:pPr>
      <w:rPr>
        <w:rFonts w:hint="default"/>
        <w:lang w:val="es-ES" w:eastAsia="en-US" w:bidi="ar-SA"/>
      </w:rPr>
    </w:lvl>
    <w:lvl w:ilvl="2" w:tplc="6A583144">
      <w:numFmt w:val="bullet"/>
      <w:lvlText w:val="•"/>
      <w:lvlJc w:val="left"/>
      <w:pPr>
        <w:ind w:left="1892" w:hanging="312"/>
      </w:pPr>
      <w:rPr>
        <w:rFonts w:hint="default"/>
        <w:lang w:val="es-ES" w:eastAsia="en-US" w:bidi="ar-SA"/>
      </w:rPr>
    </w:lvl>
    <w:lvl w:ilvl="3" w:tplc="693A2D9E">
      <w:numFmt w:val="bullet"/>
      <w:lvlText w:val="•"/>
      <w:lvlJc w:val="left"/>
      <w:pPr>
        <w:ind w:left="2788" w:hanging="312"/>
      </w:pPr>
      <w:rPr>
        <w:rFonts w:hint="default"/>
        <w:lang w:val="es-ES" w:eastAsia="en-US" w:bidi="ar-SA"/>
      </w:rPr>
    </w:lvl>
    <w:lvl w:ilvl="4" w:tplc="6332153E">
      <w:numFmt w:val="bullet"/>
      <w:lvlText w:val="•"/>
      <w:lvlJc w:val="left"/>
      <w:pPr>
        <w:ind w:left="3684" w:hanging="312"/>
      </w:pPr>
      <w:rPr>
        <w:rFonts w:hint="default"/>
        <w:lang w:val="es-ES" w:eastAsia="en-US" w:bidi="ar-SA"/>
      </w:rPr>
    </w:lvl>
    <w:lvl w:ilvl="5" w:tplc="2B246BD6">
      <w:numFmt w:val="bullet"/>
      <w:lvlText w:val="•"/>
      <w:lvlJc w:val="left"/>
      <w:pPr>
        <w:ind w:left="4580" w:hanging="312"/>
      </w:pPr>
      <w:rPr>
        <w:rFonts w:hint="default"/>
        <w:lang w:val="es-ES" w:eastAsia="en-US" w:bidi="ar-SA"/>
      </w:rPr>
    </w:lvl>
    <w:lvl w:ilvl="6" w:tplc="5F1C3B82">
      <w:numFmt w:val="bullet"/>
      <w:lvlText w:val="•"/>
      <w:lvlJc w:val="left"/>
      <w:pPr>
        <w:ind w:left="5476" w:hanging="312"/>
      </w:pPr>
      <w:rPr>
        <w:rFonts w:hint="default"/>
        <w:lang w:val="es-ES" w:eastAsia="en-US" w:bidi="ar-SA"/>
      </w:rPr>
    </w:lvl>
    <w:lvl w:ilvl="7" w:tplc="420E8346">
      <w:numFmt w:val="bullet"/>
      <w:lvlText w:val="•"/>
      <w:lvlJc w:val="left"/>
      <w:pPr>
        <w:ind w:left="6372" w:hanging="312"/>
      </w:pPr>
      <w:rPr>
        <w:rFonts w:hint="default"/>
        <w:lang w:val="es-ES" w:eastAsia="en-US" w:bidi="ar-SA"/>
      </w:rPr>
    </w:lvl>
    <w:lvl w:ilvl="8" w:tplc="A562438E">
      <w:numFmt w:val="bullet"/>
      <w:lvlText w:val="•"/>
      <w:lvlJc w:val="left"/>
      <w:pPr>
        <w:ind w:left="7268" w:hanging="312"/>
      </w:pPr>
      <w:rPr>
        <w:rFonts w:hint="default"/>
        <w:lang w:val="es-ES" w:eastAsia="en-US" w:bidi="ar-SA"/>
      </w:rPr>
    </w:lvl>
  </w:abstractNum>
  <w:abstractNum w:abstractNumId="2" w15:restartNumberingAfterBreak="0">
    <w:nsid w:val="622D3245"/>
    <w:multiLevelType w:val="hybridMultilevel"/>
    <w:tmpl w:val="77603AFA"/>
    <w:lvl w:ilvl="0" w:tplc="D60E8F3A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B3E44F0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3D7E577E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E54C1EE0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DF02F71A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36C6C296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A016FF58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9A90EB30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4ADC3E3A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688327FD"/>
    <w:multiLevelType w:val="hybridMultilevel"/>
    <w:tmpl w:val="BF3E5B72"/>
    <w:lvl w:ilvl="0" w:tplc="97C60B40">
      <w:start w:val="1"/>
      <w:numFmt w:val="lowerLetter"/>
      <w:lvlText w:val="%1)"/>
      <w:lvlJc w:val="left"/>
      <w:pPr>
        <w:ind w:left="102" w:hanging="3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B90FB54">
      <w:numFmt w:val="bullet"/>
      <w:lvlText w:val="•"/>
      <w:lvlJc w:val="left"/>
      <w:pPr>
        <w:ind w:left="996" w:hanging="341"/>
      </w:pPr>
      <w:rPr>
        <w:rFonts w:hint="default"/>
        <w:lang w:val="es-ES" w:eastAsia="en-US" w:bidi="ar-SA"/>
      </w:rPr>
    </w:lvl>
    <w:lvl w:ilvl="2" w:tplc="7EF04B7C">
      <w:numFmt w:val="bullet"/>
      <w:lvlText w:val="•"/>
      <w:lvlJc w:val="left"/>
      <w:pPr>
        <w:ind w:left="1892" w:hanging="341"/>
      </w:pPr>
      <w:rPr>
        <w:rFonts w:hint="default"/>
        <w:lang w:val="es-ES" w:eastAsia="en-US" w:bidi="ar-SA"/>
      </w:rPr>
    </w:lvl>
    <w:lvl w:ilvl="3" w:tplc="26D4FF50">
      <w:numFmt w:val="bullet"/>
      <w:lvlText w:val="•"/>
      <w:lvlJc w:val="left"/>
      <w:pPr>
        <w:ind w:left="2788" w:hanging="341"/>
      </w:pPr>
      <w:rPr>
        <w:rFonts w:hint="default"/>
        <w:lang w:val="es-ES" w:eastAsia="en-US" w:bidi="ar-SA"/>
      </w:rPr>
    </w:lvl>
    <w:lvl w:ilvl="4" w:tplc="40C8CD7C">
      <w:numFmt w:val="bullet"/>
      <w:lvlText w:val="•"/>
      <w:lvlJc w:val="left"/>
      <w:pPr>
        <w:ind w:left="3684" w:hanging="341"/>
      </w:pPr>
      <w:rPr>
        <w:rFonts w:hint="default"/>
        <w:lang w:val="es-ES" w:eastAsia="en-US" w:bidi="ar-SA"/>
      </w:rPr>
    </w:lvl>
    <w:lvl w:ilvl="5" w:tplc="C6786B7C">
      <w:numFmt w:val="bullet"/>
      <w:lvlText w:val="•"/>
      <w:lvlJc w:val="left"/>
      <w:pPr>
        <w:ind w:left="4580" w:hanging="341"/>
      </w:pPr>
      <w:rPr>
        <w:rFonts w:hint="default"/>
        <w:lang w:val="es-ES" w:eastAsia="en-US" w:bidi="ar-SA"/>
      </w:rPr>
    </w:lvl>
    <w:lvl w:ilvl="6" w:tplc="06984A36">
      <w:numFmt w:val="bullet"/>
      <w:lvlText w:val="•"/>
      <w:lvlJc w:val="left"/>
      <w:pPr>
        <w:ind w:left="5476" w:hanging="341"/>
      </w:pPr>
      <w:rPr>
        <w:rFonts w:hint="default"/>
        <w:lang w:val="es-ES" w:eastAsia="en-US" w:bidi="ar-SA"/>
      </w:rPr>
    </w:lvl>
    <w:lvl w:ilvl="7" w:tplc="5D0272D6">
      <w:numFmt w:val="bullet"/>
      <w:lvlText w:val="•"/>
      <w:lvlJc w:val="left"/>
      <w:pPr>
        <w:ind w:left="6372" w:hanging="341"/>
      </w:pPr>
      <w:rPr>
        <w:rFonts w:hint="default"/>
        <w:lang w:val="es-ES" w:eastAsia="en-US" w:bidi="ar-SA"/>
      </w:rPr>
    </w:lvl>
    <w:lvl w:ilvl="8" w:tplc="19D2D6E4">
      <w:numFmt w:val="bullet"/>
      <w:lvlText w:val="•"/>
      <w:lvlJc w:val="left"/>
      <w:pPr>
        <w:ind w:left="7268" w:hanging="341"/>
      </w:pPr>
      <w:rPr>
        <w:rFonts w:hint="default"/>
        <w:lang w:val="es-ES" w:eastAsia="en-US" w:bidi="ar-SA"/>
      </w:rPr>
    </w:lvl>
  </w:abstractNum>
  <w:num w:numId="1" w16cid:durableId="594359751">
    <w:abstractNumId w:val="0"/>
  </w:num>
  <w:num w:numId="2" w16cid:durableId="1478109663">
    <w:abstractNumId w:val="1"/>
  </w:num>
  <w:num w:numId="3" w16cid:durableId="125860085">
    <w:abstractNumId w:val="3"/>
  </w:num>
  <w:num w:numId="4" w16cid:durableId="1733892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A1"/>
    <w:rsid w:val="00011C46"/>
    <w:rsid w:val="004B44A5"/>
    <w:rsid w:val="00A40AA1"/>
    <w:rsid w:val="00CA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3343B-690A-43CD-B0DF-CFB7F3AE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181" w:hanging="7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02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f.cl/economia-y-politica/laboral-personas/pension-de-alimentos-registro-nacional-ya-cuenta-con-mas-de-147-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f.cl/economia-y-politica/laboral-personas/pension-de-alimentos-registro-nacional-ya-cuenta-con-mas-de-147-m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Emanuel Cortes</dc:creator>
  <cp:lastModifiedBy>Guillermo Diaz Vallejos</cp:lastModifiedBy>
  <cp:revision>1</cp:revision>
  <dcterms:created xsi:type="dcterms:W3CDTF">2024-06-12T22:12:00Z</dcterms:created>
  <dcterms:modified xsi:type="dcterms:W3CDTF">2024-06-19T15:21:00Z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Word LTSC</vt:lpwstr>
  </property>
</Properties>
</file>