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523E" w:rsidRDefault="00000000">
      <w:pPr>
        <w:spacing w:before="76"/>
        <w:ind w:left="119" w:right="114"/>
        <w:jc w:val="both"/>
        <w:rPr>
          <w:rFonts w:ascii="Arial" w:hAnsi="Arial"/>
        </w:rPr>
      </w:pPr>
      <w:r>
        <w:rPr>
          <w:rFonts w:ascii="Arial" w:hAnsi="Arial"/>
        </w:rPr>
        <w:t>PROYECTO DE LEY QUE MODIFICA EL ART. 4º DE LA LEY N° Nº21.450 AUTORIZANDO QUE LA ADQUISICIÓN DE TERRENOS PARA COMITES HABITACIONALES PUEDAN ESTAR EN COMUNAS DE LA REGIÓN RESPECTIVA.</w:t>
      </w:r>
    </w:p>
    <w:p w:rsidR="001F523E" w:rsidRDefault="001F523E">
      <w:pPr>
        <w:pStyle w:val="Textoindependiente"/>
        <w:rPr>
          <w:rFonts w:ascii="Arial"/>
          <w:sz w:val="22"/>
        </w:rPr>
      </w:pPr>
    </w:p>
    <w:p w:rsidR="001F523E" w:rsidRDefault="001F523E">
      <w:pPr>
        <w:pStyle w:val="Textoindependiente"/>
        <w:rPr>
          <w:rFonts w:ascii="Arial"/>
          <w:sz w:val="22"/>
        </w:rPr>
      </w:pPr>
    </w:p>
    <w:p w:rsidR="001F523E" w:rsidRDefault="001F523E">
      <w:pPr>
        <w:pStyle w:val="Textoindependiente"/>
        <w:spacing w:before="3"/>
        <w:rPr>
          <w:rFonts w:ascii="Arial"/>
          <w:sz w:val="22"/>
        </w:rPr>
      </w:pPr>
    </w:p>
    <w:p w:rsidR="001F523E" w:rsidRDefault="00000000">
      <w:pPr>
        <w:pStyle w:val="Prrafodelista"/>
        <w:numPr>
          <w:ilvl w:val="0"/>
          <w:numId w:val="1"/>
        </w:numPr>
        <w:tabs>
          <w:tab w:val="left" w:pos="320"/>
        </w:tabs>
        <w:ind w:firstLine="0"/>
        <w:jc w:val="both"/>
        <w:rPr>
          <w:sz w:val="24"/>
        </w:rPr>
      </w:pPr>
      <w:r>
        <w:rPr>
          <w:b/>
          <w:spacing w:val="-2"/>
          <w:sz w:val="24"/>
        </w:rPr>
        <w:t>Fundamentos.</w:t>
      </w:r>
      <w:r>
        <w:rPr>
          <w:b/>
          <w:spacing w:val="-6"/>
          <w:sz w:val="24"/>
        </w:rPr>
        <w:t xml:space="preserve"> </w:t>
      </w:r>
      <w:r>
        <w:rPr>
          <w:spacing w:val="-2"/>
          <w:sz w:val="24"/>
        </w:rPr>
        <w:t>Uno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anhelos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más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relevantes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familias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chilenas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poder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acceder </w:t>
      </w:r>
      <w:r>
        <w:rPr>
          <w:sz w:val="24"/>
        </w:rPr>
        <w:t>a una vivienda. Para ello, el Estado ha contado con una serie de programas y subsidios habitacionales de la más diversa índole que han permitido financiar y lograr concretar el acceso a la vivienda propia. Adicionalmente, las reformas legales han dispuesto expresamente, que son funciones del Ministerio de Vivienda y Urbanismo, conforme al ordinal 12, del art. 2º de la ley Nº16.931 que crea al Ministerio de Vivienda:</w:t>
      </w:r>
    </w:p>
    <w:p w:rsidR="001F523E" w:rsidRDefault="00000000">
      <w:pPr>
        <w:spacing w:before="191" w:line="225" w:lineRule="auto"/>
        <w:ind w:left="686" w:right="114"/>
        <w:jc w:val="both"/>
        <w:rPr>
          <w:rFonts w:ascii="Bookman Old Style" w:hAnsi="Bookman Old Style"/>
          <w:sz w:val="21"/>
        </w:rPr>
      </w:pPr>
      <w:r>
        <w:rPr>
          <w:rFonts w:ascii="Bookman Old Style" w:hAnsi="Bookman Old Style"/>
          <w:w w:val="115"/>
          <w:sz w:val="21"/>
        </w:rPr>
        <w:t>12°.- Fomentar la organización y desarrollo de comités habitacionales y cooperativas de viviendas, los sistemas de autoconstrucción</w:t>
      </w:r>
      <w:r>
        <w:rPr>
          <w:rFonts w:ascii="Bookman Old Style" w:hAnsi="Bookman Old Style"/>
          <w:spacing w:val="40"/>
          <w:w w:val="115"/>
          <w:sz w:val="21"/>
        </w:rPr>
        <w:t xml:space="preserve"> </w:t>
      </w:r>
      <w:r>
        <w:rPr>
          <w:rFonts w:ascii="Bookman Old Style" w:hAnsi="Bookman Old Style"/>
          <w:w w:val="115"/>
          <w:sz w:val="21"/>
        </w:rPr>
        <w:t>y</w:t>
      </w:r>
      <w:r>
        <w:rPr>
          <w:rFonts w:ascii="Bookman Old Style" w:hAnsi="Bookman Old Style"/>
          <w:spacing w:val="40"/>
          <w:w w:val="115"/>
          <w:sz w:val="21"/>
        </w:rPr>
        <w:t xml:space="preserve"> </w:t>
      </w:r>
      <w:r>
        <w:rPr>
          <w:rFonts w:ascii="Bookman Old Style" w:hAnsi="Bookman Old Style"/>
          <w:w w:val="115"/>
          <w:sz w:val="21"/>
        </w:rPr>
        <w:t>todo</w:t>
      </w:r>
      <w:r>
        <w:rPr>
          <w:rFonts w:ascii="Bookman Old Style" w:hAnsi="Bookman Old Style"/>
          <w:spacing w:val="40"/>
          <w:w w:val="115"/>
          <w:sz w:val="21"/>
        </w:rPr>
        <w:t xml:space="preserve"> </w:t>
      </w:r>
      <w:r>
        <w:rPr>
          <w:rFonts w:ascii="Bookman Old Style" w:hAnsi="Bookman Old Style"/>
          <w:w w:val="115"/>
          <w:sz w:val="21"/>
        </w:rPr>
        <w:t>lo</w:t>
      </w:r>
      <w:r>
        <w:rPr>
          <w:rFonts w:ascii="Bookman Old Style" w:hAnsi="Bookman Old Style"/>
          <w:spacing w:val="40"/>
          <w:w w:val="115"/>
          <w:sz w:val="21"/>
        </w:rPr>
        <w:t xml:space="preserve"> </w:t>
      </w:r>
      <w:r>
        <w:rPr>
          <w:rFonts w:ascii="Bookman Old Style" w:hAnsi="Bookman Old Style"/>
          <w:w w:val="115"/>
          <w:sz w:val="21"/>
        </w:rPr>
        <w:t>relacionado</w:t>
      </w:r>
      <w:r>
        <w:rPr>
          <w:rFonts w:ascii="Bookman Old Style" w:hAnsi="Bookman Old Style"/>
          <w:spacing w:val="40"/>
          <w:w w:val="115"/>
          <w:sz w:val="21"/>
        </w:rPr>
        <w:t xml:space="preserve"> </w:t>
      </w:r>
      <w:r>
        <w:rPr>
          <w:rFonts w:ascii="Bookman Old Style" w:hAnsi="Bookman Old Style"/>
          <w:w w:val="115"/>
          <w:sz w:val="21"/>
        </w:rPr>
        <w:t>con</w:t>
      </w:r>
      <w:r>
        <w:rPr>
          <w:rFonts w:ascii="Bookman Old Style" w:hAnsi="Bookman Old Style"/>
          <w:spacing w:val="40"/>
          <w:w w:val="115"/>
          <w:sz w:val="21"/>
        </w:rPr>
        <w:t xml:space="preserve"> </w:t>
      </w:r>
      <w:r>
        <w:rPr>
          <w:rFonts w:ascii="Bookman Old Style" w:hAnsi="Bookman Old Style"/>
          <w:w w:val="115"/>
          <w:sz w:val="21"/>
        </w:rPr>
        <w:t>ellos.</w:t>
      </w:r>
    </w:p>
    <w:p w:rsidR="001F523E" w:rsidRDefault="001F523E">
      <w:pPr>
        <w:pStyle w:val="Textoindependiente"/>
        <w:spacing w:before="233"/>
        <w:rPr>
          <w:rFonts w:ascii="Bookman Old Style"/>
          <w:sz w:val="21"/>
        </w:rPr>
      </w:pPr>
    </w:p>
    <w:p w:rsidR="001F523E" w:rsidRDefault="00000000">
      <w:pPr>
        <w:ind w:left="119" w:right="112" w:firstLine="708"/>
        <w:jc w:val="both"/>
        <w:rPr>
          <w:sz w:val="23"/>
        </w:rPr>
      </w:pPr>
      <w:r>
        <w:rPr>
          <w:sz w:val="24"/>
        </w:rPr>
        <w:t>Conforme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</w:t>
      </w:r>
      <w:r>
        <w:rPr>
          <w:spacing w:val="-9"/>
          <w:sz w:val="24"/>
        </w:rPr>
        <w:t xml:space="preserve"> </w:t>
      </w:r>
      <w:r>
        <w:rPr>
          <w:sz w:val="24"/>
        </w:rPr>
        <w:t>anterior,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ley</w:t>
      </w:r>
      <w:r>
        <w:rPr>
          <w:spacing w:val="-9"/>
          <w:sz w:val="24"/>
        </w:rPr>
        <w:t xml:space="preserve"> </w:t>
      </w:r>
      <w:r>
        <w:rPr>
          <w:sz w:val="24"/>
        </w:rPr>
        <w:t>Nº21.450</w:t>
      </w:r>
      <w:r>
        <w:rPr>
          <w:spacing w:val="-9"/>
          <w:sz w:val="24"/>
        </w:rPr>
        <w:t xml:space="preserve"> </w:t>
      </w:r>
      <w:r>
        <w:rPr>
          <w:i/>
        </w:rPr>
        <w:t>sobre</w:t>
      </w:r>
      <w:r>
        <w:rPr>
          <w:i/>
          <w:spacing w:val="-8"/>
        </w:rPr>
        <w:t xml:space="preserve"> </w:t>
      </w:r>
      <w:r>
        <w:rPr>
          <w:i/>
        </w:rPr>
        <w:t>integración</w:t>
      </w:r>
      <w:r>
        <w:rPr>
          <w:i/>
          <w:spacing w:val="-8"/>
        </w:rPr>
        <w:t xml:space="preserve"> </w:t>
      </w:r>
      <w:r>
        <w:rPr>
          <w:i/>
        </w:rPr>
        <w:t>social</w:t>
      </w:r>
      <w:r>
        <w:rPr>
          <w:i/>
          <w:spacing w:val="-8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la</w:t>
      </w:r>
      <w:r>
        <w:rPr>
          <w:i/>
          <w:spacing w:val="-8"/>
        </w:rPr>
        <w:t xml:space="preserve"> </w:t>
      </w:r>
      <w:r>
        <w:rPr>
          <w:i/>
        </w:rPr>
        <w:t>planificación</w:t>
      </w:r>
      <w:r>
        <w:rPr>
          <w:i/>
          <w:spacing w:val="-8"/>
        </w:rPr>
        <w:t xml:space="preserve"> </w:t>
      </w:r>
      <w:r>
        <w:rPr>
          <w:i/>
        </w:rPr>
        <w:t>urbana,</w:t>
      </w:r>
      <w:r>
        <w:rPr>
          <w:i/>
          <w:spacing w:val="-8"/>
        </w:rPr>
        <w:t xml:space="preserve"> </w:t>
      </w:r>
      <w:r>
        <w:rPr>
          <w:i/>
        </w:rPr>
        <w:t>gestión de</w:t>
      </w:r>
      <w:r>
        <w:rPr>
          <w:i/>
          <w:spacing w:val="-8"/>
        </w:rPr>
        <w:t xml:space="preserve"> </w:t>
      </w:r>
      <w:r>
        <w:rPr>
          <w:i/>
        </w:rPr>
        <w:t>suelo</w:t>
      </w:r>
      <w:r>
        <w:rPr>
          <w:i/>
          <w:spacing w:val="-8"/>
        </w:rPr>
        <w:t xml:space="preserve"> </w:t>
      </w:r>
      <w:r>
        <w:rPr>
          <w:i/>
        </w:rPr>
        <w:t>y</w:t>
      </w:r>
      <w:r>
        <w:rPr>
          <w:i/>
          <w:spacing w:val="-8"/>
        </w:rPr>
        <w:t xml:space="preserve"> </w:t>
      </w:r>
      <w:r>
        <w:rPr>
          <w:i/>
        </w:rPr>
        <w:t>plan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8"/>
        </w:rPr>
        <w:t xml:space="preserve"> </w:t>
      </w:r>
      <w:r>
        <w:rPr>
          <w:i/>
        </w:rPr>
        <w:t>emergencia</w:t>
      </w:r>
      <w:r>
        <w:rPr>
          <w:i/>
          <w:spacing w:val="-8"/>
        </w:rPr>
        <w:t xml:space="preserve"> </w:t>
      </w:r>
      <w:r>
        <w:rPr>
          <w:i/>
        </w:rPr>
        <w:t>habitacional,</w:t>
      </w:r>
      <w:r>
        <w:rPr>
          <w:i/>
          <w:spacing w:val="-7"/>
        </w:rPr>
        <w:t xml:space="preserve"> </w:t>
      </w:r>
      <w:r>
        <w:t>estableció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serie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modificaciones</w:t>
      </w:r>
      <w:r>
        <w:rPr>
          <w:spacing w:val="-5"/>
        </w:rPr>
        <w:t xml:space="preserve"> </w:t>
      </w:r>
      <w:r>
        <w:t>legales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finalidad</w:t>
      </w:r>
      <w:r>
        <w:rPr>
          <w:spacing w:val="-8"/>
        </w:rPr>
        <w:t xml:space="preserve"> </w:t>
      </w:r>
      <w:r>
        <w:t xml:space="preserve">de </w:t>
      </w:r>
      <w:r>
        <w:rPr>
          <w:sz w:val="23"/>
        </w:rPr>
        <w:t>Implementar políticas y programas habitacionales cuyo objetivo sea enfrentar el déficit en vivienda y desarrollo urbano de las familias más vulnerables y que promuevan e induzcan de forma idónea a la integración e inclusión social y urbana, fomentando el emplazamiento de viviendas</w:t>
      </w:r>
      <w:r>
        <w:rPr>
          <w:spacing w:val="-4"/>
          <w:sz w:val="23"/>
        </w:rPr>
        <w:t xml:space="preserve"> </w:t>
      </w:r>
      <w:r>
        <w:rPr>
          <w:sz w:val="23"/>
        </w:rPr>
        <w:t>con</w:t>
      </w:r>
      <w:r>
        <w:rPr>
          <w:spacing w:val="-4"/>
          <w:sz w:val="23"/>
        </w:rPr>
        <w:t xml:space="preserve"> </w:t>
      </w:r>
      <w:r>
        <w:rPr>
          <w:sz w:val="23"/>
        </w:rPr>
        <w:t>óptimos</w:t>
      </w:r>
      <w:r>
        <w:rPr>
          <w:spacing w:val="-4"/>
          <w:sz w:val="23"/>
        </w:rPr>
        <w:t xml:space="preserve"> </w:t>
      </w:r>
      <w:r>
        <w:rPr>
          <w:sz w:val="23"/>
        </w:rPr>
        <w:t>estándares</w:t>
      </w:r>
      <w:r>
        <w:rPr>
          <w:spacing w:val="-4"/>
          <w:sz w:val="23"/>
        </w:rPr>
        <w:t xml:space="preserve"> </w:t>
      </w:r>
      <w:r>
        <w:rPr>
          <w:sz w:val="23"/>
        </w:rPr>
        <w:t>constructivos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calidad,</w:t>
      </w:r>
      <w:r>
        <w:rPr>
          <w:spacing w:val="-4"/>
          <w:sz w:val="23"/>
        </w:rPr>
        <w:t xml:space="preserve"> </w:t>
      </w:r>
      <w:r>
        <w:rPr>
          <w:sz w:val="23"/>
        </w:rPr>
        <w:t>objeto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cualquier</w:t>
      </w:r>
      <w:r>
        <w:rPr>
          <w:spacing w:val="-4"/>
          <w:sz w:val="23"/>
        </w:rPr>
        <w:t xml:space="preserve"> </w:t>
      </w:r>
      <w:r>
        <w:rPr>
          <w:sz w:val="23"/>
        </w:rPr>
        <w:t>tipo</w:t>
      </w:r>
      <w:r>
        <w:rPr>
          <w:spacing w:val="-4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subsidio, en sectores con adecuados indicadores y estándares de calidad de vida y desarrollo urbano.</w:t>
      </w:r>
    </w:p>
    <w:p w:rsidR="001F523E" w:rsidRDefault="00000000">
      <w:pPr>
        <w:pStyle w:val="Textoindependiente"/>
        <w:spacing w:before="200"/>
        <w:ind w:left="119" w:right="113" w:firstLine="708"/>
        <w:jc w:val="both"/>
      </w:pPr>
      <w:r>
        <w:rPr>
          <w:sz w:val="22"/>
        </w:rPr>
        <w:t xml:space="preserve">Lo anterior es coherente con lo establecido en diversos </w:t>
      </w:r>
      <w:r>
        <w:t>tratados internacionales y constituciones políticas de países iberoamericanos dan cuenta de la preocupación de los Estados por el Derecho a la Vivienda. Así, la Declaración Universal de los Derechos Humanos, en el numeral 1. de su Artículo 25 señala que:</w:t>
      </w:r>
    </w:p>
    <w:p w:rsidR="001F523E" w:rsidRDefault="00000000">
      <w:pPr>
        <w:spacing w:before="266" w:line="232" w:lineRule="auto"/>
        <w:ind w:left="686" w:right="11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“Toda persona tiene derecho a un nivel de vida adecuado que le asegure, así como a su familia, la salud y el bienestar, y en especial la alimentación, el vestido, la vivienda, la asistencia médica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y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los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servicios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sociales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necesarios;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tiene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asimismo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derecho 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los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seguros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en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caso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desempleo,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enfermedad,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invalidez,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viudez, vejez u otros casos de pérdida de sus medios de subsistencia por circunstancias independientes de su voluntad.”</w:t>
      </w:r>
    </w:p>
    <w:p w:rsidR="001F523E" w:rsidRDefault="001F523E">
      <w:pPr>
        <w:pStyle w:val="Textoindependiente"/>
        <w:spacing w:before="21"/>
        <w:rPr>
          <w:rFonts w:ascii="Courier New"/>
          <w:sz w:val="20"/>
        </w:rPr>
      </w:pPr>
    </w:p>
    <w:p w:rsidR="001F523E" w:rsidRDefault="00000000">
      <w:pPr>
        <w:spacing w:line="242" w:lineRule="auto"/>
        <w:ind w:left="119" w:right="8" w:firstLine="567"/>
      </w:pPr>
      <w:r>
        <w:t>Por</w:t>
      </w:r>
      <w:r>
        <w:rPr>
          <w:spacing w:val="28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parte,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Artículo</w:t>
      </w:r>
      <w:r>
        <w:rPr>
          <w:spacing w:val="28"/>
        </w:rPr>
        <w:t xml:space="preserve"> </w:t>
      </w:r>
      <w:r>
        <w:t>XI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Declaración</w:t>
      </w:r>
      <w:r>
        <w:rPr>
          <w:spacing w:val="28"/>
        </w:rPr>
        <w:t xml:space="preserve"> </w:t>
      </w:r>
      <w:r>
        <w:t>Americana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Derechos</w:t>
      </w:r>
      <w:r>
        <w:rPr>
          <w:spacing w:val="28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Deberes</w:t>
      </w:r>
      <w:r>
        <w:rPr>
          <w:spacing w:val="28"/>
        </w:rPr>
        <w:t xml:space="preserve"> </w:t>
      </w:r>
      <w:r>
        <w:t>del Hombre manifiesta que</w:t>
      </w:r>
    </w:p>
    <w:p w:rsidR="001F523E" w:rsidRDefault="001F523E">
      <w:pPr>
        <w:pStyle w:val="Textoindependiente"/>
        <w:spacing w:before="10"/>
        <w:rPr>
          <w:sz w:val="22"/>
        </w:rPr>
      </w:pPr>
    </w:p>
    <w:p w:rsidR="001F523E" w:rsidRDefault="00000000">
      <w:pPr>
        <w:spacing w:before="1" w:line="232" w:lineRule="auto"/>
        <w:ind w:left="686" w:right="114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“Toda persona tiene derecho a que su salud sea preservada por medidas sanitarias y sociales, relativas a la alimentación, el vestido, la vivienda y la asistencia médica, correspondientes al nivel que permitan los recursos públicos y los de la comunidad.</w:t>
      </w:r>
    </w:p>
    <w:p w:rsidR="001F523E" w:rsidRDefault="001F523E">
      <w:pPr>
        <w:pStyle w:val="Textoindependiente"/>
        <w:spacing w:before="13"/>
        <w:rPr>
          <w:rFonts w:ascii="Courier New"/>
          <w:sz w:val="20"/>
        </w:rPr>
      </w:pPr>
    </w:p>
    <w:p w:rsidR="001F523E" w:rsidRDefault="00000000">
      <w:pPr>
        <w:spacing w:line="242" w:lineRule="auto"/>
        <w:ind w:left="119" w:right="8" w:firstLine="567"/>
      </w:pPr>
      <w:r>
        <w:t>Una afirmación similar encontramos en el numeral 1. del Artículo 11 del Pacto Internacional de Derechos Económicos, Sociales y Culturales que dispone:</w:t>
      </w:r>
    </w:p>
    <w:p w:rsidR="001F523E" w:rsidRDefault="00000000">
      <w:pPr>
        <w:spacing w:before="243" w:line="225" w:lineRule="auto"/>
        <w:ind w:left="686" w:right="113"/>
        <w:jc w:val="both"/>
        <w:rPr>
          <w:rFonts w:ascii="Bookman Old Style" w:hAnsi="Bookman Old Style"/>
          <w:sz w:val="21"/>
        </w:rPr>
      </w:pPr>
      <w:r>
        <w:rPr>
          <w:rFonts w:ascii="Bookman Old Style" w:hAnsi="Bookman Old Style"/>
          <w:w w:val="115"/>
          <w:sz w:val="21"/>
        </w:rPr>
        <w:t xml:space="preserve">“Los Estados Partes en </w:t>
      </w:r>
      <w:r>
        <w:rPr>
          <w:rFonts w:ascii="Bookman Old Style" w:hAnsi="Bookman Old Style"/>
          <w:w w:val="120"/>
          <w:sz w:val="21"/>
        </w:rPr>
        <w:t xml:space="preserve">el </w:t>
      </w:r>
      <w:r>
        <w:rPr>
          <w:rFonts w:ascii="Bookman Old Style" w:hAnsi="Bookman Old Style"/>
          <w:w w:val="115"/>
          <w:sz w:val="21"/>
        </w:rPr>
        <w:t xml:space="preserve">presente Pacto reconocen </w:t>
      </w:r>
      <w:r>
        <w:rPr>
          <w:rFonts w:ascii="Bookman Old Style" w:hAnsi="Bookman Old Style"/>
          <w:w w:val="120"/>
          <w:sz w:val="21"/>
        </w:rPr>
        <w:t xml:space="preserve">el </w:t>
      </w:r>
      <w:r>
        <w:rPr>
          <w:rFonts w:ascii="Bookman Old Style" w:hAnsi="Bookman Old Style"/>
          <w:w w:val="115"/>
          <w:sz w:val="21"/>
        </w:rPr>
        <w:t xml:space="preserve">derecho de toda persona a un nivel de vida adecuado para </w:t>
      </w:r>
      <w:r>
        <w:rPr>
          <w:rFonts w:ascii="Bookman Old Style" w:hAnsi="Bookman Old Style"/>
          <w:w w:val="120"/>
          <w:sz w:val="21"/>
        </w:rPr>
        <w:t xml:space="preserve">sí </w:t>
      </w:r>
      <w:r>
        <w:rPr>
          <w:rFonts w:ascii="Bookman Old Style" w:hAnsi="Bookman Old Style"/>
          <w:w w:val="115"/>
          <w:sz w:val="21"/>
        </w:rPr>
        <w:t xml:space="preserve">y su </w:t>
      </w:r>
      <w:r>
        <w:rPr>
          <w:rFonts w:ascii="Bookman Old Style" w:hAnsi="Bookman Old Style"/>
          <w:w w:val="120"/>
          <w:sz w:val="21"/>
        </w:rPr>
        <w:t xml:space="preserve">familia, </w:t>
      </w:r>
      <w:r>
        <w:rPr>
          <w:rFonts w:ascii="Bookman Old Style" w:hAnsi="Bookman Old Style"/>
          <w:w w:val="115"/>
          <w:sz w:val="21"/>
        </w:rPr>
        <w:t>incluso alimentación, vestido y vivienda adecuados, y a una</w:t>
      </w:r>
      <w:r>
        <w:rPr>
          <w:rFonts w:ascii="Bookman Old Style" w:hAnsi="Bookman Old Style"/>
          <w:spacing w:val="40"/>
          <w:w w:val="115"/>
          <w:sz w:val="21"/>
        </w:rPr>
        <w:t xml:space="preserve"> </w:t>
      </w:r>
      <w:r>
        <w:rPr>
          <w:rFonts w:ascii="Bookman Old Style" w:hAnsi="Bookman Old Style"/>
          <w:w w:val="115"/>
          <w:sz w:val="21"/>
        </w:rPr>
        <w:t>mejora continua de las condiciones de existencia. Los Estados Partes tomarán medidas apropiadas para asegurar la efectividad</w:t>
      </w:r>
      <w:r>
        <w:rPr>
          <w:rFonts w:ascii="Bookman Old Style" w:hAnsi="Bookman Old Style"/>
          <w:spacing w:val="40"/>
          <w:w w:val="115"/>
          <w:sz w:val="21"/>
        </w:rPr>
        <w:t xml:space="preserve"> </w:t>
      </w:r>
      <w:r>
        <w:rPr>
          <w:rFonts w:ascii="Bookman Old Style" w:hAnsi="Bookman Old Style"/>
          <w:w w:val="115"/>
          <w:sz w:val="21"/>
        </w:rPr>
        <w:t>de</w:t>
      </w:r>
      <w:r>
        <w:rPr>
          <w:rFonts w:ascii="Bookman Old Style" w:hAnsi="Bookman Old Style"/>
          <w:spacing w:val="30"/>
          <w:w w:val="115"/>
          <w:sz w:val="21"/>
        </w:rPr>
        <w:t xml:space="preserve">  </w:t>
      </w:r>
      <w:r>
        <w:rPr>
          <w:rFonts w:ascii="Bookman Old Style" w:hAnsi="Bookman Old Style"/>
          <w:w w:val="115"/>
          <w:sz w:val="21"/>
        </w:rPr>
        <w:t>este</w:t>
      </w:r>
      <w:r>
        <w:rPr>
          <w:rFonts w:ascii="Bookman Old Style" w:hAnsi="Bookman Old Style"/>
          <w:spacing w:val="30"/>
          <w:w w:val="115"/>
          <w:sz w:val="21"/>
        </w:rPr>
        <w:t xml:space="preserve">  </w:t>
      </w:r>
      <w:r>
        <w:rPr>
          <w:rFonts w:ascii="Bookman Old Style" w:hAnsi="Bookman Old Style"/>
          <w:w w:val="115"/>
          <w:sz w:val="21"/>
        </w:rPr>
        <w:t>derecho,</w:t>
      </w:r>
      <w:r>
        <w:rPr>
          <w:rFonts w:ascii="Bookman Old Style" w:hAnsi="Bookman Old Style"/>
          <w:spacing w:val="30"/>
          <w:w w:val="115"/>
          <w:sz w:val="21"/>
        </w:rPr>
        <w:t xml:space="preserve">  </w:t>
      </w:r>
      <w:r>
        <w:rPr>
          <w:rFonts w:ascii="Bookman Old Style" w:hAnsi="Bookman Old Style"/>
          <w:w w:val="115"/>
          <w:sz w:val="21"/>
        </w:rPr>
        <w:t>reconociendo</w:t>
      </w:r>
      <w:r>
        <w:rPr>
          <w:rFonts w:ascii="Bookman Old Style" w:hAnsi="Bookman Old Style"/>
          <w:spacing w:val="30"/>
          <w:w w:val="115"/>
          <w:sz w:val="21"/>
        </w:rPr>
        <w:t xml:space="preserve">  </w:t>
      </w:r>
      <w:r>
        <w:rPr>
          <w:rFonts w:ascii="Bookman Old Style" w:hAnsi="Bookman Old Style"/>
          <w:w w:val="115"/>
          <w:sz w:val="21"/>
        </w:rPr>
        <w:t>a</w:t>
      </w:r>
      <w:r>
        <w:rPr>
          <w:rFonts w:ascii="Bookman Old Style" w:hAnsi="Bookman Old Style"/>
          <w:spacing w:val="30"/>
          <w:w w:val="115"/>
          <w:sz w:val="21"/>
        </w:rPr>
        <w:t xml:space="preserve">  </w:t>
      </w:r>
      <w:r>
        <w:rPr>
          <w:rFonts w:ascii="Bookman Old Style" w:hAnsi="Bookman Old Style"/>
          <w:w w:val="115"/>
          <w:sz w:val="21"/>
        </w:rPr>
        <w:t>este</w:t>
      </w:r>
      <w:r>
        <w:rPr>
          <w:rFonts w:ascii="Bookman Old Style" w:hAnsi="Bookman Old Style"/>
          <w:spacing w:val="30"/>
          <w:w w:val="115"/>
          <w:sz w:val="21"/>
        </w:rPr>
        <w:t xml:space="preserve">  </w:t>
      </w:r>
      <w:r>
        <w:rPr>
          <w:rFonts w:ascii="Bookman Old Style" w:hAnsi="Bookman Old Style"/>
          <w:w w:val="115"/>
          <w:sz w:val="21"/>
        </w:rPr>
        <w:t>efecto</w:t>
      </w:r>
      <w:r>
        <w:rPr>
          <w:rFonts w:ascii="Bookman Old Style" w:hAnsi="Bookman Old Style"/>
          <w:spacing w:val="30"/>
          <w:w w:val="115"/>
          <w:sz w:val="21"/>
        </w:rPr>
        <w:t xml:space="preserve">  </w:t>
      </w:r>
      <w:r>
        <w:rPr>
          <w:rFonts w:ascii="Bookman Old Style" w:hAnsi="Bookman Old Style"/>
          <w:w w:val="115"/>
          <w:sz w:val="21"/>
        </w:rPr>
        <w:t>la</w:t>
      </w:r>
      <w:r>
        <w:rPr>
          <w:rFonts w:ascii="Bookman Old Style" w:hAnsi="Bookman Old Style"/>
          <w:spacing w:val="30"/>
          <w:w w:val="115"/>
          <w:sz w:val="21"/>
        </w:rPr>
        <w:t xml:space="preserve">  </w:t>
      </w:r>
      <w:r>
        <w:rPr>
          <w:rFonts w:ascii="Bookman Old Style" w:hAnsi="Bookman Old Style"/>
          <w:spacing w:val="-2"/>
          <w:w w:val="115"/>
          <w:sz w:val="21"/>
        </w:rPr>
        <w:t>importancia</w:t>
      </w:r>
    </w:p>
    <w:p w:rsidR="001F523E" w:rsidRDefault="001F523E">
      <w:pPr>
        <w:spacing w:line="225" w:lineRule="auto"/>
        <w:jc w:val="both"/>
        <w:rPr>
          <w:rFonts w:ascii="Bookman Old Style" w:hAnsi="Bookman Old Style"/>
          <w:sz w:val="21"/>
        </w:rPr>
        <w:sectPr w:rsidR="001F523E">
          <w:type w:val="continuous"/>
          <w:pgSz w:w="11900" w:h="16840"/>
          <w:pgMar w:top="1340" w:right="1580" w:bottom="280" w:left="1580" w:header="720" w:footer="720" w:gutter="0"/>
          <w:cols w:space="720"/>
        </w:sectPr>
      </w:pPr>
    </w:p>
    <w:p w:rsidR="001F523E" w:rsidRDefault="00000000">
      <w:pPr>
        <w:spacing w:before="45" w:line="228" w:lineRule="auto"/>
        <w:ind w:left="686" w:right="8"/>
        <w:rPr>
          <w:rFonts w:ascii="Bookman Old Style" w:hAnsi="Bookman Old Style"/>
          <w:sz w:val="21"/>
        </w:rPr>
      </w:pPr>
      <w:r>
        <w:rPr>
          <w:rFonts w:ascii="Bookman Old Style" w:hAnsi="Bookman Old Style"/>
          <w:w w:val="120"/>
          <w:sz w:val="21"/>
        </w:rPr>
        <w:lastRenderedPageBreak/>
        <w:t>esencial</w:t>
      </w:r>
      <w:r>
        <w:rPr>
          <w:rFonts w:ascii="Bookman Old Style" w:hAnsi="Bookman Old Style"/>
          <w:spacing w:val="40"/>
          <w:w w:val="120"/>
          <w:sz w:val="21"/>
        </w:rPr>
        <w:t xml:space="preserve"> </w:t>
      </w:r>
      <w:r>
        <w:rPr>
          <w:rFonts w:ascii="Bookman Old Style" w:hAnsi="Bookman Old Style"/>
          <w:w w:val="120"/>
          <w:sz w:val="21"/>
        </w:rPr>
        <w:t>de</w:t>
      </w:r>
      <w:r>
        <w:rPr>
          <w:rFonts w:ascii="Bookman Old Style" w:hAnsi="Bookman Old Style"/>
          <w:spacing w:val="40"/>
          <w:w w:val="120"/>
          <w:sz w:val="21"/>
        </w:rPr>
        <w:t xml:space="preserve"> </w:t>
      </w:r>
      <w:r>
        <w:rPr>
          <w:rFonts w:ascii="Bookman Old Style" w:hAnsi="Bookman Old Style"/>
          <w:w w:val="120"/>
          <w:sz w:val="21"/>
        </w:rPr>
        <w:t>la</w:t>
      </w:r>
      <w:r>
        <w:rPr>
          <w:rFonts w:ascii="Bookman Old Style" w:hAnsi="Bookman Old Style"/>
          <w:spacing w:val="40"/>
          <w:w w:val="120"/>
          <w:sz w:val="21"/>
        </w:rPr>
        <w:t xml:space="preserve"> </w:t>
      </w:r>
      <w:r>
        <w:rPr>
          <w:rFonts w:ascii="Bookman Old Style" w:hAnsi="Bookman Old Style"/>
          <w:w w:val="120"/>
          <w:sz w:val="21"/>
        </w:rPr>
        <w:t>cooperación</w:t>
      </w:r>
      <w:r>
        <w:rPr>
          <w:rFonts w:ascii="Bookman Old Style" w:hAnsi="Bookman Old Style"/>
          <w:spacing w:val="40"/>
          <w:w w:val="120"/>
          <w:sz w:val="21"/>
        </w:rPr>
        <w:t xml:space="preserve"> </w:t>
      </w:r>
      <w:r>
        <w:rPr>
          <w:rFonts w:ascii="Bookman Old Style" w:hAnsi="Bookman Old Style"/>
          <w:w w:val="120"/>
          <w:sz w:val="21"/>
        </w:rPr>
        <w:t>internacional</w:t>
      </w:r>
      <w:r>
        <w:rPr>
          <w:rFonts w:ascii="Bookman Old Style" w:hAnsi="Bookman Old Style"/>
          <w:spacing w:val="40"/>
          <w:w w:val="120"/>
          <w:sz w:val="21"/>
        </w:rPr>
        <w:t xml:space="preserve"> </w:t>
      </w:r>
      <w:r>
        <w:rPr>
          <w:rFonts w:ascii="Bookman Old Style" w:hAnsi="Bookman Old Style"/>
          <w:w w:val="120"/>
          <w:sz w:val="21"/>
        </w:rPr>
        <w:t>fundada</w:t>
      </w:r>
      <w:r>
        <w:rPr>
          <w:rFonts w:ascii="Bookman Old Style" w:hAnsi="Bookman Old Style"/>
          <w:spacing w:val="40"/>
          <w:w w:val="120"/>
          <w:sz w:val="21"/>
        </w:rPr>
        <w:t xml:space="preserve"> </w:t>
      </w:r>
      <w:r>
        <w:rPr>
          <w:rFonts w:ascii="Bookman Old Style" w:hAnsi="Bookman Old Style"/>
          <w:w w:val="120"/>
          <w:sz w:val="21"/>
        </w:rPr>
        <w:t>en</w:t>
      </w:r>
      <w:r>
        <w:rPr>
          <w:rFonts w:ascii="Bookman Old Style" w:hAnsi="Bookman Old Style"/>
          <w:spacing w:val="40"/>
          <w:w w:val="120"/>
          <w:sz w:val="21"/>
        </w:rPr>
        <w:t xml:space="preserve"> </w:t>
      </w:r>
      <w:r>
        <w:rPr>
          <w:rFonts w:ascii="Bookman Old Style" w:hAnsi="Bookman Old Style"/>
          <w:w w:val="120"/>
          <w:sz w:val="21"/>
        </w:rPr>
        <w:t>el</w:t>
      </w:r>
      <w:r>
        <w:rPr>
          <w:rFonts w:ascii="Bookman Old Style" w:hAnsi="Bookman Old Style"/>
          <w:spacing w:val="40"/>
          <w:w w:val="125"/>
          <w:sz w:val="21"/>
        </w:rPr>
        <w:t xml:space="preserve"> </w:t>
      </w:r>
      <w:r>
        <w:rPr>
          <w:rFonts w:ascii="Bookman Old Style" w:hAnsi="Bookman Old Style"/>
          <w:w w:val="125"/>
          <w:sz w:val="21"/>
        </w:rPr>
        <w:t>libre</w:t>
      </w:r>
      <w:r>
        <w:rPr>
          <w:rFonts w:ascii="Bookman Old Style" w:hAnsi="Bookman Old Style"/>
          <w:spacing w:val="40"/>
          <w:w w:val="125"/>
          <w:sz w:val="21"/>
        </w:rPr>
        <w:t xml:space="preserve"> </w:t>
      </w:r>
      <w:r>
        <w:rPr>
          <w:rFonts w:ascii="Bookman Old Style" w:hAnsi="Bookman Old Style"/>
          <w:spacing w:val="-2"/>
          <w:w w:val="120"/>
          <w:sz w:val="21"/>
        </w:rPr>
        <w:t>consentimiento.”</w:t>
      </w:r>
    </w:p>
    <w:p w:rsidR="001F523E" w:rsidRDefault="001F523E">
      <w:pPr>
        <w:pStyle w:val="Textoindependiente"/>
        <w:rPr>
          <w:rFonts w:ascii="Bookman Old Style"/>
          <w:sz w:val="21"/>
        </w:rPr>
      </w:pPr>
    </w:p>
    <w:p w:rsidR="001F523E" w:rsidRDefault="001F523E">
      <w:pPr>
        <w:pStyle w:val="Textoindependiente"/>
        <w:spacing w:before="33"/>
        <w:rPr>
          <w:rFonts w:ascii="Bookman Old Style"/>
          <w:sz w:val="21"/>
        </w:rPr>
      </w:pPr>
    </w:p>
    <w:p w:rsidR="001F523E" w:rsidRDefault="00000000">
      <w:pPr>
        <w:ind w:left="119" w:right="113" w:firstLine="567"/>
        <w:jc w:val="both"/>
        <w:rPr>
          <w:sz w:val="23"/>
        </w:rPr>
      </w:pPr>
      <w:r>
        <w:rPr>
          <w:sz w:val="24"/>
        </w:rPr>
        <w:t>En este contexto, debemos señalar que el artículo 4º de la ley Nº21.450 que establece normas sobre Gestión de Suelo para la Integración Social y Urbana y Plan de Emergencia Habitacional,</w:t>
      </w:r>
      <w:r>
        <w:rPr>
          <w:spacing w:val="-15"/>
          <w:sz w:val="24"/>
        </w:rPr>
        <w:t xml:space="preserve"> </w:t>
      </w:r>
      <w:r>
        <w:rPr>
          <w:sz w:val="24"/>
        </w:rPr>
        <w:t>estableció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</w:t>
      </w:r>
      <w:r>
        <w:rPr>
          <w:spacing w:val="-15"/>
          <w:sz w:val="24"/>
        </w:rPr>
        <w:t xml:space="preserve"> </w:t>
      </w:r>
      <w:r>
        <w:rPr>
          <w:sz w:val="24"/>
        </w:rPr>
        <w:t>1º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objeto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promover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integración</w:t>
      </w:r>
      <w:r>
        <w:rPr>
          <w:spacing w:val="-15"/>
          <w:sz w:val="24"/>
        </w:rPr>
        <w:t xml:space="preserve"> </w:t>
      </w:r>
      <w:r>
        <w:rPr>
          <w:sz w:val="24"/>
        </w:rPr>
        <w:t>urbana de las familias ubicadas en el tramo del 40% más vulnerable de la población, se podrán destinar</w:t>
      </w:r>
      <w:r>
        <w:rPr>
          <w:spacing w:val="-15"/>
          <w:sz w:val="24"/>
        </w:rPr>
        <w:t xml:space="preserve"> </w:t>
      </w:r>
      <w:r>
        <w:rPr>
          <w:sz w:val="24"/>
        </w:rPr>
        <w:t>parte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recursos</w:t>
      </w:r>
      <w:r>
        <w:rPr>
          <w:spacing w:val="-15"/>
          <w:sz w:val="24"/>
        </w:rPr>
        <w:t xml:space="preserve"> </w:t>
      </w:r>
      <w:r>
        <w:rPr>
          <w:sz w:val="24"/>
        </w:rPr>
        <w:t>anuales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programa</w:t>
      </w:r>
      <w:r>
        <w:rPr>
          <w:spacing w:val="-15"/>
          <w:sz w:val="24"/>
        </w:rPr>
        <w:t xml:space="preserve"> </w:t>
      </w:r>
      <w:r>
        <w:rPr>
          <w:sz w:val="24"/>
        </w:rPr>
        <w:t>Fondo</w:t>
      </w:r>
      <w:r>
        <w:rPr>
          <w:spacing w:val="-15"/>
          <w:sz w:val="24"/>
        </w:rPr>
        <w:t xml:space="preserve"> </w:t>
      </w:r>
      <w:r>
        <w:rPr>
          <w:sz w:val="24"/>
        </w:rPr>
        <w:t>Solidario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Elección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Vivienda, o</w:t>
      </w:r>
      <w:r>
        <w:rPr>
          <w:spacing w:val="-5"/>
          <w:sz w:val="24"/>
        </w:rPr>
        <w:t xml:space="preserve"> </w:t>
      </w:r>
      <w:r>
        <w:rPr>
          <w:sz w:val="24"/>
        </w:rPr>
        <w:t>aquel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reemplace,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financiar</w:t>
      </w:r>
      <w:r>
        <w:rPr>
          <w:spacing w:val="-5"/>
          <w:sz w:val="24"/>
        </w:rPr>
        <w:t xml:space="preserve"> </w:t>
      </w:r>
      <w:r>
        <w:rPr>
          <w:sz w:val="24"/>
        </w:rPr>
        <w:t>estudios</w:t>
      </w:r>
      <w:r>
        <w:rPr>
          <w:spacing w:val="-5"/>
          <w:sz w:val="24"/>
        </w:rPr>
        <w:t xml:space="preserve"> </w:t>
      </w:r>
      <w:r>
        <w:rPr>
          <w:sz w:val="24"/>
        </w:rPr>
        <w:t>preliminares</w:t>
      </w:r>
      <w:r>
        <w:rPr>
          <w:spacing w:val="-5"/>
          <w:sz w:val="24"/>
        </w:rPr>
        <w:t xml:space="preserve"> </w:t>
      </w:r>
      <w:r>
        <w:rPr>
          <w:sz w:val="24"/>
        </w:rPr>
        <w:t>y/o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adquisición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terrenos por parte de los Servicios Regionales de Vivienda y Urbanización. Sin embargo, tratándose de la adquisición de terrenos, </w:t>
      </w:r>
      <w:r>
        <w:rPr>
          <w:b/>
          <w:sz w:val="24"/>
        </w:rPr>
        <w:t>se estableció como limitación, que estos terrenos deben 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encontrarse</w:t>
      </w:r>
      <w:r>
        <w:rPr>
          <w:b/>
          <w:spacing w:val="-3"/>
          <w:sz w:val="24"/>
        </w:rPr>
        <w:t xml:space="preserve"> </w:t>
      </w:r>
      <w:r>
        <w:rPr>
          <w:b/>
          <w:sz w:val="23"/>
        </w:rPr>
        <w:t>ubicados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en</w:t>
      </w:r>
      <w:r>
        <w:rPr>
          <w:b/>
          <w:spacing w:val="-4"/>
          <w:sz w:val="23"/>
        </w:rPr>
        <w:t xml:space="preserve"> </w:t>
      </w:r>
      <w:r>
        <w:rPr>
          <w:b/>
        </w:rPr>
        <w:t>comunas</w:t>
      </w:r>
      <w:r>
        <w:rPr>
          <w:b/>
          <w:spacing w:val="-1"/>
        </w:rPr>
        <w:t xml:space="preserve"> </w:t>
      </w:r>
      <w:r>
        <w:rPr>
          <w:b/>
          <w:sz w:val="23"/>
        </w:rPr>
        <w:t>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inter</w:t>
      </w:r>
      <w:r>
        <w:rPr>
          <w:b/>
        </w:rPr>
        <w:t>comunas</w:t>
      </w:r>
      <w:r>
        <w:rPr>
          <w:b/>
          <w:spacing w:val="-1"/>
        </w:rPr>
        <w:t xml:space="preserve"> </w:t>
      </w:r>
      <w:r>
        <w:rPr>
          <w:b/>
          <w:sz w:val="23"/>
        </w:rPr>
        <w:t>en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las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que</w:t>
      </w:r>
      <w:r>
        <w:rPr>
          <w:sz w:val="23"/>
        </w:rPr>
        <w:t>,</w:t>
      </w:r>
      <w:r>
        <w:rPr>
          <w:spacing w:val="-3"/>
          <w:sz w:val="23"/>
        </w:rPr>
        <w:t xml:space="preserve"> </w:t>
      </w:r>
      <w:r>
        <w:rPr>
          <w:sz w:val="23"/>
        </w:rPr>
        <w:t>conforme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los</w:t>
      </w:r>
      <w:r>
        <w:rPr>
          <w:spacing w:val="-3"/>
          <w:sz w:val="23"/>
        </w:rPr>
        <w:t xml:space="preserve"> </w:t>
      </w:r>
      <w:r>
        <w:rPr>
          <w:sz w:val="23"/>
        </w:rPr>
        <w:t>datos</w:t>
      </w:r>
      <w:r>
        <w:rPr>
          <w:spacing w:val="-3"/>
          <w:sz w:val="23"/>
        </w:rPr>
        <w:t xml:space="preserve"> </w:t>
      </w:r>
      <w:r>
        <w:rPr>
          <w:sz w:val="23"/>
        </w:rPr>
        <w:t>que otorgue el Sistema de Información Territorial de la Demanda que administra el Ministerio de Vivienda y Urbanismo, exista una demanda significativa de viviendas para familias ubicadas en el</w:t>
      </w:r>
      <w:r>
        <w:rPr>
          <w:spacing w:val="-14"/>
          <w:sz w:val="23"/>
        </w:rPr>
        <w:t xml:space="preserve"> </w:t>
      </w:r>
      <w:r>
        <w:rPr>
          <w:sz w:val="23"/>
        </w:rPr>
        <w:t>tramo</w:t>
      </w:r>
      <w:r>
        <w:rPr>
          <w:spacing w:val="-15"/>
          <w:sz w:val="23"/>
        </w:rPr>
        <w:t xml:space="preserve"> </w:t>
      </w:r>
      <w:r>
        <w:rPr>
          <w:sz w:val="23"/>
        </w:rPr>
        <w:t>del</w:t>
      </w:r>
      <w:r>
        <w:rPr>
          <w:spacing w:val="-13"/>
          <w:sz w:val="23"/>
        </w:rPr>
        <w:t xml:space="preserve"> </w:t>
      </w:r>
      <w:r>
        <w:rPr>
          <w:sz w:val="23"/>
        </w:rPr>
        <w:t>40%</w:t>
      </w:r>
      <w:r>
        <w:rPr>
          <w:spacing w:val="-15"/>
          <w:sz w:val="23"/>
        </w:rPr>
        <w:t xml:space="preserve"> </w:t>
      </w:r>
      <w:r>
        <w:rPr>
          <w:sz w:val="23"/>
        </w:rPr>
        <w:t>más</w:t>
      </w:r>
      <w:r>
        <w:rPr>
          <w:spacing w:val="-14"/>
          <w:sz w:val="23"/>
        </w:rPr>
        <w:t xml:space="preserve"> </w:t>
      </w:r>
      <w:r>
        <w:rPr>
          <w:sz w:val="23"/>
        </w:rPr>
        <w:t>vulnerable</w:t>
      </w:r>
      <w:r>
        <w:rPr>
          <w:spacing w:val="-14"/>
          <w:sz w:val="23"/>
        </w:rPr>
        <w:t xml:space="preserve"> </w:t>
      </w:r>
      <w:r>
        <w:rPr>
          <w:sz w:val="23"/>
        </w:rPr>
        <w:t>de</w:t>
      </w:r>
      <w:r>
        <w:rPr>
          <w:spacing w:val="-15"/>
          <w:sz w:val="23"/>
        </w:rPr>
        <w:t xml:space="preserve"> </w:t>
      </w:r>
      <w:r>
        <w:rPr>
          <w:sz w:val="23"/>
        </w:rPr>
        <w:t>la</w:t>
      </w:r>
      <w:r>
        <w:rPr>
          <w:spacing w:val="-14"/>
          <w:sz w:val="23"/>
        </w:rPr>
        <w:t xml:space="preserve"> </w:t>
      </w:r>
      <w:r>
        <w:rPr>
          <w:sz w:val="23"/>
        </w:rPr>
        <w:t>población</w:t>
      </w:r>
      <w:r>
        <w:rPr>
          <w:spacing w:val="-14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en</w:t>
      </w:r>
      <w:r>
        <w:rPr>
          <w:spacing w:val="-2"/>
          <w:sz w:val="23"/>
        </w:rPr>
        <w:t xml:space="preserve"> </w:t>
      </w:r>
      <w:r>
        <w:t xml:space="preserve">comunas </w:t>
      </w:r>
      <w:r>
        <w:rPr>
          <w:sz w:val="23"/>
        </w:rPr>
        <w:t>o</w:t>
      </w:r>
      <w:r>
        <w:rPr>
          <w:spacing w:val="-14"/>
          <w:sz w:val="23"/>
        </w:rPr>
        <w:t xml:space="preserve"> </w:t>
      </w:r>
      <w:r>
        <w:rPr>
          <w:sz w:val="23"/>
        </w:rPr>
        <w:t>inter</w:t>
      </w:r>
      <w:r>
        <w:t xml:space="preserve">comunas </w:t>
      </w:r>
      <w:r>
        <w:rPr>
          <w:sz w:val="23"/>
        </w:rPr>
        <w:t>con</w:t>
      </w:r>
      <w:r>
        <w:rPr>
          <w:spacing w:val="-15"/>
          <w:sz w:val="23"/>
        </w:rPr>
        <w:t xml:space="preserve"> </w:t>
      </w:r>
      <w:r>
        <w:rPr>
          <w:sz w:val="23"/>
        </w:rPr>
        <w:t>un</w:t>
      </w:r>
      <w:r>
        <w:rPr>
          <w:spacing w:val="-14"/>
          <w:sz w:val="23"/>
        </w:rPr>
        <w:t xml:space="preserve"> </w:t>
      </w:r>
      <w:r>
        <w:rPr>
          <w:sz w:val="23"/>
        </w:rPr>
        <w:t>alto</w:t>
      </w:r>
      <w:r>
        <w:rPr>
          <w:spacing w:val="-14"/>
          <w:sz w:val="23"/>
        </w:rPr>
        <w:t xml:space="preserve"> </w:t>
      </w:r>
      <w:r>
        <w:rPr>
          <w:sz w:val="23"/>
        </w:rPr>
        <w:t>déficit habitacional de acuerdo a los datos del último Censo de Población y Vivienda.</w:t>
      </w:r>
    </w:p>
    <w:p w:rsidR="001F523E" w:rsidRDefault="001F523E">
      <w:pPr>
        <w:pStyle w:val="Textoindependiente"/>
      </w:pPr>
    </w:p>
    <w:p w:rsidR="001F523E" w:rsidRDefault="001F523E">
      <w:pPr>
        <w:pStyle w:val="Textoindependiente"/>
        <w:spacing w:before="128"/>
      </w:pPr>
    </w:p>
    <w:p w:rsidR="001F523E" w:rsidRDefault="00000000">
      <w:pPr>
        <w:pStyle w:val="Prrafodelista"/>
        <w:numPr>
          <w:ilvl w:val="0"/>
          <w:numId w:val="1"/>
        </w:numPr>
        <w:tabs>
          <w:tab w:val="left" w:pos="351"/>
        </w:tabs>
        <w:ind w:right="112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7392" behindDoc="1" locked="0" layoutInCell="1" allowOverlap="1">
                <wp:simplePos x="0" y="0"/>
                <wp:positionH relativeFrom="page">
                  <wp:posOffset>2020823</wp:posOffset>
                </wp:positionH>
                <wp:positionV relativeFrom="paragraph">
                  <wp:posOffset>143532</wp:posOffset>
                </wp:positionV>
                <wp:extent cx="3683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635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6575" y="6095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7839A" id="Graphic 1" o:spid="_x0000_s1026" style="position:absolute;margin-left:159.1pt;margin-top:11.3pt;width:2.9pt;height:.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" path="m36575,l,,,6095r36575,l3657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Idea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Matriz.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Esta</w:t>
      </w:r>
      <w:r>
        <w:rPr>
          <w:spacing w:val="-4"/>
          <w:sz w:val="24"/>
        </w:rPr>
        <w:t xml:space="preserve"> </w:t>
      </w:r>
      <w:r>
        <w:rPr>
          <w:sz w:val="24"/>
        </w:rPr>
        <w:t>iniciativa</w:t>
      </w:r>
      <w:r>
        <w:rPr>
          <w:spacing w:val="-4"/>
          <w:sz w:val="24"/>
        </w:rPr>
        <w:t xml:space="preserve"> </w:t>
      </w:r>
      <w:r>
        <w:rPr>
          <w:sz w:val="24"/>
        </w:rPr>
        <w:t>tiene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5"/>
          <w:sz w:val="24"/>
        </w:rPr>
        <w:t xml:space="preserve"> </w:t>
      </w:r>
      <w:r>
        <w:rPr>
          <w:sz w:val="24"/>
        </w:rPr>
        <w:t>modificar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ley</w:t>
      </w:r>
      <w:r>
        <w:rPr>
          <w:spacing w:val="-4"/>
          <w:sz w:val="24"/>
        </w:rPr>
        <w:t xml:space="preserve"> </w:t>
      </w:r>
      <w:r>
        <w:rPr>
          <w:sz w:val="24"/>
        </w:rPr>
        <w:t>N°</w:t>
      </w:r>
      <w:r>
        <w:rPr>
          <w:spacing w:val="-4"/>
          <w:sz w:val="24"/>
        </w:rPr>
        <w:t xml:space="preserve"> </w:t>
      </w:r>
      <w:r>
        <w:rPr>
          <w:sz w:val="24"/>
        </w:rPr>
        <w:t>21.450,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específicamente, respecto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posibilidad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terrenos</w:t>
      </w:r>
      <w:r>
        <w:rPr>
          <w:spacing w:val="-15"/>
          <w:sz w:val="24"/>
        </w:rPr>
        <w:t xml:space="preserve"> </w:t>
      </w:r>
      <w:r>
        <w:rPr>
          <w:sz w:val="24"/>
        </w:rPr>
        <w:t>adquiridos</w:t>
      </w:r>
      <w:r>
        <w:rPr>
          <w:spacing w:val="-15"/>
          <w:sz w:val="24"/>
        </w:rPr>
        <w:t xml:space="preserve"> </w:t>
      </w:r>
      <w:r>
        <w:rPr>
          <w:sz w:val="24"/>
        </w:rPr>
        <w:t>puedan</w:t>
      </w:r>
      <w:r>
        <w:rPr>
          <w:spacing w:val="-15"/>
          <w:sz w:val="24"/>
        </w:rPr>
        <w:t xml:space="preserve"> </w:t>
      </w:r>
      <w:r>
        <w:rPr>
          <w:sz w:val="24"/>
        </w:rPr>
        <w:t>estar</w:t>
      </w:r>
      <w:r>
        <w:rPr>
          <w:spacing w:val="-15"/>
          <w:sz w:val="24"/>
        </w:rPr>
        <w:t xml:space="preserve"> </w:t>
      </w:r>
      <w:r>
        <w:rPr>
          <w:sz w:val="24"/>
        </w:rPr>
        <w:t>emplazados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comuna distinta dentro de la Región respectiva, en que se haya verificado que </w:t>
      </w:r>
      <w:r>
        <w:rPr>
          <w:sz w:val="23"/>
        </w:rPr>
        <w:t xml:space="preserve">exista una demanda significativa de viviendas para familias ubicadas en el tramo del 40% más vulnerable de la población en </w:t>
      </w:r>
      <w:r>
        <w:t xml:space="preserve">comunas </w:t>
      </w:r>
      <w:r>
        <w:rPr>
          <w:sz w:val="23"/>
        </w:rPr>
        <w:t>o inter</w:t>
      </w:r>
      <w:r>
        <w:t xml:space="preserve">comunas </w:t>
      </w:r>
      <w:r>
        <w:rPr>
          <w:sz w:val="23"/>
        </w:rPr>
        <w:t>en las que, conforme a los datos que otorgue el Sistema de</w:t>
      </w:r>
      <w:r>
        <w:rPr>
          <w:spacing w:val="-15"/>
          <w:sz w:val="23"/>
        </w:rPr>
        <w:t xml:space="preserve"> </w:t>
      </w:r>
      <w:r>
        <w:rPr>
          <w:sz w:val="23"/>
        </w:rPr>
        <w:t>Información</w:t>
      </w:r>
      <w:r>
        <w:rPr>
          <w:spacing w:val="-14"/>
          <w:sz w:val="23"/>
        </w:rPr>
        <w:t xml:space="preserve"> </w:t>
      </w:r>
      <w:r>
        <w:rPr>
          <w:sz w:val="23"/>
        </w:rPr>
        <w:t>Territorial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14"/>
          <w:sz w:val="23"/>
        </w:rPr>
        <w:t xml:space="preserve"> </w:t>
      </w:r>
      <w:r>
        <w:rPr>
          <w:sz w:val="23"/>
        </w:rPr>
        <w:t>la</w:t>
      </w:r>
      <w:r>
        <w:rPr>
          <w:spacing w:val="-14"/>
          <w:sz w:val="23"/>
        </w:rPr>
        <w:t xml:space="preserve"> </w:t>
      </w:r>
      <w:r>
        <w:rPr>
          <w:sz w:val="23"/>
        </w:rPr>
        <w:t>Demanda</w:t>
      </w:r>
      <w:r>
        <w:rPr>
          <w:spacing w:val="-15"/>
          <w:sz w:val="23"/>
        </w:rPr>
        <w:t xml:space="preserve"> </w:t>
      </w:r>
      <w:r>
        <w:rPr>
          <w:sz w:val="23"/>
        </w:rPr>
        <w:t>que</w:t>
      </w:r>
      <w:r>
        <w:rPr>
          <w:spacing w:val="-14"/>
          <w:sz w:val="23"/>
        </w:rPr>
        <w:t xml:space="preserve"> </w:t>
      </w:r>
      <w:r>
        <w:rPr>
          <w:sz w:val="23"/>
        </w:rPr>
        <w:t>administra</w:t>
      </w:r>
      <w:r>
        <w:rPr>
          <w:spacing w:val="-14"/>
          <w:sz w:val="23"/>
        </w:rPr>
        <w:t xml:space="preserve"> </w:t>
      </w:r>
      <w:r>
        <w:rPr>
          <w:sz w:val="23"/>
        </w:rPr>
        <w:t>el</w:t>
      </w:r>
      <w:r>
        <w:rPr>
          <w:spacing w:val="-15"/>
          <w:sz w:val="23"/>
        </w:rPr>
        <w:t xml:space="preserve"> </w:t>
      </w:r>
      <w:r>
        <w:rPr>
          <w:sz w:val="23"/>
        </w:rPr>
        <w:t>Ministerio</w:t>
      </w:r>
      <w:r>
        <w:rPr>
          <w:spacing w:val="-14"/>
          <w:sz w:val="23"/>
        </w:rPr>
        <w:t xml:space="preserve"> </w:t>
      </w:r>
      <w:r>
        <w:rPr>
          <w:sz w:val="23"/>
        </w:rPr>
        <w:t>de</w:t>
      </w:r>
      <w:r>
        <w:rPr>
          <w:spacing w:val="-15"/>
          <w:sz w:val="23"/>
        </w:rPr>
        <w:t xml:space="preserve"> </w:t>
      </w:r>
      <w:r>
        <w:rPr>
          <w:sz w:val="23"/>
        </w:rPr>
        <w:t>Vivienda</w:t>
      </w:r>
      <w:r>
        <w:rPr>
          <w:spacing w:val="-14"/>
          <w:sz w:val="23"/>
        </w:rPr>
        <w:t xml:space="preserve"> </w:t>
      </w:r>
      <w:r>
        <w:rPr>
          <w:sz w:val="23"/>
        </w:rPr>
        <w:t>y</w:t>
      </w:r>
      <w:r>
        <w:rPr>
          <w:spacing w:val="-14"/>
          <w:sz w:val="23"/>
        </w:rPr>
        <w:t xml:space="preserve"> </w:t>
      </w:r>
      <w:r>
        <w:rPr>
          <w:sz w:val="23"/>
        </w:rPr>
        <w:t>Urbanismo, o en</w:t>
      </w:r>
      <w:r>
        <w:rPr>
          <w:spacing w:val="-3"/>
          <w:sz w:val="23"/>
        </w:rPr>
        <w:t xml:space="preserve"> </w:t>
      </w:r>
      <w:r>
        <w:t xml:space="preserve">comunas </w:t>
      </w:r>
      <w:r>
        <w:rPr>
          <w:sz w:val="23"/>
        </w:rPr>
        <w:t>o inter</w:t>
      </w:r>
      <w:r>
        <w:t xml:space="preserve">comunas </w:t>
      </w:r>
      <w:r>
        <w:rPr>
          <w:sz w:val="23"/>
        </w:rPr>
        <w:t>con un alto déficit habitacional de acuerdo a los datos del último Censo de Población y Vivienda.</w:t>
      </w:r>
    </w:p>
    <w:p w:rsidR="001F523E" w:rsidRDefault="00000000">
      <w:pPr>
        <w:pStyle w:val="Textoindependiente"/>
        <w:spacing w:before="200"/>
        <w:ind w:left="119" w:right="114" w:firstLine="70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5026152</wp:posOffset>
                </wp:positionH>
                <wp:positionV relativeFrom="paragraph">
                  <wp:posOffset>441378</wp:posOffset>
                </wp:positionV>
                <wp:extent cx="4000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24" y="609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D2679" id="Graphic 2" o:spid="_x0000_s1026" style="position:absolute;margin-left:395.75pt;margin-top:34.75pt;width:3.15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" path="m39624,l,,,6096r39624,l39624,xe" fillcolor="black" stroked="f">
                <v:path arrowok="t"/>
                <w10:wrap anchorx="page"/>
              </v:shape>
            </w:pict>
          </mc:Fallback>
        </mc:AlternateContent>
      </w:r>
      <w:r>
        <w:t>De esta manera la regla permite que se efectúen los estudios preliminares y adquisición de terrenos en comunas dentro de la respectiva región. Todo lo anterior, con el objeto de facilitar las políticas que permiten y fomentan el acceso a viviendas gracias a subsidios gubernamentales para la adquisición de terrenos.</w:t>
      </w:r>
    </w:p>
    <w:p w:rsidR="001F523E" w:rsidRDefault="00000000">
      <w:pPr>
        <w:pStyle w:val="Textoindependiente"/>
        <w:spacing w:before="202"/>
        <w:ind w:left="119" w:right="114" w:firstLine="708"/>
        <w:jc w:val="both"/>
      </w:pPr>
      <w:r>
        <w:t xml:space="preserve">Es sobre la base de estos antecedentes y fundamentos que venimos en proponer rl </w:t>
      </w:r>
      <w:r>
        <w:rPr>
          <w:spacing w:val="-2"/>
        </w:rPr>
        <w:t>siguiente:</w:t>
      </w:r>
    </w:p>
    <w:p w:rsidR="001F523E" w:rsidRDefault="001F523E">
      <w:pPr>
        <w:pStyle w:val="Textoindependiente"/>
      </w:pPr>
    </w:p>
    <w:p w:rsidR="001F523E" w:rsidRDefault="001F523E">
      <w:pPr>
        <w:pStyle w:val="Textoindependiente"/>
        <w:spacing w:before="129"/>
      </w:pPr>
    </w:p>
    <w:p w:rsidR="001F523E" w:rsidRDefault="00000000">
      <w:pPr>
        <w:ind w:left="3" w:right="1"/>
        <w:jc w:val="center"/>
        <w:rPr>
          <w:i/>
          <w:sz w:val="24"/>
        </w:rPr>
      </w:pPr>
      <w:r>
        <w:rPr>
          <w:i/>
          <w:sz w:val="24"/>
        </w:rPr>
        <w:t>Proyecto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ley:</w:t>
      </w:r>
    </w:p>
    <w:p w:rsidR="001F523E" w:rsidRDefault="001F523E">
      <w:pPr>
        <w:pStyle w:val="Textoindependiente"/>
        <w:rPr>
          <w:i/>
        </w:rPr>
      </w:pPr>
    </w:p>
    <w:p w:rsidR="001F523E" w:rsidRDefault="001F523E">
      <w:pPr>
        <w:pStyle w:val="Textoindependiente"/>
        <w:spacing w:before="133"/>
        <w:rPr>
          <w:i/>
        </w:rPr>
      </w:pPr>
    </w:p>
    <w:p w:rsidR="001F523E" w:rsidRDefault="00000000">
      <w:pPr>
        <w:ind w:left="119" w:right="113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Artículo</w:t>
      </w:r>
      <w:r>
        <w:rPr>
          <w:rFonts w:ascii="Courier New" w:hAnsi="Courier New"/>
          <w:b/>
          <w:spacing w:val="-34"/>
          <w:sz w:val="28"/>
        </w:rPr>
        <w:t xml:space="preserve"> </w:t>
      </w:r>
      <w:r>
        <w:rPr>
          <w:rFonts w:ascii="Courier New" w:hAnsi="Courier New"/>
          <w:b/>
          <w:sz w:val="28"/>
        </w:rPr>
        <w:t>Único.</w:t>
      </w:r>
      <w:r>
        <w:rPr>
          <w:rFonts w:ascii="Courier New" w:hAnsi="Courier New"/>
          <w:b/>
          <w:spacing w:val="-33"/>
          <w:sz w:val="28"/>
        </w:rPr>
        <w:t xml:space="preserve"> </w:t>
      </w:r>
      <w:r>
        <w:rPr>
          <w:rFonts w:ascii="Courier New" w:hAnsi="Courier New"/>
          <w:sz w:val="28"/>
        </w:rPr>
        <w:t>Modifíquese</w:t>
      </w:r>
      <w:r>
        <w:rPr>
          <w:rFonts w:ascii="Courier New" w:hAnsi="Courier New"/>
          <w:spacing w:val="-34"/>
          <w:sz w:val="28"/>
        </w:rPr>
        <w:t xml:space="preserve"> </w:t>
      </w:r>
      <w:r>
        <w:rPr>
          <w:rFonts w:ascii="Courier New" w:hAnsi="Courier New"/>
          <w:sz w:val="28"/>
        </w:rPr>
        <w:t>el</w:t>
      </w:r>
      <w:r>
        <w:rPr>
          <w:rFonts w:ascii="Courier New" w:hAnsi="Courier New"/>
          <w:spacing w:val="-34"/>
          <w:sz w:val="28"/>
        </w:rPr>
        <w:t xml:space="preserve"> </w:t>
      </w:r>
      <w:r>
        <w:rPr>
          <w:rFonts w:ascii="Courier New" w:hAnsi="Courier New"/>
          <w:sz w:val="28"/>
        </w:rPr>
        <w:t>artículo</w:t>
      </w:r>
      <w:r>
        <w:rPr>
          <w:rFonts w:ascii="Courier New" w:hAnsi="Courier New"/>
          <w:spacing w:val="-34"/>
          <w:sz w:val="28"/>
        </w:rPr>
        <w:t xml:space="preserve"> </w:t>
      </w:r>
      <w:r>
        <w:rPr>
          <w:rFonts w:ascii="Courier New" w:hAnsi="Courier New"/>
          <w:sz w:val="28"/>
        </w:rPr>
        <w:t>4º</w:t>
      </w:r>
      <w:r>
        <w:rPr>
          <w:rFonts w:ascii="Courier New" w:hAnsi="Courier New"/>
          <w:spacing w:val="-34"/>
          <w:sz w:val="28"/>
        </w:rPr>
        <w:t xml:space="preserve"> </w:t>
      </w:r>
      <w:r>
        <w:rPr>
          <w:rFonts w:ascii="Courier New" w:hAnsi="Courier New"/>
          <w:sz w:val="28"/>
        </w:rPr>
        <w:t>de</w:t>
      </w:r>
      <w:r>
        <w:rPr>
          <w:rFonts w:ascii="Courier New" w:hAnsi="Courier New"/>
          <w:spacing w:val="-33"/>
          <w:sz w:val="28"/>
        </w:rPr>
        <w:t xml:space="preserve"> </w:t>
      </w:r>
      <w:r>
        <w:rPr>
          <w:rFonts w:ascii="Courier New" w:hAnsi="Courier New"/>
          <w:sz w:val="28"/>
        </w:rPr>
        <w:t>la</w:t>
      </w:r>
      <w:r>
        <w:rPr>
          <w:rFonts w:ascii="Courier New" w:hAnsi="Courier New"/>
          <w:spacing w:val="-34"/>
          <w:sz w:val="28"/>
        </w:rPr>
        <w:t xml:space="preserve"> </w:t>
      </w:r>
      <w:r>
        <w:rPr>
          <w:rFonts w:ascii="Courier New" w:hAnsi="Courier New"/>
          <w:sz w:val="28"/>
        </w:rPr>
        <w:t xml:space="preserve">ley Nº21.450 que establece normas sobre </w:t>
      </w:r>
      <w:r>
        <w:rPr>
          <w:rFonts w:ascii="Courier New" w:hAnsi="Courier New"/>
          <w:sz w:val="23"/>
        </w:rPr>
        <w:t xml:space="preserve">Gestión de Suelo para la Integración Social y Urbana y Plan de Emergencia Habitacional, </w:t>
      </w:r>
      <w:r>
        <w:rPr>
          <w:rFonts w:ascii="Courier New" w:hAnsi="Courier New"/>
          <w:sz w:val="28"/>
        </w:rPr>
        <w:t>en el siguiente sentido:</w:t>
      </w:r>
    </w:p>
    <w:p w:rsidR="001F523E" w:rsidRDefault="001F523E">
      <w:pPr>
        <w:pStyle w:val="Textoindependiente"/>
        <w:rPr>
          <w:rFonts w:ascii="Courier New"/>
          <w:sz w:val="28"/>
        </w:rPr>
      </w:pPr>
    </w:p>
    <w:p w:rsidR="001F523E" w:rsidRDefault="001F523E">
      <w:pPr>
        <w:pStyle w:val="Textoindependiente"/>
        <w:spacing w:before="35"/>
        <w:rPr>
          <w:rFonts w:ascii="Courier New"/>
          <w:sz w:val="28"/>
        </w:rPr>
      </w:pPr>
    </w:p>
    <w:p w:rsidR="001F523E" w:rsidRDefault="00000000">
      <w:pPr>
        <w:pStyle w:val="Prrafodelista"/>
        <w:numPr>
          <w:ilvl w:val="1"/>
          <w:numId w:val="1"/>
        </w:numPr>
        <w:tabs>
          <w:tab w:val="left" w:pos="839"/>
        </w:tabs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En el literal b) del inciso primero del art. 1º, sustitúyase la expresión “o intercomunas” por “dentro de la Región respectiva”, las dos veces que aparece;</w:t>
      </w:r>
    </w:p>
    <w:p w:rsidR="001F523E" w:rsidRDefault="001F523E">
      <w:pPr>
        <w:jc w:val="both"/>
        <w:rPr>
          <w:rFonts w:ascii="Courier New" w:hAnsi="Courier New"/>
          <w:sz w:val="24"/>
        </w:rPr>
        <w:sectPr w:rsidR="001F523E">
          <w:pgSz w:w="11900" w:h="16840"/>
          <w:pgMar w:top="1360" w:right="1580" w:bottom="280" w:left="1580" w:header="720" w:footer="720" w:gutter="0"/>
          <w:cols w:space="720"/>
        </w:sectPr>
      </w:pPr>
    </w:p>
    <w:p w:rsidR="001F523E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before="77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lastRenderedPageBreak/>
        <w:t>En el literal d) del inciso primero del art. 1º, agréguese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>a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>continuación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>de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>la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>expresión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>“terrenos”</w:t>
      </w:r>
      <w:r>
        <w:rPr>
          <w:rFonts w:ascii="Courier New" w:hAnsi="Courier New"/>
          <w:b/>
          <w:spacing w:val="-5"/>
          <w:sz w:val="24"/>
        </w:rPr>
        <w:t xml:space="preserve"> </w:t>
      </w:r>
      <w:r>
        <w:rPr>
          <w:rFonts w:ascii="Courier New" w:hAnsi="Courier New"/>
          <w:b/>
          <w:sz w:val="24"/>
        </w:rPr>
        <w:t>la frase “dentro de la Región respectiva”.</w:t>
      </w:r>
    </w:p>
    <w:p w:rsidR="001F523E" w:rsidRDefault="001F523E">
      <w:pPr>
        <w:pStyle w:val="Textoindependiente"/>
        <w:rPr>
          <w:rFonts w:ascii="Courier New"/>
          <w:b/>
        </w:rPr>
      </w:pPr>
    </w:p>
    <w:p w:rsidR="001F523E" w:rsidRDefault="001F523E">
      <w:pPr>
        <w:pStyle w:val="Textoindependiente"/>
        <w:rPr>
          <w:rFonts w:ascii="Courier New"/>
          <w:b/>
        </w:rPr>
      </w:pPr>
    </w:p>
    <w:p w:rsidR="001F523E" w:rsidRDefault="001F523E">
      <w:pPr>
        <w:pStyle w:val="Textoindependiente"/>
        <w:rPr>
          <w:rFonts w:ascii="Courier New"/>
          <w:b/>
        </w:rPr>
      </w:pPr>
    </w:p>
    <w:p w:rsidR="001F523E" w:rsidRDefault="001F523E">
      <w:pPr>
        <w:pStyle w:val="Textoindependiente"/>
        <w:spacing w:before="169"/>
        <w:rPr>
          <w:rFonts w:ascii="Courier New"/>
          <w:b/>
        </w:rPr>
      </w:pPr>
    </w:p>
    <w:p w:rsidR="001F523E" w:rsidRDefault="00000000">
      <w:pPr>
        <w:ind w:left="3"/>
        <w:jc w:val="center"/>
        <w:rPr>
          <w:rFonts w:ascii="Arial"/>
          <w:b/>
        </w:rPr>
      </w:pPr>
      <w:r>
        <w:rPr>
          <w:rFonts w:ascii="Arial"/>
          <w:b/>
        </w:rPr>
        <w:t>MARCOS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ILABACA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5"/>
        </w:rPr>
        <w:t>C.</w:t>
      </w:r>
    </w:p>
    <w:p w:rsidR="001F523E" w:rsidRDefault="00000000">
      <w:pPr>
        <w:spacing w:before="198"/>
        <w:ind w:left="3" w:right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Diputado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República</w:t>
      </w:r>
    </w:p>
    <w:sectPr w:rsidR="001F523E">
      <w:pgSz w:w="1190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A7F12"/>
    <w:multiLevelType w:val="hybridMultilevel"/>
    <w:tmpl w:val="3AE27DE0"/>
    <w:lvl w:ilvl="0" w:tplc="9AF2E6A0">
      <w:start w:val="1"/>
      <w:numFmt w:val="decimal"/>
      <w:lvlText w:val="%1."/>
      <w:lvlJc w:val="left"/>
      <w:pPr>
        <w:ind w:left="119" w:hanging="203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13CE08C4">
      <w:start w:val="1"/>
      <w:numFmt w:val="decimal"/>
      <w:lvlText w:val="%2."/>
      <w:lvlJc w:val="left"/>
      <w:pPr>
        <w:ind w:left="839" w:hanging="36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AEE6500A">
      <w:numFmt w:val="bullet"/>
      <w:lvlText w:val="•"/>
      <w:lvlJc w:val="left"/>
      <w:pPr>
        <w:ind w:left="1717" w:hanging="360"/>
      </w:pPr>
      <w:rPr>
        <w:rFonts w:hint="default"/>
        <w:lang w:val="es-ES" w:eastAsia="en-US" w:bidi="ar-SA"/>
      </w:rPr>
    </w:lvl>
    <w:lvl w:ilvl="3" w:tplc="205E1996">
      <w:numFmt w:val="bullet"/>
      <w:lvlText w:val="•"/>
      <w:lvlJc w:val="left"/>
      <w:pPr>
        <w:ind w:left="2595" w:hanging="360"/>
      </w:pPr>
      <w:rPr>
        <w:rFonts w:hint="default"/>
        <w:lang w:val="es-ES" w:eastAsia="en-US" w:bidi="ar-SA"/>
      </w:rPr>
    </w:lvl>
    <w:lvl w:ilvl="4" w:tplc="FB00FB80">
      <w:numFmt w:val="bullet"/>
      <w:lvlText w:val="•"/>
      <w:lvlJc w:val="left"/>
      <w:pPr>
        <w:ind w:left="3473" w:hanging="360"/>
      </w:pPr>
      <w:rPr>
        <w:rFonts w:hint="default"/>
        <w:lang w:val="es-ES" w:eastAsia="en-US" w:bidi="ar-SA"/>
      </w:rPr>
    </w:lvl>
    <w:lvl w:ilvl="5" w:tplc="02E2DF62">
      <w:numFmt w:val="bullet"/>
      <w:lvlText w:val="•"/>
      <w:lvlJc w:val="left"/>
      <w:pPr>
        <w:ind w:left="4351" w:hanging="360"/>
      </w:pPr>
      <w:rPr>
        <w:rFonts w:hint="default"/>
        <w:lang w:val="es-ES" w:eastAsia="en-US" w:bidi="ar-SA"/>
      </w:rPr>
    </w:lvl>
    <w:lvl w:ilvl="6" w:tplc="2DB27CC0">
      <w:numFmt w:val="bullet"/>
      <w:lvlText w:val="•"/>
      <w:lvlJc w:val="left"/>
      <w:pPr>
        <w:ind w:left="5228" w:hanging="360"/>
      </w:pPr>
      <w:rPr>
        <w:rFonts w:hint="default"/>
        <w:lang w:val="es-ES" w:eastAsia="en-US" w:bidi="ar-SA"/>
      </w:rPr>
    </w:lvl>
    <w:lvl w:ilvl="7" w:tplc="45B6E4D6">
      <w:numFmt w:val="bullet"/>
      <w:lvlText w:val="•"/>
      <w:lvlJc w:val="left"/>
      <w:pPr>
        <w:ind w:left="6106" w:hanging="360"/>
      </w:pPr>
      <w:rPr>
        <w:rFonts w:hint="default"/>
        <w:lang w:val="es-ES" w:eastAsia="en-US" w:bidi="ar-SA"/>
      </w:rPr>
    </w:lvl>
    <w:lvl w:ilvl="8" w:tplc="9580EC4A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</w:abstractNum>
  <w:num w:numId="1" w16cid:durableId="3370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E"/>
    <w:rsid w:val="001F523E"/>
    <w:rsid w:val="00530068"/>
    <w:rsid w:val="00C0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8E2D7-A799-4AFB-931F-CC049F5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9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PL.comites.vivienda</dc:title>
  <dc:creator>Enrique Aldunate Esquivel</dc:creator>
  <cp:lastModifiedBy>Guillermo Diaz Vallejos</cp:lastModifiedBy>
  <cp:revision>1</cp:revision>
  <dcterms:created xsi:type="dcterms:W3CDTF">2024-03-21T20:52:00Z</dcterms:created>
  <dcterms:modified xsi:type="dcterms:W3CDTF">2024-05-29T23:31:00Z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Word</vt:lpwstr>
  </property>
  <property fmtid="{D5CDD505-2E9C-101B-9397-08002B2CF9AE}" pid="4" name="LastSaved">
    <vt:filetime>2024-03-21T00:00:00Z</vt:filetime>
  </property>
  <property fmtid="{D5CDD505-2E9C-101B-9397-08002B2CF9AE}" pid="5" name="Producer">
    <vt:lpwstr>macOS Versión 12.6.3 (Compilación 21G419) Quartz PDFContext</vt:lpwstr>
  </property>
</Properties>
</file>