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58D1" w:rsidRDefault="00B628A1">
      <w:pPr>
        <w:pStyle w:val="Ttulo1"/>
        <w:spacing w:before="77" w:line="360" w:lineRule="auto"/>
        <w:ind w:right="115"/>
      </w:pPr>
      <w:r>
        <w:t>PROYECTO DE REFORMA CONSTITUCIONAL PARA INCORPORAR A LOS GOBERNADORES REGIONALES Y ALCALDES COMO AUTORIDADES SUSCEPTIBLES DE ACUSACIÓN CONSTITUCIONAL.</w:t>
      </w:r>
    </w:p>
    <w:p w:rsidR="00E558D1" w:rsidRDefault="00E558D1">
      <w:pPr>
        <w:pStyle w:val="Textoindependiente"/>
        <w:rPr>
          <w:b/>
          <w:sz w:val="26"/>
        </w:rPr>
      </w:pPr>
    </w:p>
    <w:p w:rsidR="00E558D1" w:rsidRDefault="00E558D1">
      <w:pPr>
        <w:pStyle w:val="Textoindependiente"/>
        <w:spacing w:before="11"/>
        <w:rPr>
          <w:b/>
          <w:sz w:val="37"/>
        </w:rPr>
      </w:pPr>
    </w:p>
    <w:p w:rsidR="00E558D1" w:rsidRDefault="00B628A1">
      <w:pPr>
        <w:ind w:left="102"/>
        <w:jc w:val="both"/>
        <w:rPr>
          <w:b/>
          <w:sz w:val="24"/>
        </w:rPr>
      </w:pPr>
      <w:r>
        <w:rPr>
          <w:b/>
          <w:sz w:val="24"/>
        </w:rPr>
        <w:t>2.-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FUNDAMENTO:</w:t>
      </w:r>
    </w:p>
    <w:p w:rsidR="00E558D1" w:rsidRDefault="00E558D1">
      <w:pPr>
        <w:pStyle w:val="Textoindependiente"/>
        <w:spacing w:before="10"/>
        <w:rPr>
          <w:b/>
          <w:sz w:val="25"/>
        </w:rPr>
      </w:pPr>
    </w:p>
    <w:p w:rsidR="00E558D1" w:rsidRDefault="00B628A1">
      <w:pPr>
        <w:pStyle w:val="Textoindependiente"/>
        <w:spacing w:line="360" w:lineRule="auto"/>
        <w:ind w:left="102" w:right="113"/>
        <w:jc w:val="both"/>
      </w:pP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actualidad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abierto</w:t>
      </w:r>
      <w:r>
        <w:rPr>
          <w:spacing w:val="-11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flanco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permitido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corrupción</w:t>
      </w:r>
      <w:r>
        <w:rPr>
          <w:spacing w:val="-11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 xml:space="preserve">diferentes Regiones de nuestro país, en relación con los convenios que muchos de estos Gobiernos Regionales y municipalidades han hecho con múltiples fundaciones, en la actualidad se han realizado mas de 190 denuncias por actos irregulares entre Gobiernos </w:t>
      </w:r>
      <w:r>
        <w:t>Regionales, municipalidades y fundaciones. Convenios millonarios que recién</w:t>
      </w:r>
      <w:r>
        <w:rPr>
          <w:spacing w:val="-17"/>
        </w:rPr>
        <w:t xml:space="preserve"> </w:t>
      </w:r>
      <w:r>
        <w:t>ahora</w:t>
      </w:r>
      <w:r>
        <w:rPr>
          <w:spacing w:val="-17"/>
        </w:rPr>
        <w:t xml:space="preserve"> </w:t>
      </w:r>
      <w:r>
        <w:t>nos</w:t>
      </w:r>
      <w:r>
        <w:rPr>
          <w:spacing w:val="-16"/>
        </w:rPr>
        <w:t xml:space="preserve"> </w:t>
      </w:r>
      <w:r>
        <w:t>estamos</w:t>
      </w:r>
      <w:r>
        <w:rPr>
          <w:spacing w:val="-17"/>
        </w:rPr>
        <w:t xml:space="preserve"> </w:t>
      </w:r>
      <w:r>
        <w:t>enterando</w:t>
      </w:r>
      <w:r>
        <w:rPr>
          <w:spacing w:val="-15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no</w:t>
      </w:r>
      <w:r>
        <w:rPr>
          <w:spacing w:val="-17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cumplían</w:t>
      </w:r>
      <w:r>
        <w:rPr>
          <w:spacing w:val="-16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gastaban</w:t>
      </w:r>
      <w:r>
        <w:rPr>
          <w:spacing w:val="-16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recursos públicos en otras cosas diferentes al objeto del convenio.</w:t>
      </w:r>
    </w:p>
    <w:p w:rsidR="00E558D1" w:rsidRDefault="00B628A1">
      <w:pPr>
        <w:pStyle w:val="Textoindependiente"/>
        <w:spacing w:before="161" w:line="360" w:lineRule="auto"/>
        <w:ind w:left="102" w:right="114"/>
        <w:jc w:val="both"/>
      </w:pPr>
      <w:r>
        <w:t>Asimismo,</w:t>
      </w:r>
      <w:r>
        <w:rPr>
          <w:spacing w:val="-15"/>
        </w:rPr>
        <w:t xml:space="preserve"> </w:t>
      </w:r>
      <w:r>
        <w:t>esta</w:t>
      </w:r>
      <w:r>
        <w:rPr>
          <w:spacing w:val="-15"/>
        </w:rPr>
        <w:t xml:space="preserve"> </w:t>
      </w:r>
      <w:r>
        <w:t>reforma</w:t>
      </w:r>
      <w:r>
        <w:rPr>
          <w:spacing w:val="-13"/>
        </w:rPr>
        <w:t xml:space="preserve"> </w:t>
      </w:r>
      <w:r>
        <w:t>constitucional</w:t>
      </w:r>
      <w:r>
        <w:rPr>
          <w:spacing w:val="-14"/>
        </w:rPr>
        <w:t xml:space="preserve"> </w:t>
      </w:r>
      <w:r>
        <w:t>plantea</w:t>
      </w:r>
      <w:r>
        <w:rPr>
          <w:spacing w:val="-12"/>
        </w:rPr>
        <w:t xml:space="preserve"> </w:t>
      </w:r>
      <w:r>
        <w:t>mantener</w:t>
      </w:r>
      <w:r>
        <w:rPr>
          <w:spacing w:val="-13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causales</w:t>
      </w:r>
      <w:r>
        <w:rPr>
          <w:spacing w:val="-13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 xml:space="preserve">son procedentes para acusar al Presidente de la República, esto es, haber comprometido gravemente el honor o la seguridad de la Nación y también haber infringido abiertamente la Constitución o las leyes, buscando así </w:t>
      </w:r>
      <w:r>
        <w:t>resguardar los dineros y recursos regionales-comunales y establecer una equidad al momento de hacer convenciones entre los gobiernos regionales y comunales a organizaciones sin fines de lucro.</w:t>
      </w:r>
    </w:p>
    <w:p w:rsidR="00E558D1" w:rsidRDefault="00E558D1">
      <w:pPr>
        <w:pStyle w:val="Textoindependiente"/>
        <w:rPr>
          <w:sz w:val="26"/>
        </w:rPr>
      </w:pPr>
    </w:p>
    <w:p w:rsidR="00E558D1" w:rsidRDefault="00E558D1">
      <w:pPr>
        <w:pStyle w:val="Textoindependiente"/>
        <w:spacing w:before="9"/>
        <w:rPr>
          <w:sz w:val="37"/>
        </w:rPr>
      </w:pPr>
    </w:p>
    <w:p w:rsidR="00E558D1" w:rsidRDefault="00B628A1">
      <w:pPr>
        <w:pStyle w:val="Ttulo1"/>
        <w:ind w:left="1850" w:right="1885"/>
        <w:jc w:val="center"/>
      </w:pPr>
      <w:r>
        <w:rPr>
          <w:u w:val="single"/>
        </w:rPr>
        <w:t>PROYECTO</w:t>
      </w:r>
      <w:r>
        <w:rPr>
          <w:spacing w:val="23"/>
          <w:u w:val="single"/>
        </w:rPr>
        <w:t xml:space="preserve"> </w:t>
      </w:r>
      <w:r>
        <w:rPr>
          <w:u w:val="single"/>
        </w:rPr>
        <w:t>DE</w:t>
      </w:r>
      <w:r>
        <w:rPr>
          <w:spacing w:val="26"/>
          <w:u w:val="single"/>
        </w:rPr>
        <w:t xml:space="preserve"> </w:t>
      </w:r>
      <w:r>
        <w:rPr>
          <w:u w:val="single"/>
        </w:rPr>
        <w:t>REFORMA</w:t>
      </w:r>
      <w:r>
        <w:rPr>
          <w:spacing w:val="22"/>
          <w:u w:val="single"/>
        </w:rPr>
        <w:t xml:space="preserve"> </w:t>
      </w:r>
      <w:r>
        <w:rPr>
          <w:spacing w:val="-2"/>
          <w:u w:val="single"/>
        </w:rPr>
        <w:t>CONSTITUCIONAL</w:t>
      </w:r>
    </w:p>
    <w:p w:rsidR="00E558D1" w:rsidRDefault="00E558D1">
      <w:pPr>
        <w:pStyle w:val="Textoindependiente"/>
        <w:rPr>
          <w:b/>
          <w:sz w:val="20"/>
        </w:rPr>
      </w:pPr>
    </w:p>
    <w:p w:rsidR="00E558D1" w:rsidRDefault="00E558D1">
      <w:pPr>
        <w:pStyle w:val="Textoindependiente"/>
        <w:rPr>
          <w:b/>
          <w:sz w:val="20"/>
        </w:rPr>
      </w:pPr>
    </w:p>
    <w:p w:rsidR="00E558D1" w:rsidRDefault="00E558D1">
      <w:pPr>
        <w:pStyle w:val="Textoindependiente"/>
        <w:spacing w:before="5"/>
        <w:rPr>
          <w:b/>
        </w:rPr>
      </w:pPr>
    </w:p>
    <w:p w:rsidR="00E558D1" w:rsidRDefault="00B628A1">
      <w:pPr>
        <w:pStyle w:val="Textoindependiente"/>
        <w:spacing w:before="92" w:line="290" w:lineRule="auto"/>
        <w:ind w:left="202" w:right="240"/>
        <w:jc w:val="both"/>
      </w:pPr>
      <w:r>
        <w:rPr>
          <w:b/>
          <w:w w:val="105"/>
        </w:rPr>
        <w:t xml:space="preserve">ARTÍCULO ÚNICO: </w:t>
      </w:r>
      <w:r>
        <w:rPr>
          <w:w w:val="105"/>
        </w:rPr>
        <w:t>Reempla</w:t>
      </w:r>
      <w:r>
        <w:rPr>
          <w:w w:val="105"/>
        </w:rPr>
        <w:t>zase la letra a) del Artículo 52 N° 2 de la Constitución Política de la República por la siguiente:</w:t>
      </w:r>
    </w:p>
    <w:p w:rsidR="00E558D1" w:rsidRDefault="00B628A1">
      <w:pPr>
        <w:spacing w:before="156" w:line="288" w:lineRule="auto"/>
        <w:ind w:left="562" w:right="221" w:hanging="360"/>
        <w:jc w:val="both"/>
        <w:rPr>
          <w:b/>
          <w:i/>
          <w:sz w:val="24"/>
        </w:rPr>
      </w:pPr>
      <w:r>
        <w:rPr>
          <w:b/>
          <w:w w:val="105"/>
          <w:sz w:val="24"/>
        </w:rPr>
        <w:t>a)</w:t>
      </w:r>
      <w:r>
        <w:rPr>
          <w:b/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Presidente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República,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por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actos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su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administración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hayan comprometido gravemente el honor o la seguridad de la Nación, o infringido abier</w:t>
      </w:r>
      <w:r>
        <w:rPr>
          <w:w w:val="105"/>
          <w:sz w:val="24"/>
        </w:rPr>
        <w:t>tamente la Constitución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o las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 xml:space="preserve">leyes. </w:t>
      </w:r>
      <w:r>
        <w:rPr>
          <w:b/>
          <w:i/>
          <w:w w:val="105"/>
          <w:sz w:val="24"/>
          <w:u w:val="single"/>
        </w:rPr>
        <w:t>De los</w:t>
      </w:r>
      <w:r>
        <w:rPr>
          <w:b/>
          <w:i/>
          <w:spacing w:val="-1"/>
          <w:w w:val="105"/>
          <w:sz w:val="24"/>
          <w:u w:val="single"/>
        </w:rPr>
        <w:t xml:space="preserve"> </w:t>
      </w:r>
      <w:r>
        <w:rPr>
          <w:b/>
          <w:i/>
          <w:w w:val="105"/>
          <w:sz w:val="24"/>
          <w:u w:val="single"/>
        </w:rPr>
        <w:t>gobernadores</w:t>
      </w:r>
      <w:r>
        <w:rPr>
          <w:b/>
          <w:i/>
          <w:w w:val="105"/>
          <w:sz w:val="24"/>
        </w:rPr>
        <w:t xml:space="preserve"> </w:t>
      </w:r>
      <w:r>
        <w:rPr>
          <w:b/>
          <w:i/>
          <w:w w:val="105"/>
          <w:sz w:val="24"/>
          <w:u w:val="single"/>
        </w:rPr>
        <w:t>regionales,</w:t>
      </w:r>
      <w:r>
        <w:rPr>
          <w:b/>
          <w:i/>
          <w:spacing w:val="26"/>
          <w:w w:val="105"/>
          <w:sz w:val="24"/>
          <w:u w:val="single"/>
        </w:rPr>
        <w:t xml:space="preserve"> </w:t>
      </w:r>
      <w:r>
        <w:rPr>
          <w:b/>
          <w:i/>
          <w:w w:val="105"/>
          <w:sz w:val="24"/>
          <w:u w:val="single"/>
        </w:rPr>
        <w:t>y</w:t>
      </w:r>
      <w:r>
        <w:rPr>
          <w:b/>
          <w:i/>
          <w:spacing w:val="28"/>
          <w:w w:val="105"/>
          <w:sz w:val="24"/>
          <w:u w:val="single"/>
        </w:rPr>
        <w:t xml:space="preserve"> </w:t>
      </w:r>
      <w:r>
        <w:rPr>
          <w:b/>
          <w:i/>
          <w:w w:val="105"/>
          <w:sz w:val="24"/>
          <w:u w:val="single"/>
        </w:rPr>
        <w:t>De</w:t>
      </w:r>
      <w:r>
        <w:rPr>
          <w:b/>
          <w:i/>
          <w:spacing w:val="-12"/>
          <w:w w:val="105"/>
          <w:sz w:val="24"/>
          <w:u w:val="single"/>
        </w:rPr>
        <w:t xml:space="preserve"> </w:t>
      </w:r>
      <w:r>
        <w:rPr>
          <w:b/>
          <w:i/>
          <w:w w:val="105"/>
          <w:sz w:val="24"/>
          <w:u w:val="single"/>
        </w:rPr>
        <w:t>los</w:t>
      </w:r>
      <w:r>
        <w:rPr>
          <w:b/>
          <w:i/>
          <w:spacing w:val="-9"/>
          <w:w w:val="105"/>
          <w:sz w:val="24"/>
          <w:u w:val="single"/>
        </w:rPr>
        <w:t xml:space="preserve"> </w:t>
      </w:r>
      <w:r>
        <w:rPr>
          <w:b/>
          <w:i/>
          <w:w w:val="105"/>
          <w:sz w:val="24"/>
          <w:u w:val="single"/>
        </w:rPr>
        <w:t>Alcaldes</w:t>
      </w:r>
      <w:r>
        <w:rPr>
          <w:b/>
          <w:i/>
          <w:spacing w:val="-11"/>
          <w:w w:val="105"/>
          <w:sz w:val="24"/>
          <w:u w:val="single"/>
        </w:rPr>
        <w:t xml:space="preserve"> </w:t>
      </w:r>
      <w:r>
        <w:rPr>
          <w:b/>
          <w:i/>
          <w:w w:val="105"/>
          <w:sz w:val="24"/>
          <w:u w:val="single"/>
        </w:rPr>
        <w:t>por</w:t>
      </w:r>
      <w:r>
        <w:rPr>
          <w:b/>
          <w:i/>
          <w:spacing w:val="-5"/>
          <w:w w:val="105"/>
          <w:sz w:val="24"/>
          <w:u w:val="single"/>
        </w:rPr>
        <w:t xml:space="preserve"> </w:t>
      </w:r>
      <w:r>
        <w:rPr>
          <w:b/>
          <w:i/>
          <w:w w:val="105"/>
          <w:sz w:val="24"/>
          <w:u w:val="single"/>
        </w:rPr>
        <w:t>las</w:t>
      </w:r>
      <w:r>
        <w:rPr>
          <w:b/>
          <w:i/>
          <w:spacing w:val="-6"/>
          <w:w w:val="105"/>
          <w:sz w:val="24"/>
          <w:u w:val="single"/>
        </w:rPr>
        <w:t xml:space="preserve"> </w:t>
      </w:r>
      <w:r>
        <w:rPr>
          <w:b/>
          <w:i/>
          <w:w w:val="105"/>
          <w:sz w:val="24"/>
          <w:u w:val="single"/>
        </w:rPr>
        <w:t>causales</w:t>
      </w:r>
      <w:r>
        <w:rPr>
          <w:b/>
          <w:i/>
          <w:spacing w:val="-2"/>
          <w:w w:val="105"/>
          <w:sz w:val="24"/>
          <w:u w:val="single"/>
        </w:rPr>
        <w:t xml:space="preserve"> </w:t>
      </w:r>
      <w:r>
        <w:rPr>
          <w:b/>
          <w:i/>
          <w:w w:val="105"/>
          <w:sz w:val="24"/>
          <w:u w:val="single"/>
        </w:rPr>
        <w:t>antes</w:t>
      </w:r>
      <w:r>
        <w:rPr>
          <w:b/>
          <w:i/>
          <w:spacing w:val="-7"/>
          <w:w w:val="105"/>
          <w:sz w:val="24"/>
          <w:u w:val="single"/>
        </w:rPr>
        <w:t xml:space="preserve"> </w:t>
      </w:r>
      <w:r>
        <w:rPr>
          <w:b/>
          <w:i/>
          <w:w w:val="105"/>
          <w:sz w:val="24"/>
          <w:u w:val="single"/>
        </w:rPr>
        <w:t>enunciadas,</w:t>
      </w:r>
      <w:r>
        <w:rPr>
          <w:b/>
          <w:i/>
          <w:spacing w:val="-7"/>
          <w:w w:val="105"/>
          <w:sz w:val="24"/>
          <w:u w:val="single"/>
        </w:rPr>
        <w:t xml:space="preserve"> </w:t>
      </w:r>
      <w:r>
        <w:rPr>
          <w:b/>
          <w:i/>
          <w:w w:val="105"/>
          <w:sz w:val="24"/>
          <w:u w:val="single"/>
        </w:rPr>
        <w:t>por</w:t>
      </w:r>
      <w:r>
        <w:rPr>
          <w:b/>
          <w:i/>
          <w:w w:val="105"/>
          <w:sz w:val="24"/>
        </w:rPr>
        <w:t xml:space="preserve"> </w:t>
      </w:r>
      <w:r>
        <w:rPr>
          <w:b/>
          <w:i/>
          <w:sz w:val="24"/>
          <w:u w:val="single"/>
        </w:rPr>
        <w:t>comprometer</w:t>
      </w:r>
      <w:r>
        <w:rPr>
          <w:b/>
          <w:i/>
          <w:spacing w:val="24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gravemente</w:t>
      </w:r>
      <w:r>
        <w:rPr>
          <w:b/>
          <w:i/>
          <w:spacing w:val="2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el</w:t>
      </w:r>
      <w:r>
        <w:rPr>
          <w:b/>
          <w:i/>
          <w:spacing w:val="2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patrimonio</w:t>
      </w:r>
      <w:r>
        <w:rPr>
          <w:b/>
          <w:i/>
          <w:spacing w:val="2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regional</w:t>
      </w:r>
      <w:r>
        <w:rPr>
          <w:b/>
          <w:i/>
          <w:spacing w:val="40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</w:t>
      </w:r>
      <w:r>
        <w:rPr>
          <w:b/>
          <w:i/>
          <w:spacing w:val="2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comunal</w:t>
      </w:r>
      <w:r>
        <w:rPr>
          <w:b/>
          <w:i/>
          <w:spacing w:val="29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o</w:t>
      </w:r>
      <w:r>
        <w:rPr>
          <w:b/>
          <w:i/>
          <w:spacing w:val="24"/>
          <w:sz w:val="24"/>
          <w:u w:val="single"/>
        </w:rPr>
        <w:t xml:space="preserve"> </w:t>
      </w:r>
      <w:r>
        <w:rPr>
          <w:b/>
          <w:i/>
          <w:spacing w:val="-2"/>
          <w:sz w:val="24"/>
          <w:u w:val="single"/>
        </w:rPr>
        <w:t>infringir</w:t>
      </w:r>
    </w:p>
    <w:p w:rsidR="00E558D1" w:rsidRDefault="00E558D1">
      <w:pPr>
        <w:spacing w:line="288" w:lineRule="auto"/>
        <w:jc w:val="both"/>
        <w:rPr>
          <w:sz w:val="24"/>
        </w:rPr>
        <w:sectPr w:rsidR="00E558D1">
          <w:type w:val="continuous"/>
          <w:pgSz w:w="12240" w:h="15840"/>
          <w:pgMar w:top="1340" w:right="1580" w:bottom="280" w:left="1600" w:header="720" w:footer="720" w:gutter="0"/>
          <w:cols w:space="720"/>
        </w:sectPr>
      </w:pPr>
    </w:p>
    <w:p w:rsidR="00E558D1" w:rsidRDefault="00B628A1">
      <w:pPr>
        <w:spacing w:before="77" w:line="288" w:lineRule="auto"/>
        <w:ind w:left="562" w:right="216"/>
        <w:jc w:val="both"/>
        <w:rPr>
          <w:b/>
          <w:i/>
          <w:sz w:val="24"/>
        </w:rPr>
      </w:pPr>
      <w:r>
        <w:rPr>
          <w:b/>
          <w:i/>
          <w:w w:val="105"/>
          <w:sz w:val="24"/>
          <w:u w:val="single"/>
        </w:rPr>
        <w:lastRenderedPageBreak/>
        <w:t>las</w:t>
      </w:r>
      <w:r>
        <w:rPr>
          <w:b/>
          <w:i/>
          <w:spacing w:val="-18"/>
          <w:w w:val="105"/>
          <w:sz w:val="24"/>
          <w:u w:val="single"/>
        </w:rPr>
        <w:t xml:space="preserve"> </w:t>
      </w:r>
      <w:r>
        <w:rPr>
          <w:b/>
          <w:i/>
          <w:w w:val="105"/>
          <w:sz w:val="24"/>
          <w:u w:val="single"/>
        </w:rPr>
        <w:t>normas</w:t>
      </w:r>
      <w:r>
        <w:rPr>
          <w:b/>
          <w:i/>
          <w:spacing w:val="-14"/>
          <w:w w:val="105"/>
          <w:sz w:val="24"/>
          <w:u w:val="single"/>
        </w:rPr>
        <w:t xml:space="preserve"> </w:t>
      </w:r>
      <w:r>
        <w:rPr>
          <w:b/>
          <w:i/>
          <w:w w:val="105"/>
          <w:sz w:val="24"/>
          <w:u w:val="single"/>
        </w:rPr>
        <w:t>sobre</w:t>
      </w:r>
      <w:r>
        <w:rPr>
          <w:b/>
          <w:i/>
          <w:spacing w:val="-17"/>
          <w:w w:val="105"/>
          <w:sz w:val="24"/>
          <w:u w:val="single"/>
        </w:rPr>
        <w:t xml:space="preserve"> </w:t>
      </w:r>
      <w:r>
        <w:rPr>
          <w:b/>
          <w:i/>
          <w:w w:val="105"/>
          <w:sz w:val="24"/>
          <w:u w:val="single"/>
        </w:rPr>
        <w:t>administración</w:t>
      </w:r>
      <w:r>
        <w:rPr>
          <w:b/>
          <w:i/>
          <w:spacing w:val="-15"/>
          <w:w w:val="105"/>
          <w:sz w:val="24"/>
          <w:u w:val="single"/>
        </w:rPr>
        <w:t xml:space="preserve"> </w:t>
      </w:r>
      <w:r>
        <w:rPr>
          <w:b/>
          <w:i/>
          <w:w w:val="105"/>
          <w:sz w:val="24"/>
          <w:u w:val="single"/>
        </w:rPr>
        <w:t>financiera</w:t>
      </w:r>
      <w:r>
        <w:rPr>
          <w:b/>
          <w:i/>
          <w:spacing w:val="-14"/>
          <w:w w:val="105"/>
          <w:sz w:val="24"/>
          <w:u w:val="single"/>
        </w:rPr>
        <w:t xml:space="preserve"> </w:t>
      </w:r>
      <w:r>
        <w:rPr>
          <w:b/>
          <w:i/>
          <w:w w:val="105"/>
          <w:sz w:val="24"/>
          <w:u w:val="single"/>
        </w:rPr>
        <w:t>y</w:t>
      </w:r>
      <w:r>
        <w:rPr>
          <w:b/>
          <w:i/>
          <w:spacing w:val="-18"/>
          <w:w w:val="105"/>
          <w:sz w:val="24"/>
          <w:u w:val="single"/>
        </w:rPr>
        <w:t xml:space="preserve"> </w:t>
      </w:r>
      <w:r>
        <w:rPr>
          <w:b/>
          <w:i/>
          <w:w w:val="105"/>
          <w:sz w:val="24"/>
          <w:u w:val="single"/>
        </w:rPr>
        <w:t>presupuestaria</w:t>
      </w:r>
      <w:r>
        <w:rPr>
          <w:b/>
          <w:i/>
          <w:spacing w:val="-13"/>
          <w:w w:val="105"/>
          <w:sz w:val="24"/>
          <w:u w:val="single"/>
        </w:rPr>
        <w:t xml:space="preserve"> </w:t>
      </w:r>
      <w:r>
        <w:rPr>
          <w:b/>
          <w:i/>
          <w:w w:val="105"/>
          <w:sz w:val="24"/>
          <w:u w:val="single"/>
        </w:rPr>
        <w:t>regional</w:t>
      </w:r>
      <w:r>
        <w:rPr>
          <w:b/>
          <w:i/>
          <w:w w:val="105"/>
          <w:sz w:val="24"/>
        </w:rPr>
        <w:t xml:space="preserve"> </w:t>
      </w:r>
      <w:r>
        <w:rPr>
          <w:b/>
          <w:i/>
          <w:w w:val="105"/>
          <w:sz w:val="24"/>
          <w:u w:val="single"/>
        </w:rPr>
        <w:t>o comunal y por infringir gravemente normas sobre probidad</w:t>
      </w:r>
      <w:r>
        <w:rPr>
          <w:b/>
          <w:i/>
          <w:w w:val="105"/>
          <w:sz w:val="24"/>
        </w:rPr>
        <w:t xml:space="preserve"> </w:t>
      </w:r>
      <w:r>
        <w:rPr>
          <w:b/>
          <w:i/>
          <w:spacing w:val="-2"/>
          <w:w w:val="105"/>
          <w:sz w:val="24"/>
          <w:u w:val="single"/>
        </w:rPr>
        <w:t>administrativas.</w:t>
      </w:r>
    </w:p>
    <w:p w:rsidR="00E558D1" w:rsidRDefault="00B628A1">
      <w:pPr>
        <w:spacing w:before="156" w:line="288" w:lineRule="auto"/>
        <w:ind w:left="202" w:right="220"/>
        <w:jc w:val="both"/>
        <w:rPr>
          <w:sz w:val="24"/>
        </w:rPr>
      </w:pPr>
      <w:r>
        <w:rPr>
          <w:b/>
          <w:sz w:val="24"/>
        </w:rPr>
        <w:t>Esta acusación podrá interponerse mientras el Presidente,</w:t>
      </w:r>
      <w:r>
        <w:rPr>
          <w:b/>
          <w:spacing w:val="-8"/>
          <w:sz w:val="24"/>
        </w:rPr>
        <w:t xml:space="preserve"> </w:t>
      </w:r>
      <w:r>
        <w:rPr>
          <w:b/>
          <w:i/>
          <w:sz w:val="24"/>
          <w:u w:val="single"/>
        </w:rPr>
        <w:t>el Gobernador</w:t>
      </w:r>
      <w:r>
        <w:rPr>
          <w:b/>
          <w:i/>
          <w:sz w:val="24"/>
        </w:rPr>
        <w:t xml:space="preserve"> </w:t>
      </w:r>
      <w:r>
        <w:rPr>
          <w:b/>
          <w:i/>
          <w:w w:val="105"/>
          <w:sz w:val="24"/>
          <w:u w:val="single"/>
        </w:rPr>
        <w:t>Regional</w:t>
      </w:r>
      <w:r>
        <w:rPr>
          <w:b/>
          <w:i/>
          <w:spacing w:val="-17"/>
          <w:w w:val="105"/>
          <w:sz w:val="24"/>
          <w:u w:val="single"/>
        </w:rPr>
        <w:t xml:space="preserve"> </w:t>
      </w:r>
      <w:r>
        <w:rPr>
          <w:b/>
          <w:i/>
          <w:w w:val="105"/>
          <w:sz w:val="24"/>
          <w:u w:val="single"/>
        </w:rPr>
        <w:t>y</w:t>
      </w:r>
      <w:r>
        <w:rPr>
          <w:b/>
          <w:i/>
          <w:spacing w:val="-6"/>
          <w:w w:val="105"/>
          <w:sz w:val="24"/>
          <w:u w:val="single"/>
        </w:rPr>
        <w:t xml:space="preserve"> </w:t>
      </w:r>
      <w:r>
        <w:rPr>
          <w:b/>
          <w:i/>
          <w:w w:val="105"/>
          <w:sz w:val="24"/>
          <w:u w:val="single"/>
        </w:rPr>
        <w:t>el</w:t>
      </w:r>
      <w:r>
        <w:rPr>
          <w:b/>
          <w:i/>
          <w:spacing w:val="-4"/>
          <w:w w:val="105"/>
          <w:sz w:val="24"/>
          <w:u w:val="single"/>
        </w:rPr>
        <w:t xml:space="preserve"> </w:t>
      </w:r>
      <w:r>
        <w:rPr>
          <w:b/>
          <w:i/>
          <w:w w:val="105"/>
          <w:sz w:val="24"/>
          <w:u w:val="single"/>
        </w:rPr>
        <w:t>Alcalde</w:t>
      </w:r>
      <w:r>
        <w:rPr>
          <w:b/>
          <w:i/>
          <w:spacing w:val="-6"/>
          <w:w w:val="105"/>
          <w:sz w:val="24"/>
          <w:u w:val="single"/>
        </w:rPr>
        <w:t xml:space="preserve"> </w:t>
      </w:r>
      <w:r>
        <w:rPr>
          <w:b/>
          <w:i/>
          <w:w w:val="105"/>
          <w:sz w:val="24"/>
          <w:u w:val="single"/>
        </w:rPr>
        <w:t>estén</w:t>
      </w:r>
      <w:r>
        <w:rPr>
          <w:b/>
          <w:i/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funciones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y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los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seis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meses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siguientes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su expiración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en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el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cargo.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Durante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este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último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tiempo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no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podrá</w:t>
      </w:r>
      <w:r>
        <w:rPr>
          <w:i/>
          <w:w w:val="105"/>
          <w:sz w:val="24"/>
        </w:rPr>
        <w:t>n</w:t>
      </w:r>
      <w:r>
        <w:rPr>
          <w:i/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ausentarse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la República sin acuerdo de la Cámara.</w:t>
      </w:r>
    </w:p>
    <w:sectPr w:rsidR="00E558D1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58D1"/>
    <w:rsid w:val="00B628A1"/>
    <w:rsid w:val="00E5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B4803A-BF8E-42A5-AAA0-4DC2A131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Alinco</dc:creator>
  <cp:lastModifiedBy>Guillermo Diaz Vallejos</cp:lastModifiedBy>
  <cp:revision>1</cp:revision>
  <dcterms:created xsi:type="dcterms:W3CDTF">2023-08-30T13:25:00Z</dcterms:created>
  <dcterms:modified xsi:type="dcterms:W3CDTF">2023-09-04T21:03:00Z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2023-08-30T00:00:00Z</vt:filetime>
  </property>
  <property fmtid="{D5CDD505-2E9C-101B-9397-08002B2CF9AE}" pid="5" name="Producer">
    <vt:lpwstr>Microsoft® Word LTSC</vt:lpwstr>
  </property>
</Properties>
</file>