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6EC" w:rsidRDefault="005C0366">
      <w:pPr>
        <w:pStyle w:val="Ttulo1"/>
        <w:spacing w:before="75" w:line="360" w:lineRule="auto"/>
        <w:ind w:left="2668" w:hanging="2461"/>
        <w:rPr>
          <w:b/>
        </w:rPr>
      </w:pPr>
      <w:r>
        <w:rPr>
          <w:b/>
        </w:rPr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DECLARAR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DÍA</w:t>
      </w:r>
      <w:r>
        <w:rPr>
          <w:b/>
          <w:spacing w:val="-4"/>
        </w:rPr>
        <w:t xml:space="preserve"> </w:t>
      </w:r>
      <w:r>
        <w:rPr>
          <w:b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ABRIL</w:t>
      </w:r>
      <w:r>
        <w:rPr>
          <w:b/>
          <w:spacing w:val="-4"/>
        </w:rPr>
        <w:t xml:space="preserve"> </w:t>
      </w:r>
      <w:r>
        <w:rPr>
          <w:b/>
        </w:rPr>
        <w:t>COMO</w:t>
      </w:r>
      <w:r>
        <w:rPr>
          <w:b/>
          <w:spacing w:val="-4"/>
        </w:rPr>
        <w:t xml:space="preserve"> </w:t>
      </w:r>
      <w:r>
        <w:rPr>
          <w:b/>
        </w:rPr>
        <w:t>EL DÍA NACIONAL DEL COPIHUE</w:t>
      </w: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3606EC">
      <w:pPr>
        <w:pStyle w:val="Textoindependiente"/>
        <w:spacing w:before="1"/>
        <w:rPr>
          <w:b/>
          <w:i w:val="0"/>
          <w:sz w:val="29"/>
        </w:rPr>
      </w:pPr>
    </w:p>
    <w:p w:rsidR="003606EC" w:rsidRDefault="005C0366">
      <w:pPr>
        <w:ind w:left="102"/>
        <w:rPr>
          <w:b/>
          <w:sz w:val="24"/>
        </w:rPr>
      </w:pPr>
      <w:r>
        <w:rPr>
          <w:b/>
          <w:spacing w:val="-2"/>
          <w:sz w:val="24"/>
        </w:rPr>
        <w:t>ANTECEDENTES.</w:t>
      </w: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5C0366">
      <w:pPr>
        <w:spacing w:before="225" w:line="360" w:lineRule="auto"/>
        <w:ind w:left="102" w:right="115"/>
        <w:jc w:val="both"/>
        <w:rPr>
          <w:sz w:val="24"/>
        </w:rPr>
      </w:pPr>
      <w:r>
        <w:rPr>
          <w:sz w:val="24"/>
        </w:rPr>
        <w:t>El Copihue o Lapageria Rosea</w:t>
      </w:r>
      <w:r>
        <w:rPr>
          <w:spacing w:val="-1"/>
          <w:sz w:val="24"/>
        </w:rPr>
        <w:t xml:space="preserve"> </w:t>
      </w:r>
      <w:r>
        <w:rPr>
          <w:sz w:val="24"/>
        </w:rPr>
        <w:t>Ruiz et Pav, de acuerdo a su nombre científico, ha sido declarada oficialmente la flor nacional de Chile desde el 24 de febrero de 1977, por tratarse de una especie endémica, y por causa de su belleza y exclusividad, que la ha llevado a tener un gran valor</w:t>
      </w:r>
      <w:r>
        <w:rPr>
          <w:sz w:val="24"/>
        </w:rPr>
        <w:t xml:space="preserve"> </w:t>
      </w:r>
      <w:r>
        <w:rPr>
          <w:spacing w:val="-2"/>
          <w:sz w:val="24"/>
        </w:rPr>
        <w:t>ornamental.</w:t>
      </w:r>
    </w:p>
    <w:p w:rsidR="003606EC" w:rsidRDefault="005C0366">
      <w:pPr>
        <w:spacing w:before="160" w:line="360" w:lineRule="auto"/>
        <w:ind w:left="102" w:right="115"/>
        <w:jc w:val="both"/>
        <w:rPr>
          <w:sz w:val="24"/>
        </w:rPr>
      </w:pP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trata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z w:val="24"/>
        </w:rPr>
        <w:t>especie</w:t>
      </w:r>
      <w:r>
        <w:rPr>
          <w:spacing w:val="-18"/>
          <w:sz w:val="24"/>
        </w:rPr>
        <w:t xml:space="preserve"> </w:t>
      </w:r>
      <w:r>
        <w:rPr>
          <w:sz w:val="24"/>
        </w:rPr>
        <w:t>endémica,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18"/>
          <w:sz w:val="24"/>
        </w:rPr>
        <w:t xml:space="preserve"> </w:t>
      </w:r>
      <w:r>
        <w:rPr>
          <w:sz w:val="24"/>
        </w:rPr>
        <w:t>naturalmente</w:t>
      </w:r>
      <w:r>
        <w:rPr>
          <w:spacing w:val="-18"/>
          <w:sz w:val="24"/>
        </w:rPr>
        <w:t xml:space="preserve"> </w:t>
      </w:r>
      <w:r>
        <w:rPr>
          <w:sz w:val="24"/>
        </w:rPr>
        <w:t>entre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8"/>
          <w:sz w:val="24"/>
        </w:rPr>
        <w:t xml:space="preserve"> </w:t>
      </w:r>
      <w:r>
        <w:rPr>
          <w:sz w:val="24"/>
        </w:rPr>
        <w:t>regiones de</w:t>
      </w:r>
      <w:r>
        <w:rPr>
          <w:spacing w:val="-16"/>
          <w:sz w:val="24"/>
        </w:rPr>
        <w:t xml:space="preserve"> </w:t>
      </w:r>
      <w:r>
        <w:rPr>
          <w:sz w:val="24"/>
        </w:rPr>
        <w:t>Valparaíso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Lagos.</w:t>
      </w:r>
      <w:r>
        <w:rPr>
          <w:spacing w:val="-16"/>
          <w:sz w:val="24"/>
        </w:rPr>
        <w:t xml:space="preserve"> </w:t>
      </w:r>
      <w:r>
        <w:rPr>
          <w:sz w:val="24"/>
        </w:rPr>
        <w:t>Sin</w:t>
      </w:r>
      <w:r>
        <w:rPr>
          <w:spacing w:val="-16"/>
          <w:sz w:val="24"/>
        </w:rPr>
        <w:t xml:space="preserve"> </w:t>
      </w:r>
      <w:r>
        <w:rPr>
          <w:sz w:val="24"/>
        </w:rPr>
        <w:t>embargo,</w:t>
      </w:r>
      <w:r>
        <w:rPr>
          <w:spacing w:val="-16"/>
          <w:sz w:val="24"/>
        </w:rPr>
        <w:t xml:space="preserve"> </w:t>
      </w:r>
      <w:r>
        <w:rPr>
          <w:sz w:val="24"/>
        </w:rPr>
        <w:t>cabe</w:t>
      </w:r>
      <w:r>
        <w:rPr>
          <w:spacing w:val="-16"/>
          <w:sz w:val="24"/>
        </w:rPr>
        <w:t xml:space="preserve"> </w:t>
      </w:r>
      <w:r>
        <w:rPr>
          <w:sz w:val="24"/>
        </w:rPr>
        <w:t>mencionar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regiones de Valparaíso y O’Higgins es escaza y una especie amenazada, por esta razón, el Decreto N°129, de 1971, del Ministerio de Agricultura establece:</w:t>
      </w:r>
    </w:p>
    <w:p w:rsidR="003606EC" w:rsidRDefault="005C0366">
      <w:pPr>
        <w:pStyle w:val="Textoindependiente"/>
        <w:spacing w:before="161" w:line="360" w:lineRule="auto"/>
        <w:ind w:left="102" w:right="117"/>
        <w:jc w:val="both"/>
      </w:pPr>
      <w:r>
        <w:t>“Prohíbese, en todo el territorio nacional el arranque, la corta total o parcial,</w:t>
      </w:r>
      <w:r>
        <w:t xml:space="preserve"> el transporte y la c</w:t>
      </w:r>
      <w:r>
        <w:t>omercialización de plantas y flores de la especie copihue (Lapageria rosea). Igualmente, prohíbese su tenencia en lugares de venta o en la vía pública.”</w:t>
      </w:r>
    </w:p>
    <w:p w:rsidR="003606EC" w:rsidRDefault="005C0366">
      <w:pPr>
        <w:spacing w:before="160" w:line="360" w:lineRule="auto"/>
        <w:ind w:left="102" w:right="115"/>
        <w:jc w:val="both"/>
        <w:rPr>
          <w:sz w:val="24"/>
        </w:rPr>
      </w:pPr>
      <w:r>
        <w:rPr>
          <w:sz w:val="24"/>
        </w:rPr>
        <w:t>No obstante, el mismo decreto declara que está permitido el transporte, tenencia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plantas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flores</w:t>
      </w:r>
      <w:r>
        <w:rPr>
          <w:spacing w:val="-1"/>
          <w:sz w:val="24"/>
        </w:rPr>
        <w:t xml:space="preserve"> </w:t>
      </w:r>
      <w:r>
        <w:rPr>
          <w:sz w:val="24"/>
        </w:rPr>
        <w:t>cuyo</w:t>
      </w:r>
      <w:r>
        <w:rPr>
          <w:spacing w:val="-1"/>
          <w:sz w:val="24"/>
        </w:rPr>
        <w:t xml:space="preserve"> </w:t>
      </w:r>
      <w:r>
        <w:rPr>
          <w:sz w:val="24"/>
        </w:rPr>
        <w:t>origen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 a</w:t>
      </w:r>
      <w:r>
        <w:rPr>
          <w:spacing w:val="-9"/>
          <w:sz w:val="24"/>
        </w:rPr>
        <w:t xml:space="preserve"> </w:t>
      </w:r>
      <w:r>
        <w:rPr>
          <w:sz w:val="24"/>
        </w:rPr>
        <w:t>viveros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criaderos</w:t>
      </w:r>
      <w:r>
        <w:rPr>
          <w:spacing w:val="-1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SAG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comercialización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aquellas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provengan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copihueras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naturales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inscritas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efecto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SAG, </w:t>
      </w:r>
      <w:r>
        <w:rPr>
          <w:sz w:val="24"/>
        </w:rPr>
        <w:t>a solicitud de sus dueños o tenedores.</w:t>
      </w:r>
    </w:p>
    <w:p w:rsidR="003606EC" w:rsidRDefault="005C0366">
      <w:pPr>
        <w:pStyle w:val="Textoindependiente"/>
        <w:spacing w:before="161" w:line="360" w:lineRule="auto"/>
        <w:ind w:left="102" w:right="118"/>
        <w:jc w:val="both"/>
      </w:pPr>
      <w:r>
        <w:t>“Es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arbusto</w:t>
      </w:r>
      <w:r>
        <w:rPr>
          <w:spacing w:val="-14"/>
        </w:rPr>
        <w:t xml:space="preserve"> </w:t>
      </w:r>
      <w:r>
        <w:t>ramoso,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tallo</w:t>
      </w:r>
      <w:r>
        <w:rPr>
          <w:spacing w:val="-14"/>
        </w:rPr>
        <w:t xml:space="preserve"> </w:t>
      </w:r>
      <w:r>
        <w:t>voluble,</w:t>
      </w:r>
      <w:r>
        <w:rPr>
          <w:spacing w:val="-13"/>
        </w:rPr>
        <w:t xml:space="preserve"> </w:t>
      </w:r>
      <w:r>
        <w:t>articulado,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alcanzar</w:t>
      </w:r>
      <w:r>
        <w:rPr>
          <w:spacing w:val="-14"/>
        </w:rPr>
        <w:t xml:space="preserve"> </w:t>
      </w:r>
      <w:r>
        <w:t>hasta</w:t>
      </w:r>
      <w:r>
        <w:t xml:space="preserve"> 6</w:t>
      </w:r>
      <w:r>
        <w:rPr>
          <w:spacing w:val="-6"/>
        </w:rPr>
        <w:t xml:space="preserve"> </w:t>
      </w:r>
      <w:r>
        <w:t>m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altura.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copihue</w:t>
      </w:r>
      <w:r>
        <w:rPr>
          <w:spacing w:val="-8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hojas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alterna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ramilla, de</w:t>
      </w:r>
      <w:r>
        <w:rPr>
          <w:spacing w:val="30"/>
        </w:rPr>
        <w:t xml:space="preserve"> </w:t>
      </w:r>
      <w:r>
        <w:t>forma</w:t>
      </w:r>
      <w:r>
        <w:rPr>
          <w:spacing w:val="32"/>
        </w:rPr>
        <w:t xml:space="preserve"> </w:t>
      </w:r>
      <w:r>
        <w:t>lanceolado-aovada,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tamaño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hasta</w:t>
      </w:r>
      <w:r>
        <w:rPr>
          <w:spacing w:val="30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cm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largo.</w:t>
      </w:r>
      <w:r>
        <w:rPr>
          <w:spacing w:val="33"/>
        </w:rPr>
        <w:t xml:space="preserve"> </w:t>
      </w:r>
      <w:r>
        <w:rPr>
          <w:spacing w:val="-5"/>
        </w:rPr>
        <w:t>Las</w:t>
      </w:r>
    </w:p>
    <w:p w:rsidR="003606EC" w:rsidRDefault="003606EC">
      <w:pPr>
        <w:spacing w:line="360" w:lineRule="auto"/>
        <w:jc w:val="both"/>
        <w:sectPr w:rsidR="003606EC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3606EC" w:rsidRDefault="005C0366">
      <w:pPr>
        <w:pStyle w:val="Textoindependiente"/>
        <w:spacing w:before="76" w:line="360" w:lineRule="auto"/>
        <w:ind w:left="102" w:right="124"/>
        <w:jc w:val="both"/>
      </w:pPr>
      <w:r>
        <w:lastRenderedPageBreak/>
        <w:t>hojas presentan borde o margen liso, de ápice agudo (hojas acuminadas),</w:t>
      </w:r>
      <w:r>
        <w:t xml:space="preserve"> base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corazón</w:t>
      </w:r>
      <w:r>
        <w:rPr>
          <w:spacing w:val="-6"/>
        </w:rPr>
        <w:t xml:space="preserve"> </w:t>
      </w:r>
      <w:r>
        <w:t>(forma</w:t>
      </w:r>
      <w:r>
        <w:rPr>
          <w:spacing w:val="-8"/>
        </w:rPr>
        <w:t xml:space="preserve"> </w:t>
      </w:r>
      <w:r>
        <w:t>cordada),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textura</w:t>
      </w:r>
      <w:r>
        <w:rPr>
          <w:spacing w:val="-8"/>
        </w:rPr>
        <w:t xml:space="preserve"> </w:t>
      </w:r>
      <w:r>
        <w:t>coriácea</w:t>
      </w:r>
      <w:r>
        <w:rPr>
          <w:spacing w:val="-8"/>
        </w:rPr>
        <w:t xml:space="preserve"> </w:t>
      </w:r>
      <w:r>
        <w:t>(como</w:t>
      </w:r>
      <w:r>
        <w:rPr>
          <w:spacing w:val="-6"/>
        </w:rPr>
        <w:t xml:space="preserve"> </w:t>
      </w:r>
      <w:r>
        <w:t>cuero), con notorios de 3 a 5 nervios o nervaduras paralelas.</w:t>
      </w:r>
    </w:p>
    <w:p w:rsidR="003606EC" w:rsidRDefault="005C0366">
      <w:pPr>
        <w:pStyle w:val="Textoindependiente"/>
        <w:spacing w:before="160" w:line="360" w:lineRule="auto"/>
        <w:ind w:left="102" w:right="115"/>
        <w:jc w:val="both"/>
      </w:pPr>
      <w:r>
        <w:t>Las flores del Copihue alcanzan un tamaño de hasta 10 cm de largo,</w:t>
      </w:r>
      <w:r>
        <w:t xml:space="preserve"> presentan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pedúnculo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largo,</w:t>
      </w:r>
      <w:r>
        <w:rPr>
          <w:spacing w:val="-6"/>
        </w:rPr>
        <w:t xml:space="preserve"> </w:t>
      </w:r>
      <w:r>
        <w:t>carente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pelos</w:t>
      </w:r>
      <w:r>
        <w:rPr>
          <w:spacing w:val="-6"/>
        </w:rPr>
        <w:t xml:space="preserve"> </w:t>
      </w:r>
      <w:r>
        <w:t>(glabros), con</w:t>
      </w:r>
      <w:r>
        <w:rPr>
          <w:spacing w:val="-10"/>
        </w:rPr>
        <w:t xml:space="preserve"> </w:t>
      </w:r>
      <w:r>
        <w:t>pequeñas</w:t>
      </w:r>
      <w:r>
        <w:rPr>
          <w:spacing w:val="-11"/>
        </w:rPr>
        <w:t xml:space="preserve"> </w:t>
      </w:r>
      <w:r>
        <w:t>brácteas.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flor</w:t>
      </w:r>
      <w:r>
        <w:rPr>
          <w:spacing w:val="-10"/>
        </w:rPr>
        <w:t xml:space="preserve"> </w:t>
      </w:r>
      <w:r>
        <w:t>consta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tépalos</w:t>
      </w:r>
      <w:r>
        <w:rPr>
          <w:spacing w:val="-10"/>
        </w:rPr>
        <w:t xml:space="preserve"> </w:t>
      </w:r>
      <w:r>
        <w:t>libres,</w:t>
      </w:r>
      <w:r>
        <w:rPr>
          <w:spacing w:val="-11"/>
        </w:rPr>
        <w:t xml:space="preserve"> </w:t>
      </w:r>
      <w:r>
        <w:t>organizados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dos series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tépalos</w:t>
      </w:r>
      <w:r>
        <w:rPr>
          <w:spacing w:val="-4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intercalada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otra.</w:t>
      </w:r>
      <w:r>
        <w:rPr>
          <w:spacing w:val="-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tépalo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linear- espatulada, con un tamaño de hasta 8,5 cm los externos y hasta 9,5 cm los internos, aquillados en la base, de colores que van desde el blanco marfil, rosado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rojo.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estambres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flor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llega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tamaño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7 cm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largo,</w:t>
      </w:r>
      <w:r>
        <w:rPr>
          <w:spacing w:val="-15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filamentos</w:t>
      </w:r>
      <w:r>
        <w:rPr>
          <w:spacing w:val="-15"/>
        </w:rPr>
        <w:t xml:space="preserve"> </w:t>
      </w:r>
      <w:r>
        <w:t>blancos.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ovario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linear-oblongo,</w:t>
      </w:r>
      <w:r>
        <w:rPr>
          <w:spacing w:val="-13"/>
        </w:rPr>
        <w:t xml:space="preserve"> </w:t>
      </w:r>
      <w:r>
        <w:t>más fino hacia el ápice, verde.</w:t>
      </w:r>
    </w:p>
    <w:p w:rsidR="003606EC" w:rsidRDefault="005C0366">
      <w:pPr>
        <w:pStyle w:val="Textoindependiente"/>
        <w:spacing w:before="162" w:line="360" w:lineRule="auto"/>
        <w:ind w:left="102" w:right="117"/>
        <w:jc w:val="both"/>
        <w:rPr>
          <w:sz w:val="16"/>
        </w:rPr>
      </w:pPr>
      <w:r>
        <w:t>El</w:t>
      </w:r>
      <w:r>
        <w:rPr>
          <w:spacing w:val="-18"/>
        </w:rPr>
        <w:t xml:space="preserve"> </w:t>
      </w:r>
      <w:r>
        <w:t>fruto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Copihue</w:t>
      </w:r>
      <w:r>
        <w:rPr>
          <w:spacing w:val="-15"/>
        </w:rPr>
        <w:t xml:space="preserve"> </w:t>
      </w:r>
      <w:r>
        <w:t>(Lapageria</w:t>
      </w:r>
      <w:r>
        <w:rPr>
          <w:spacing w:val="-18"/>
        </w:rPr>
        <w:t xml:space="preserve"> </w:t>
      </w:r>
      <w:r>
        <w:t>rosea)</w:t>
      </w:r>
      <w:r>
        <w:rPr>
          <w:spacing w:val="-15"/>
        </w:rPr>
        <w:t xml:space="preserve"> </w:t>
      </w:r>
      <w:r>
        <w:t>corresponde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baya</w:t>
      </w:r>
      <w:r>
        <w:rPr>
          <w:spacing w:val="-15"/>
        </w:rPr>
        <w:t xml:space="preserve"> </w:t>
      </w:r>
      <w:r>
        <w:t>ovado-oblonga</w:t>
      </w:r>
      <w:r>
        <w:t xml:space="preserve"> a esférica, de textura lisa, tendiente a aguda en el ápice (acuminada), de coloración verde a amarilla cuando madura, con numerosas semillas en su interior, contenidas en una pulpa blanca y dulce al interior de la baya.”</w:t>
      </w:r>
      <w:r>
        <w:rPr>
          <w:position w:val="6"/>
          <w:sz w:val="16"/>
        </w:rPr>
        <w:t>1</w:t>
      </w:r>
    </w:p>
    <w:p w:rsidR="003606EC" w:rsidRDefault="005C0366">
      <w:pPr>
        <w:pStyle w:val="Textoindependiente"/>
        <w:spacing w:before="160" w:line="360" w:lineRule="auto"/>
        <w:ind w:left="102" w:right="119"/>
        <w:jc w:val="both"/>
        <w:rPr>
          <w:sz w:val="16"/>
        </w:rPr>
      </w:pPr>
      <w:r>
        <w:rPr>
          <w:i w:val="0"/>
        </w:rPr>
        <w:t>En</w:t>
      </w:r>
      <w:r>
        <w:rPr>
          <w:i w:val="0"/>
          <w:spacing w:val="-1"/>
        </w:rPr>
        <w:t xml:space="preserve"> </w:t>
      </w:r>
      <w:r>
        <w:rPr>
          <w:i w:val="0"/>
        </w:rPr>
        <w:t>cuanto</w:t>
      </w:r>
      <w:r>
        <w:rPr>
          <w:i w:val="0"/>
          <w:spacing w:val="-1"/>
        </w:rPr>
        <w:t xml:space="preserve"> </w:t>
      </w:r>
      <w:r>
        <w:rPr>
          <w:i w:val="0"/>
        </w:rPr>
        <w:t>a su</w:t>
      </w:r>
      <w:r>
        <w:rPr>
          <w:i w:val="0"/>
          <w:spacing w:val="-1"/>
        </w:rPr>
        <w:t xml:space="preserve"> </w:t>
      </w:r>
      <w:r>
        <w:rPr>
          <w:i w:val="0"/>
        </w:rPr>
        <w:t>recolección</w:t>
      </w:r>
      <w:r>
        <w:rPr>
          <w:i w:val="0"/>
          <w:spacing w:val="-1"/>
        </w:rPr>
        <w:t xml:space="preserve"> </w:t>
      </w:r>
      <w:r>
        <w:rPr>
          <w:i w:val="0"/>
        </w:rPr>
        <w:t>y</w:t>
      </w:r>
      <w:r>
        <w:rPr>
          <w:i w:val="0"/>
          <w:spacing w:val="-1"/>
        </w:rPr>
        <w:t xml:space="preserve"> </w:t>
      </w:r>
      <w:r>
        <w:rPr>
          <w:i w:val="0"/>
        </w:rPr>
        <w:t>come</w:t>
      </w:r>
      <w:r>
        <w:rPr>
          <w:i w:val="0"/>
        </w:rPr>
        <w:t xml:space="preserve">rcialización </w:t>
      </w:r>
      <w:r>
        <w:t>“El</w:t>
      </w:r>
      <w:r>
        <w:rPr>
          <w:spacing w:val="-1"/>
        </w:rPr>
        <w:t xml:space="preserve"> </w:t>
      </w:r>
      <w:r>
        <w:t>copihue</w:t>
      </w:r>
      <w:r>
        <w:rPr>
          <w:spacing w:val="-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considerado</w:t>
      </w:r>
      <w:r>
        <w:t xml:space="preserve"> entre los principales productos no madereros provenientes del bosque nativo chileno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recolección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cultivo</w:t>
      </w:r>
      <w:r>
        <w:rPr>
          <w:spacing w:val="-11"/>
        </w:rPr>
        <w:t xml:space="preserve"> </w:t>
      </w:r>
      <w:r>
        <w:t>sustentable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tenido</w:t>
      </w:r>
      <w:r>
        <w:rPr>
          <w:spacing w:val="-1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mercado</w:t>
      </w:r>
      <w:r>
        <w:rPr>
          <w:spacing w:val="-11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 xml:space="preserve">y nacional creciente en los últimos años, corroborado por la reciente aparición de nuevos productos de tipo gourmet a partir de esta emblemática especie </w:t>
      </w:r>
      <w:r>
        <w:rPr>
          <w:spacing w:val="-2"/>
        </w:rPr>
        <w:t>chilena.”</w:t>
      </w:r>
      <w:r>
        <w:rPr>
          <w:spacing w:val="-2"/>
          <w:position w:val="6"/>
          <w:sz w:val="16"/>
        </w:rPr>
        <w:t>2</w:t>
      </w:r>
    </w:p>
    <w:p w:rsidR="003606EC" w:rsidRDefault="005C0366">
      <w:pPr>
        <w:spacing w:before="160" w:line="360" w:lineRule="auto"/>
        <w:ind w:left="102" w:right="117"/>
        <w:jc w:val="both"/>
        <w:rPr>
          <w:sz w:val="24"/>
        </w:rPr>
      </w:pPr>
      <w:r>
        <w:rPr>
          <w:sz w:val="24"/>
        </w:rPr>
        <w:t>Así las cosas, consideramos necesario asignar un día específico para recordar la importancia</w:t>
      </w:r>
      <w:r>
        <w:rPr>
          <w:sz w:val="24"/>
        </w:rPr>
        <w:t xml:space="preserve"> de nuestra flor nacional, que además consigne la importancia del trabajo que realizan todos aquellos que se dedican a la recolección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esta</w:t>
      </w:r>
      <w:r>
        <w:rPr>
          <w:spacing w:val="45"/>
          <w:sz w:val="24"/>
        </w:rPr>
        <w:t xml:space="preserve"> </w:t>
      </w:r>
      <w:r>
        <w:rPr>
          <w:sz w:val="24"/>
        </w:rPr>
        <w:t>flor,</w:t>
      </w:r>
      <w:r>
        <w:rPr>
          <w:spacing w:val="45"/>
          <w:sz w:val="24"/>
        </w:rPr>
        <w:t xml:space="preserve"> </w:t>
      </w:r>
      <w:r>
        <w:rPr>
          <w:sz w:val="24"/>
        </w:rPr>
        <w:t>conocidos</w:t>
      </w:r>
      <w:r>
        <w:rPr>
          <w:spacing w:val="45"/>
          <w:sz w:val="24"/>
        </w:rPr>
        <w:t xml:space="preserve"> </w:t>
      </w:r>
      <w:r>
        <w:rPr>
          <w:sz w:val="24"/>
        </w:rPr>
        <w:t>como</w:t>
      </w:r>
      <w:r>
        <w:rPr>
          <w:spacing w:val="45"/>
          <w:sz w:val="24"/>
        </w:rPr>
        <w:t xml:space="preserve"> </w:t>
      </w:r>
      <w:r>
        <w:rPr>
          <w:sz w:val="24"/>
        </w:rPr>
        <w:t>copihueros,</w:t>
      </w:r>
      <w:r>
        <w:rPr>
          <w:spacing w:val="44"/>
          <w:sz w:val="24"/>
        </w:rPr>
        <w:t xml:space="preserve"> </w:t>
      </w:r>
      <w:r>
        <w:rPr>
          <w:sz w:val="24"/>
        </w:rPr>
        <w:t>cuya</w:t>
      </w:r>
      <w:r>
        <w:rPr>
          <w:spacing w:val="45"/>
          <w:sz w:val="24"/>
        </w:rPr>
        <w:t xml:space="preserve"> </w:t>
      </w:r>
      <w:r>
        <w:rPr>
          <w:sz w:val="24"/>
        </w:rPr>
        <w:t>costumbre</w:t>
      </w:r>
      <w:r>
        <w:rPr>
          <w:spacing w:val="46"/>
          <w:sz w:val="24"/>
        </w:rPr>
        <w:t xml:space="preserve"> </w:t>
      </w:r>
      <w:r>
        <w:rPr>
          <w:spacing w:val="-5"/>
          <w:sz w:val="24"/>
        </w:rPr>
        <w:t>se</w:t>
      </w:r>
    </w:p>
    <w:p w:rsidR="003606EC" w:rsidRDefault="005C0366">
      <w:pPr>
        <w:pStyle w:val="Textoindependiente"/>
        <w:spacing w:before="3"/>
        <w:rPr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151342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ABB5" id="Graphic 1" o:spid="_x0000_s1026" style="position:absolute;margin-left:85.1pt;margin-top:11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WsNQ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EC" w:rsidRDefault="005C0366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3"/>
          <w:sz w:val="20"/>
        </w:rPr>
        <w:t xml:space="preserve"> </w:t>
      </w:r>
      <w:hyperlink r:id="rId4">
        <w:r>
          <w:rPr>
            <w:rFonts w:ascii="Calibri" w:hAnsi="Calibri"/>
            <w:color w:val="0462C1"/>
            <w:sz w:val="20"/>
            <w:u w:val="single" w:color="0462C1"/>
          </w:rPr>
          <w:t>http://www.chilebosque.cl/epiv/lapageria_rosea.html</w:t>
        </w:r>
        <w:r>
          <w:rPr>
            <w:rFonts w:ascii="Calibri" w:hAnsi="Calibri"/>
            <w:sz w:val="20"/>
          </w:rPr>
          <w:t>.</w:t>
        </w:r>
      </w:hyperlink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Última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vez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revisado: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abril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spacing w:val="-2"/>
          <w:sz w:val="20"/>
        </w:rPr>
        <w:t>2023.</w:t>
      </w:r>
    </w:p>
    <w:p w:rsidR="003606EC" w:rsidRDefault="005C0366">
      <w:pPr>
        <w:spacing w:line="252" w:lineRule="auto"/>
        <w:ind w:left="102" w:right="40"/>
        <w:rPr>
          <w:rFonts w:ascii="Calibri" w:hAnsi="Calibri"/>
          <w:sz w:val="20"/>
        </w:rPr>
      </w:pPr>
      <w:r>
        <w:rPr>
          <w:rFonts w:ascii="Calibri" w:hAnsi="Calibri"/>
          <w:position w:val="8"/>
          <w:sz w:val="16"/>
        </w:rPr>
        <w:t>2</w:t>
      </w:r>
      <w:r>
        <w:rPr>
          <w:rFonts w:ascii="Calibri" w:hAnsi="Calibri"/>
          <w:spacing w:val="14"/>
          <w:position w:val="8"/>
          <w:sz w:val="16"/>
        </w:rPr>
        <w:t xml:space="preserve"> </w:t>
      </w:r>
      <w:r>
        <w:rPr>
          <w:rFonts w:ascii="Calibri" w:hAnsi="Calibri"/>
          <w:sz w:val="20"/>
        </w:rPr>
        <w:t>Navia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Espinoza,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Juan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Carlos.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ANÁLISIS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COPIHUE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COMUNA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LONCOCHE: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PERFIL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PARA SU GESTIÓN TÉCNICO SOCIAL BASADO EN SU SOSTENIBILIDAD Y VALOR PATRIMONIAL Y TURÍSTICO.</w:t>
      </w:r>
    </w:p>
    <w:p w:rsidR="003606EC" w:rsidRDefault="003606EC">
      <w:pPr>
        <w:spacing w:line="252" w:lineRule="auto"/>
        <w:rPr>
          <w:rFonts w:ascii="Calibri" w:hAnsi="Calibri"/>
          <w:sz w:val="20"/>
        </w:rPr>
        <w:sectPr w:rsidR="003606EC">
          <w:pgSz w:w="12240" w:h="15840"/>
          <w:pgMar w:top="1340" w:right="1580" w:bottom="280" w:left="1600" w:header="720" w:footer="720" w:gutter="0"/>
          <w:cols w:space="720"/>
        </w:sectPr>
      </w:pPr>
    </w:p>
    <w:p w:rsidR="003606EC" w:rsidRDefault="005C0366">
      <w:pPr>
        <w:spacing w:before="75" w:line="360" w:lineRule="auto"/>
        <w:ind w:left="102" w:right="116"/>
        <w:jc w:val="both"/>
        <w:rPr>
          <w:sz w:val="24"/>
        </w:rPr>
      </w:pPr>
      <w:r>
        <w:rPr>
          <w:sz w:val="24"/>
        </w:rPr>
        <w:lastRenderedPageBreak/>
        <w:t>traspasa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generación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generación,</w:t>
      </w:r>
      <w:r>
        <w:rPr>
          <w:spacing w:val="-11"/>
          <w:sz w:val="24"/>
        </w:rPr>
        <w:t xml:space="preserve"> </w:t>
      </w:r>
      <w:r>
        <w:rPr>
          <w:sz w:val="24"/>
        </w:rPr>
        <w:t>manteniendo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fortaleciendo</w:t>
      </w:r>
      <w:r>
        <w:rPr>
          <w:spacing w:val="-11"/>
          <w:sz w:val="24"/>
        </w:rPr>
        <w:t xml:space="preserve"> </w:t>
      </w:r>
      <w:r>
        <w:rPr>
          <w:sz w:val="24"/>
        </w:rPr>
        <w:t>nuestra cultura e identidad nacional.</w:t>
      </w:r>
    </w:p>
    <w:p w:rsidR="003606EC" w:rsidRDefault="003606EC">
      <w:pPr>
        <w:pStyle w:val="Textoindependiente"/>
        <w:rPr>
          <w:i w:val="0"/>
          <w:sz w:val="28"/>
        </w:rPr>
      </w:pPr>
    </w:p>
    <w:p w:rsidR="003606EC" w:rsidRDefault="003606EC">
      <w:pPr>
        <w:pStyle w:val="Textoindependiente"/>
        <w:spacing w:before="4"/>
        <w:rPr>
          <w:i w:val="0"/>
          <w:sz w:val="35"/>
        </w:rPr>
      </w:pPr>
    </w:p>
    <w:p w:rsidR="003606EC" w:rsidRDefault="005C0366">
      <w:pPr>
        <w:pStyle w:val="Ttulo1"/>
        <w:spacing w:before="1"/>
        <w:jc w:val="both"/>
        <w:rPr>
          <w:b/>
        </w:rPr>
      </w:pPr>
      <w:r>
        <w:rPr>
          <w:b/>
        </w:rPr>
        <w:t>OBJETIVO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PROYECTO.</w:t>
      </w:r>
    </w:p>
    <w:p w:rsidR="003606EC" w:rsidRDefault="003606EC">
      <w:pPr>
        <w:pStyle w:val="Textoindependiente"/>
        <w:spacing w:before="7"/>
        <w:rPr>
          <w:b/>
          <w:i w:val="0"/>
          <w:sz w:val="25"/>
        </w:rPr>
      </w:pPr>
    </w:p>
    <w:p w:rsidR="003606EC" w:rsidRDefault="005C0366">
      <w:pPr>
        <w:spacing w:before="1" w:line="360" w:lineRule="auto"/>
        <w:ind w:left="102" w:right="118"/>
        <w:jc w:val="both"/>
        <w:rPr>
          <w:sz w:val="24"/>
        </w:rPr>
      </w:pPr>
      <w:r>
        <w:rPr>
          <w:sz w:val="24"/>
        </w:rPr>
        <w:t>Reconocer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nuestra</w:t>
      </w:r>
      <w:r>
        <w:rPr>
          <w:spacing w:val="-1"/>
          <w:sz w:val="24"/>
        </w:rPr>
        <w:t xml:space="preserve"> </w:t>
      </w:r>
      <w:r>
        <w:rPr>
          <w:sz w:val="24"/>
        </w:rPr>
        <w:t>flor nacional,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Copihue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quienes se</w:t>
      </w:r>
      <w:r>
        <w:rPr>
          <w:spacing w:val="-11"/>
          <w:sz w:val="24"/>
        </w:rPr>
        <w:t xml:space="preserve"> </w:t>
      </w:r>
      <w:r>
        <w:rPr>
          <w:sz w:val="24"/>
        </w:rPr>
        <w:t>dedican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comercialización,</w:t>
      </w:r>
      <w:r>
        <w:rPr>
          <w:spacing w:val="-10"/>
          <w:sz w:val="24"/>
        </w:rPr>
        <w:t xml:space="preserve"> </w:t>
      </w:r>
      <w:r>
        <w:rPr>
          <w:sz w:val="24"/>
        </w:rPr>
        <w:t>conmemorando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 dedicada a fomentar nuestra cultura y costumbres nacionales.</w:t>
      </w:r>
    </w:p>
    <w:p w:rsidR="003606EC" w:rsidRDefault="003606EC">
      <w:pPr>
        <w:pStyle w:val="Textoindependiente"/>
        <w:rPr>
          <w:i w:val="0"/>
          <w:sz w:val="28"/>
        </w:rPr>
      </w:pPr>
    </w:p>
    <w:p w:rsidR="003606EC" w:rsidRDefault="003606EC">
      <w:pPr>
        <w:pStyle w:val="Textoindependiente"/>
        <w:rPr>
          <w:i w:val="0"/>
          <w:sz w:val="28"/>
        </w:rPr>
      </w:pPr>
    </w:p>
    <w:p w:rsidR="003606EC" w:rsidRDefault="003606EC">
      <w:pPr>
        <w:pStyle w:val="Textoindependiente"/>
        <w:rPr>
          <w:i w:val="0"/>
          <w:sz w:val="28"/>
        </w:rPr>
      </w:pPr>
    </w:p>
    <w:p w:rsidR="003606EC" w:rsidRDefault="003606EC">
      <w:pPr>
        <w:pStyle w:val="Textoindependiente"/>
        <w:spacing w:before="10"/>
        <w:rPr>
          <w:i w:val="0"/>
          <w:sz w:val="28"/>
        </w:rPr>
      </w:pPr>
    </w:p>
    <w:p w:rsidR="003606EC" w:rsidRDefault="005C0366">
      <w:pPr>
        <w:pStyle w:val="Ttulo1"/>
        <w:jc w:val="both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LEY.</w:t>
      </w: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3606EC">
      <w:pPr>
        <w:pStyle w:val="Textoindependiente"/>
        <w:rPr>
          <w:b/>
          <w:i w:val="0"/>
          <w:sz w:val="28"/>
        </w:rPr>
      </w:pPr>
    </w:p>
    <w:p w:rsidR="003606EC" w:rsidRDefault="005C0366">
      <w:pPr>
        <w:spacing w:before="227" w:line="360" w:lineRule="auto"/>
        <w:ind w:left="102" w:right="118"/>
        <w:jc w:val="both"/>
        <w:rPr>
          <w:sz w:val="24"/>
        </w:rPr>
      </w:pPr>
      <w:r>
        <w:rPr>
          <w:sz w:val="24"/>
        </w:rPr>
        <w:t>Artículo único.- Declárese el día 14 de abril como el Día Nacional de la flor copihue y de los copihueros.</w:t>
      </w:r>
    </w:p>
    <w:sectPr w:rsidR="003606EC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6EC"/>
    <w:rsid w:val="003606EC"/>
    <w:rsid w:val="005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524-93DC-412E-8C5A-39D28F4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lebosque.cl/epiv/lapageria_ros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Feña</dc:creator>
  <cp:lastModifiedBy>Guillermo Diaz Vallejos</cp:lastModifiedBy>
  <cp:revision>1</cp:revision>
  <dcterms:created xsi:type="dcterms:W3CDTF">2023-07-05T19:28:00Z</dcterms:created>
  <dcterms:modified xsi:type="dcterms:W3CDTF">2023-08-29T16:35:00Z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2016</vt:lpwstr>
  </property>
</Properties>
</file>