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244" w:rsidRDefault="001E7C89">
      <w:pPr>
        <w:pStyle w:val="Ttulo1"/>
        <w:spacing w:before="23"/>
        <w:ind w:right="3098"/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socavones</w:t>
      </w:r>
    </w:p>
    <w:p w:rsidR="007C3244" w:rsidRDefault="007C3244">
      <w:pPr>
        <w:pStyle w:val="Textoindependiente"/>
        <w:ind w:left="0"/>
        <w:rPr>
          <w:b/>
        </w:rPr>
      </w:pPr>
    </w:p>
    <w:p w:rsidR="007C3244" w:rsidRDefault="007C3244">
      <w:pPr>
        <w:pStyle w:val="Textoindependiente"/>
        <w:ind w:left="0"/>
        <w:rPr>
          <w:b/>
          <w:sz w:val="33"/>
        </w:rPr>
      </w:pPr>
    </w:p>
    <w:p w:rsidR="007C3244" w:rsidRDefault="001E7C89">
      <w:pPr>
        <w:pStyle w:val="Textoindependiente"/>
        <w:spacing w:line="276" w:lineRule="auto"/>
        <w:ind w:right="134"/>
        <w:jc w:val="both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última década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país se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identificado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problemática silente que genera grandes estragos en las familias: el suelo salino. En las regiones de Tarapacá, Arica y Parinacota, Antofagasta y Atacama, a lo menos, el suelo ha colapsado por la disolución</w:t>
      </w:r>
      <w:r>
        <w:rPr>
          <w:spacing w:val="-3"/>
        </w:rPr>
        <w:t xml:space="preserve"> </w:t>
      </w:r>
      <w:r>
        <w:t>de las sales al entrar en</w:t>
      </w:r>
      <w:r>
        <w:rPr>
          <w:spacing w:val="-1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humedad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flujos de agua,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 provoca que las infraestructuras e inmuebles emplazados en dichos terrenos sean afectados por la aparición de socavones.</w:t>
      </w:r>
    </w:p>
    <w:p w:rsidR="007C3244" w:rsidRDefault="001E7C89">
      <w:pPr>
        <w:pStyle w:val="Textoindependiente"/>
        <w:spacing w:before="165" w:line="276" w:lineRule="auto"/>
        <w:ind w:right="134"/>
        <w:jc w:val="both"/>
      </w:pPr>
      <w:r>
        <w:t>En la comuna de Alto</w:t>
      </w:r>
      <w:r>
        <w:rPr>
          <w:spacing w:val="-4"/>
        </w:rPr>
        <w:t xml:space="preserve"> </w:t>
      </w:r>
      <w:r>
        <w:t>Hospicio esta situación se ha manifestado</w:t>
      </w:r>
      <w:r>
        <w:rPr>
          <w:spacing w:val="-2"/>
        </w:rPr>
        <w:t xml:space="preserve"> </w:t>
      </w:r>
      <w:r>
        <w:t>de manera significativa en múltiples</w:t>
      </w:r>
      <w:r>
        <w:rPr>
          <w:spacing w:val="-14"/>
        </w:rPr>
        <w:t xml:space="preserve"> </w:t>
      </w:r>
      <w:r>
        <w:t>poblaciones</w:t>
      </w:r>
      <w:r>
        <w:t>,</w:t>
      </w:r>
      <w:r>
        <w:rPr>
          <w:spacing w:val="-14"/>
        </w:rPr>
        <w:t xml:space="preserve"> </w:t>
      </w:r>
      <w:r>
        <w:t>tales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Pampa,</w:t>
      </w:r>
      <w:r>
        <w:rPr>
          <w:spacing w:val="-14"/>
        </w:rPr>
        <w:t xml:space="preserve"> </w:t>
      </w:r>
      <w:r>
        <w:t>Santa</w:t>
      </w:r>
      <w:r>
        <w:rPr>
          <w:spacing w:val="-13"/>
        </w:rPr>
        <w:t xml:space="preserve"> </w:t>
      </w:r>
      <w:r>
        <w:t>Teresa,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Américas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Boro.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dichos sectores, tanto la infraestructura pública como privada se hundido a causa del colapso del suelo por la disolución de las sales. Además, otros fenómenos, como fue el terremoto del año</w:t>
      </w:r>
      <w:r>
        <w:rPr>
          <w:spacing w:val="-9"/>
        </w:rPr>
        <w:t xml:space="preserve"> </w:t>
      </w:r>
      <w:r>
        <w:t>2014,</w:t>
      </w:r>
      <w:r>
        <w:rPr>
          <w:spacing w:val="-9"/>
        </w:rPr>
        <w:t xml:space="preserve"> </w:t>
      </w:r>
      <w:r>
        <w:t>aceleraron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colapso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consecuencia,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infraestructuras;</w:t>
      </w:r>
      <w:r>
        <w:rPr>
          <w:spacing w:val="-7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es de común ocurrencia que la gran mayoría de las viviendas construidas sobre suelos colapsables</w:t>
      </w:r>
      <w:r>
        <w:rPr>
          <w:spacing w:val="-4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presentado</w:t>
      </w:r>
      <w:r>
        <w:rPr>
          <w:spacing w:val="-11"/>
        </w:rPr>
        <w:t xml:space="preserve"> </w:t>
      </w:r>
      <w:r>
        <w:t>daños</w:t>
      </w:r>
      <w:r>
        <w:rPr>
          <w:spacing w:val="-8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fisuración,</w:t>
      </w:r>
      <w:r>
        <w:rPr>
          <w:spacing w:val="-10"/>
        </w:rPr>
        <w:t xml:space="preserve"> </w:t>
      </w:r>
      <w:r>
        <w:t>grietas,</w:t>
      </w:r>
      <w:r>
        <w:rPr>
          <w:spacing w:val="-10"/>
        </w:rPr>
        <w:t xml:space="preserve"> </w:t>
      </w:r>
      <w:r>
        <w:t>descensos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suelo,</w:t>
      </w:r>
      <w:r>
        <w:rPr>
          <w:spacing w:val="-11"/>
        </w:rPr>
        <w:t xml:space="preserve"> </w:t>
      </w:r>
      <w:r>
        <w:t>fugas en instalaciones de agua potable y sanitarias, entre otro</w:t>
      </w:r>
      <w:r>
        <w:t>s. Esto se debe a que, a causa de acciones del</w:t>
      </w:r>
      <w:r>
        <w:rPr>
          <w:spacing w:val="-4"/>
        </w:rPr>
        <w:t xml:space="preserve"> </w:t>
      </w:r>
      <w:r>
        <w:t>entorno de</w:t>
      </w:r>
      <w:r>
        <w:rPr>
          <w:spacing w:val="-1"/>
        </w:rPr>
        <w:t xml:space="preserve"> </w:t>
      </w:r>
      <w:r>
        <w:t>común ocurrencia, tales como</w:t>
      </w:r>
      <w:r>
        <w:rPr>
          <w:spacing w:val="-5"/>
        </w:rPr>
        <w:t xml:space="preserve"> </w:t>
      </w:r>
      <w:r>
        <w:t>filtraciones sanitarias domiciliarias, roturas de matrices de agua potable, riego, ampliaciones mal ejecutadas, exposición a las aguas lluvia, entre otras, que disuelven</w:t>
      </w:r>
      <w:r>
        <w:t xml:space="preserve"> las sales presentes en los suelos de fundación.</w:t>
      </w:r>
    </w:p>
    <w:p w:rsidR="007C3244" w:rsidRDefault="001E7C89">
      <w:pPr>
        <w:pStyle w:val="Textoindependiente"/>
        <w:spacing w:before="158" w:line="276" w:lineRule="auto"/>
        <w:ind w:right="135"/>
        <w:jc w:val="both"/>
      </w:pPr>
      <w:r>
        <w:t>Los gobiernos, de manera transversal, han buscado soluciones sin encontrar una fórmula concreta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vecinos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vecinas.</w:t>
      </w:r>
      <w:r>
        <w:rPr>
          <w:spacing w:val="-5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avanzado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creación</w:t>
      </w:r>
      <w:r>
        <w:rPr>
          <w:spacing w:val="-6"/>
        </w:rPr>
        <w:t xml:space="preserve"> </w:t>
      </w:r>
      <w:r>
        <w:t>de una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técnica para nuevas</w:t>
      </w:r>
      <w:r>
        <w:rPr>
          <w:spacing w:val="-1"/>
        </w:rPr>
        <w:t xml:space="preserve"> </w:t>
      </w:r>
      <w:r>
        <w:t>construcciones,</w:t>
      </w:r>
      <w:r>
        <w:rPr>
          <w:spacing w:val="-8"/>
        </w:rPr>
        <w:t xml:space="preserve"> </w:t>
      </w:r>
      <w:r>
        <w:t>la realidad demuestra que esta</w:t>
      </w:r>
      <w:r>
        <w:rPr>
          <w:spacing w:val="-3"/>
        </w:rPr>
        <w:t xml:space="preserve"> </w:t>
      </w:r>
      <w:r>
        <w:t>ha sido insuficiente. Por otro lado, existe una importante dificultad para lograr cohesión entre los criterios establecidos por distintas instituciones públicas con diferentes competencias,</w:t>
      </w:r>
      <w:r>
        <w:t xml:space="preserve"> como los municipios, los gobiernos regionales, el ministerio y servicio de vivienda.</w:t>
      </w:r>
    </w:p>
    <w:p w:rsidR="007C3244" w:rsidRDefault="001E7C89">
      <w:pPr>
        <w:pStyle w:val="Textoindependiente"/>
        <w:spacing w:before="165" w:line="278" w:lineRule="auto"/>
        <w:ind w:right="136"/>
        <w:jc w:val="both"/>
      </w:pPr>
      <w:r>
        <w:t>Este proyecto busca generar una discusión a nivel parlamentario que permita avanzar en una</w:t>
      </w:r>
      <w:r>
        <w:rPr>
          <w:spacing w:val="-2"/>
        </w:rPr>
        <w:t xml:space="preserve"> </w:t>
      </w:r>
      <w:r>
        <w:t>solución</w:t>
      </w:r>
      <w:r>
        <w:rPr>
          <w:spacing w:val="-5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colapsable, en sintonía</w:t>
      </w:r>
      <w:r>
        <w:rPr>
          <w:spacing w:val="-1"/>
        </w:rPr>
        <w:t xml:space="preserve"> </w:t>
      </w:r>
      <w:r>
        <w:t>con las necesidades y requer</w:t>
      </w:r>
      <w:r>
        <w:t>imientos de los afectados, de las organizaciones vecinales y comunitarias.</w:t>
      </w:r>
    </w:p>
    <w:p w:rsidR="007C3244" w:rsidRDefault="001E7C89">
      <w:pPr>
        <w:pStyle w:val="Textoindependiente"/>
        <w:spacing w:before="148" w:line="278" w:lineRule="auto"/>
        <w:ind w:right="135"/>
        <w:jc w:val="both"/>
      </w:pPr>
      <w:r>
        <w:t>Primero,</w:t>
      </w:r>
      <w:r>
        <w:rPr>
          <w:spacing w:val="-9"/>
        </w:rPr>
        <w:t xml:space="preserve"> </w:t>
      </w:r>
      <w:r>
        <w:t>estableciendo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construcción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suelos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permitida</w:t>
      </w:r>
      <w:r>
        <w:rPr>
          <w:spacing w:val="-6"/>
        </w:rPr>
        <w:t xml:space="preserve"> </w:t>
      </w:r>
      <w:r>
        <w:t>si se</w:t>
      </w:r>
      <w:r>
        <w:rPr>
          <w:spacing w:val="-10"/>
        </w:rPr>
        <w:t xml:space="preserve"> </w:t>
      </w:r>
      <w:r>
        <w:t>cumplen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establecidos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chilenas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construcción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 de urbanismo y construcción.</w:t>
      </w:r>
    </w:p>
    <w:p w:rsidR="007C3244" w:rsidRDefault="001E7C89">
      <w:pPr>
        <w:pStyle w:val="Textoindependiente"/>
        <w:spacing w:before="149" w:line="278" w:lineRule="auto"/>
        <w:ind w:right="137"/>
        <w:jc w:val="both"/>
      </w:pPr>
      <w:r>
        <w:t>Segundo, entregando competencias de coordinación y ejecución a la Secretaría Regional Ministerial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Urbanismo</w:t>
      </w:r>
      <w:r>
        <w:rPr>
          <w:spacing w:val="-6"/>
        </w:rPr>
        <w:t xml:space="preserve"> </w:t>
      </w:r>
      <w:r>
        <w:t>respectiva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unificar</w:t>
      </w:r>
      <w:r>
        <w:rPr>
          <w:spacing w:val="-6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gestiones</w:t>
      </w:r>
      <w:r>
        <w:rPr>
          <w:spacing w:val="-6"/>
        </w:rPr>
        <w:t xml:space="preserve"> </w:t>
      </w:r>
      <w:r>
        <w:t>derivadas de la aparición de socavones.</w:t>
      </w:r>
    </w:p>
    <w:p w:rsidR="007C3244" w:rsidRDefault="007C3244">
      <w:pPr>
        <w:spacing w:line="278" w:lineRule="auto"/>
        <w:jc w:val="both"/>
        <w:sectPr w:rsidR="007C3244">
          <w:type w:val="continuous"/>
          <w:pgSz w:w="12240" w:h="15840"/>
          <w:pgMar w:top="1400" w:right="1560" w:bottom="280" w:left="1560" w:header="720" w:footer="720" w:gutter="0"/>
          <w:cols w:space="720"/>
        </w:sectPr>
      </w:pPr>
    </w:p>
    <w:p w:rsidR="007C3244" w:rsidRDefault="001E7C89">
      <w:pPr>
        <w:pStyle w:val="Textoindependiente"/>
        <w:spacing w:before="39" w:after="8" w:line="278" w:lineRule="auto"/>
        <w:ind w:right="141"/>
        <w:jc w:val="both"/>
      </w:pPr>
      <w:r>
        <w:lastRenderedPageBreak/>
        <w:t xml:space="preserve">Tercero, estableciendo la obligación de generar intervenciones coordinadas con todos los </w:t>
      </w:r>
      <w:r>
        <w:rPr>
          <w:spacing w:val="-2"/>
        </w:rPr>
        <w:t>organismos</w:t>
      </w:r>
      <w:r>
        <w:rPr>
          <w:spacing w:val="-3"/>
        </w:rPr>
        <w:t xml:space="preserve"> </w:t>
      </w:r>
      <w:r>
        <w:rPr>
          <w:spacing w:val="-2"/>
        </w:rPr>
        <w:t>públicos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privados, además</w:t>
      </w:r>
      <w:r>
        <w:rPr>
          <w:spacing w:val="-3"/>
        </w:rPr>
        <w:t xml:space="preserve"> </w:t>
      </w:r>
      <w:r>
        <w:rPr>
          <w:spacing w:val="-2"/>
        </w:rPr>
        <w:t>de incorporar</w:t>
      </w:r>
      <w:r>
        <w:rPr>
          <w:spacing w:val="-7"/>
        </w:rPr>
        <w:t xml:space="preserve"> </w:t>
      </w:r>
      <w:r>
        <w:rPr>
          <w:spacing w:val="-2"/>
        </w:rPr>
        <w:t xml:space="preserve">a las viviendas colindantes afectadas, </w:t>
      </w:r>
      <w:r>
        <w:t>cuestión que hoy no es permitida y genera mayores inconvenientes pues las u</w:t>
      </w:r>
      <w:r>
        <w:t>nidades habitacionales intervenidas, al poco tiempo, son afectadas por las unidades en suelo colapsable cercanas.</w:t>
      </w:r>
    </w:p>
    <w:p w:rsidR="007C3244" w:rsidRDefault="001E7C89">
      <w:pPr>
        <w:pStyle w:val="Textoindependiente"/>
        <w:spacing w:line="29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5023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0230" cy="18415"/>
                          <a:chOff x="0" y="0"/>
                          <a:chExt cx="565023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50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0230" h="18415">
                                <a:moveTo>
                                  <a:pt x="5650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650229" y="18415"/>
                                </a:lnTo>
                                <a:lnTo>
                                  <a:pt x="5650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96276" id="Group 1" o:spid="_x0000_s1026" style="width:444.9pt;height:1.45pt;mso-position-horizontal-relative:char;mso-position-vertical-relative:line" coordsize="5650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">
                <v:shape id="Graphic 2" o:spid="_x0000_s1027" style="position:absolute;width:56502;height:184;visibility:visible;mso-wrap-style:square;v-text-anchor:top" coordsize="56502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" path="m5650229,l,,,18415r5650229,l565022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spacing w:before="11"/>
        <w:ind w:left="0"/>
        <w:rPr>
          <w:sz w:val="29"/>
        </w:rPr>
      </w:pPr>
    </w:p>
    <w:p w:rsidR="007C3244" w:rsidRDefault="001E7C89">
      <w:pPr>
        <w:pStyle w:val="Ttulo1"/>
        <w:spacing w:before="1"/>
      </w:pPr>
      <w:r>
        <w:t>Proyecto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4"/>
        </w:rPr>
        <w:t>ley:</w:t>
      </w:r>
    </w:p>
    <w:p w:rsidR="007C3244" w:rsidRDefault="007C3244">
      <w:pPr>
        <w:pStyle w:val="Textoindependiente"/>
        <w:ind w:left="0"/>
        <w:rPr>
          <w:b/>
        </w:rPr>
      </w:pPr>
    </w:p>
    <w:p w:rsidR="007C3244" w:rsidRDefault="007C3244">
      <w:pPr>
        <w:pStyle w:val="Textoindependiente"/>
        <w:spacing w:before="1"/>
        <w:ind w:left="0"/>
        <w:rPr>
          <w:b/>
          <w:sz w:val="33"/>
        </w:rPr>
      </w:pPr>
    </w:p>
    <w:p w:rsidR="007C3244" w:rsidRDefault="001E7C89">
      <w:pPr>
        <w:pStyle w:val="Textoindependiente"/>
        <w:spacing w:line="278" w:lineRule="auto"/>
        <w:ind w:right="136"/>
        <w:jc w:val="both"/>
      </w:pPr>
      <w:r>
        <w:rPr>
          <w:spacing w:val="-2"/>
        </w:rPr>
        <w:t>Artículo 1°: La</w:t>
      </w:r>
      <w:r>
        <w:rPr>
          <w:spacing w:val="-4"/>
        </w:rPr>
        <w:t xml:space="preserve"> </w:t>
      </w:r>
      <w:r>
        <w:rPr>
          <w:spacing w:val="-2"/>
        </w:rPr>
        <w:t>construcción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 xml:space="preserve">suelos de características colapsables se encuentra restringida </w:t>
      </w:r>
      <w:r>
        <w:t>al cumplimiento de las condiciones establecidas en la presente ley, en la ley general de urbanismo y construcción, la ordenanza general de la misma, las normas técnicas NCh, los itemizados técn</w:t>
      </w:r>
      <w:r>
        <w:t>icos, establecidos por el Ministerio de Vivienda y Urbanismo y todos los requisitos técnicos-normativos que la autoridad competente dicte sobre la materia.</w:t>
      </w: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spacing w:before="6"/>
        <w:ind w:left="0"/>
        <w:rPr>
          <w:sz w:val="28"/>
        </w:rPr>
      </w:pPr>
    </w:p>
    <w:p w:rsidR="007C3244" w:rsidRDefault="001E7C89">
      <w:pPr>
        <w:pStyle w:val="Textoindependiente"/>
        <w:spacing w:line="276" w:lineRule="auto"/>
        <w:ind w:right="134"/>
        <w:jc w:val="both"/>
      </w:pPr>
      <w:r>
        <w:t>Artículo 2°: Se entenderá como suelo colapsable aquellos geotécnicamente inestables, insaturados, susceptibles de acomodar muchas moléculas de agua entre el material particulado que los componen, con el resultado de aumentar mucho su volumen y reducir la f</w:t>
      </w:r>
      <w:r>
        <w:t>ricción entre partículas facilitando así el colapso de la arquitectura original, pudiendo ocasionar daños severos a la infraestructura.</w:t>
      </w:r>
    </w:p>
    <w:p w:rsidR="007C3244" w:rsidRDefault="007C3244">
      <w:pPr>
        <w:pStyle w:val="Textoindependiente"/>
        <w:spacing w:before="6"/>
        <w:ind w:left="0"/>
        <w:rPr>
          <w:sz w:val="27"/>
        </w:rPr>
      </w:pPr>
    </w:p>
    <w:p w:rsidR="007C3244" w:rsidRDefault="001E7C89">
      <w:pPr>
        <w:pStyle w:val="Textoindependiente"/>
        <w:spacing w:line="276" w:lineRule="auto"/>
        <w:ind w:right="138"/>
        <w:jc w:val="both"/>
      </w:pPr>
      <w:r>
        <w:t>La condición de colapsabilidad del suelo será determinada por los estudios de laboratorio y/o mecánicas de suelo que la</w:t>
      </w:r>
      <w:r>
        <w:t xml:space="preserve"> norma especifique tomando especial atención a los suelos con alta concentración de sales solubles, limosos, u otros.</w:t>
      </w: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spacing w:before="3"/>
        <w:ind w:left="0"/>
        <w:rPr>
          <w:sz w:val="30"/>
        </w:rPr>
      </w:pPr>
    </w:p>
    <w:p w:rsidR="007C3244" w:rsidRDefault="001E7C89">
      <w:pPr>
        <w:pStyle w:val="Textoindependiente"/>
        <w:spacing w:line="276" w:lineRule="auto"/>
        <w:ind w:right="133"/>
        <w:jc w:val="both"/>
      </w:pPr>
      <w:r>
        <w:t>Artículo</w:t>
      </w:r>
      <w:r>
        <w:rPr>
          <w:spacing w:val="-14"/>
        </w:rPr>
        <w:t xml:space="preserve"> </w:t>
      </w:r>
      <w:r>
        <w:t>3°: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legislación,</w:t>
      </w:r>
      <w:r>
        <w:rPr>
          <w:spacing w:val="-13"/>
        </w:rPr>
        <w:t xml:space="preserve"> </w:t>
      </w:r>
      <w:r>
        <w:t>ordenanzas,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técnicas,</w:t>
      </w:r>
      <w:r>
        <w:rPr>
          <w:spacing w:val="-13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resoluciones asociadas a suelos colapsables en todos su</w:t>
      </w:r>
      <w:r>
        <w:t>s tipos, así como los itemizados técnicos que establezca el MINVU, es obligatoria para todo proyecto de edificación, debiendo fiscalizar aquello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Obras</w:t>
      </w:r>
      <w:r>
        <w:rPr>
          <w:spacing w:val="-13"/>
        </w:rPr>
        <w:t xml:space="preserve"> </w:t>
      </w:r>
      <w:r>
        <w:t>Municipales</w:t>
      </w:r>
      <w:r>
        <w:rPr>
          <w:spacing w:val="-14"/>
        </w:rPr>
        <w:t xml:space="preserve"> </w:t>
      </w:r>
      <w:r>
        <w:t>correspondiente,</w:t>
      </w:r>
      <w:r>
        <w:rPr>
          <w:spacing w:val="-13"/>
        </w:rPr>
        <w:t xml:space="preserve"> </w:t>
      </w:r>
      <w:r>
        <w:t>independiente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facultades del</w:t>
      </w:r>
      <w:r>
        <w:rPr>
          <w:spacing w:val="-8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Urbanismo o la Superintendencia de Servicios Sanitarios en la materia. En especial, se velará por el cumplimiento de la normativa relativa a las especificaciones técnicas sobre redes de agua potable y alcantarillado, así como los requerimientos</w:t>
      </w:r>
      <w:r>
        <w:rPr>
          <w:spacing w:val="-12"/>
        </w:rPr>
        <w:t xml:space="preserve"> </w:t>
      </w:r>
      <w:r>
        <w:t>constructi</w:t>
      </w:r>
      <w:r>
        <w:t>vos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estructurales</w:t>
      </w:r>
      <w:r>
        <w:rPr>
          <w:spacing w:val="-11"/>
        </w:rPr>
        <w:t xml:space="preserve"> </w:t>
      </w:r>
      <w:r>
        <w:t>preventivos</w:t>
      </w:r>
      <w:r>
        <w:rPr>
          <w:spacing w:val="-12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colapso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suelo que afectare la edificación.</w:t>
      </w:r>
    </w:p>
    <w:p w:rsidR="007C3244" w:rsidRDefault="007C3244">
      <w:pPr>
        <w:pStyle w:val="Textoindependiente"/>
        <w:ind w:left="0"/>
      </w:pPr>
    </w:p>
    <w:p w:rsidR="007C3244" w:rsidRDefault="001E7C89">
      <w:pPr>
        <w:pStyle w:val="Textoindependiente"/>
        <w:spacing w:before="207" w:line="292" w:lineRule="auto"/>
        <w:ind w:right="147"/>
        <w:jc w:val="both"/>
      </w:pPr>
      <w:r>
        <w:t>Artículo 4°: Las empresas sanitarias deberán presentar anualmente un programa de mantención y</w:t>
      </w:r>
      <w:r>
        <w:rPr>
          <w:spacing w:val="-4"/>
        </w:rPr>
        <w:t xml:space="preserve"> </w:t>
      </w:r>
      <w:r>
        <w:t>reposición de</w:t>
      </w:r>
      <w:r>
        <w:rPr>
          <w:spacing w:val="-2"/>
        </w:rPr>
        <w:t xml:space="preserve"> </w:t>
      </w:r>
      <w:r>
        <w:t>las redes</w:t>
      </w:r>
      <w:r>
        <w:rPr>
          <w:spacing w:val="-1"/>
        </w:rPr>
        <w:t xml:space="preserve"> </w:t>
      </w:r>
      <w:r>
        <w:t>públicas de agua</w:t>
      </w:r>
      <w:r>
        <w:rPr>
          <w:spacing w:val="-2"/>
        </w:rPr>
        <w:t xml:space="preserve"> </w:t>
      </w:r>
      <w:r>
        <w:t>potable y</w:t>
      </w:r>
      <w:r>
        <w:rPr>
          <w:spacing w:val="-3"/>
        </w:rPr>
        <w:t xml:space="preserve"> </w:t>
      </w:r>
      <w:r>
        <w:t>alcantarillado</w:t>
      </w:r>
      <w:r>
        <w:rPr>
          <w:spacing w:val="-3"/>
        </w:rPr>
        <w:t xml:space="preserve"> </w:t>
      </w:r>
      <w:r>
        <w:t>a objeto</w:t>
      </w:r>
      <w:r>
        <w:rPr>
          <w:spacing w:val="-4"/>
        </w:rPr>
        <w:t xml:space="preserve"> </w:t>
      </w:r>
      <w:r>
        <w:t>de prever</w:t>
      </w:r>
      <w:r>
        <w:rPr>
          <w:spacing w:val="69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t>colapso</w:t>
      </w:r>
      <w:r>
        <w:rPr>
          <w:spacing w:val="69"/>
        </w:rPr>
        <w:t xml:space="preserve"> </w:t>
      </w:r>
      <w:r>
        <w:t>del</w:t>
      </w:r>
      <w:r>
        <w:rPr>
          <w:spacing w:val="73"/>
        </w:rPr>
        <w:t xml:space="preserve"> </w:t>
      </w:r>
      <w:r>
        <w:t>suelo,</w:t>
      </w:r>
      <w:r>
        <w:rPr>
          <w:spacing w:val="71"/>
        </w:rPr>
        <w:t xml:space="preserve"> </w:t>
      </w:r>
      <w:r>
        <w:t>debiendo</w:t>
      </w:r>
      <w:r>
        <w:rPr>
          <w:spacing w:val="70"/>
        </w:rPr>
        <w:t xml:space="preserve"> </w:t>
      </w:r>
      <w:r>
        <w:t>presentar</w:t>
      </w:r>
      <w:r>
        <w:rPr>
          <w:spacing w:val="72"/>
        </w:rPr>
        <w:t xml:space="preserve"> </w:t>
      </w:r>
      <w:r>
        <w:t>dicho</w:t>
      </w:r>
      <w:r>
        <w:rPr>
          <w:spacing w:val="72"/>
        </w:rPr>
        <w:t xml:space="preserve"> </w:t>
      </w:r>
      <w:r>
        <w:t>programa</w:t>
      </w:r>
      <w:r>
        <w:rPr>
          <w:spacing w:val="72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rPr>
          <w:spacing w:val="-2"/>
        </w:rPr>
        <w:t>instituciones</w:t>
      </w:r>
    </w:p>
    <w:p w:rsidR="007C3244" w:rsidRDefault="007C3244">
      <w:pPr>
        <w:spacing w:line="292" w:lineRule="auto"/>
        <w:jc w:val="both"/>
        <w:sectPr w:rsidR="007C3244">
          <w:pgSz w:w="12240" w:h="15840"/>
          <w:pgMar w:top="1380" w:right="1560" w:bottom="280" w:left="1560" w:header="720" w:footer="720" w:gutter="0"/>
          <w:cols w:space="720"/>
        </w:sectPr>
      </w:pPr>
    </w:p>
    <w:p w:rsidR="007C3244" w:rsidRDefault="001E7C89">
      <w:pPr>
        <w:pStyle w:val="Textoindependiente"/>
        <w:spacing w:before="41" w:line="278" w:lineRule="auto"/>
        <w:ind w:right="154"/>
        <w:jc w:val="both"/>
      </w:pPr>
      <w:r>
        <w:lastRenderedPageBreak/>
        <w:t xml:space="preserve">fiscalizadoras respectivas, a objeto de coordinar las intervenciones en la infraestructura </w:t>
      </w:r>
      <w:r>
        <w:rPr>
          <w:spacing w:val="-2"/>
        </w:rPr>
        <w:t>pública.</w:t>
      </w:r>
    </w:p>
    <w:p w:rsidR="007C3244" w:rsidRDefault="001E7C89">
      <w:pPr>
        <w:pStyle w:val="Textoindependiente"/>
        <w:spacing w:before="151" w:line="278" w:lineRule="auto"/>
        <w:ind w:right="142"/>
        <w:jc w:val="both"/>
      </w:pPr>
      <w:r>
        <w:t>En caso de encontrarse una red de agua potable y/o alcantarillado, actualmente en suelo colapsado, se deberán aplicar las normas de la presente ley.</w:t>
      </w: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spacing w:before="3"/>
        <w:ind w:left="0"/>
        <w:rPr>
          <w:sz w:val="29"/>
        </w:rPr>
      </w:pPr>
    </w:p>
    <w:p w:rsidR="007C3244" w:rsidRDefault="001E7C89">
      <w:pPr>
        <w:pStyle w:val="Textoindependiente"/>
        <w:spacing w:line="276" w:lineRule="auto"/>
        <w:ind w:right="145"/>
        <w:jc w:val="both"/>
      </w:pPr>
      <w:r>
        <w:t>Artíc</w:t>
      </w:r>
      <w:r>
        <w:t>ulo 5°: Tratándose de viviendas sociales, espacios públicos y/o vías vehiculares, al evidenciar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colapso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suelo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iniciar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gestión,</w:t>
      </w:r>
      <w:r>
        <w:rPr>
          <w:spacing w:val="-13"/>
        </w:rPr>
        <w:t xml:space="preserve"> </w:t>
      </w:r>
      <w:r>
        <w:t>estudio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reparación, instancia donde deberán participar la municipalidad, instituciones fiscaliza</w:t>
      </w:r>
      <w:r>
        <w:t>doras respectivas, la empresa de servicios sanitarios, los dirigentes de la junta de vecinos respectiva y los vecinos afectados.</w:t>
      </w:r>
    </w:p>
    <w:p w:rsidR="007C3244" w:rsidRDefault="001E7C89">
      <w:pPr>
        <w:pStyle w:val="Textoindependiente"/>
        <w:spacing w:before="160" w:line="278" w:lineRule="auto"/>
        <w:ind w:right="138"/>
        <w:jc w:val="both"/>
      </w:pPr>
      <w:r>
        <w:t>Esta</w:t>
      </w:r>
      <w:r>
        <w:rPr>
          <w:spacing w:val="-9"/>
        </w:rPr>
        <w:t xml:space="preserve"> </w:t>
      </w:r>
      <w:r>
        <w:t>instancia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entregar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reparación</w:t>
      </w:r>
      <w:r>
        <w:rPr>
          <w:spacing w:val="-11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de la zona afectada, pudiendo incluir las casas colindantes a la vivienda y/o espacio público donde se generó el colapso del suelo.</w:t>
      </w:r>
    </w:p>
    <w:p w:rsidR="007C3244" w:rsidRDefault="001E7C89">
      <w:pPr>
        <w:pStyle w:val="Textoindependiente"/>
        <w:spacing w:before="151"/>
        <w:jc w:val="both"/>
      </w:pP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viviendas</w:t>
      </w:r>
      <w:r>
        <w:rPr>
          <w:spacing w:val="2"/>
        </w:rPr>
        <w:t xml:space="preserve"> </w:t>
      </w:r>
      <w:r>
        <w:t>afectadas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colindantes,</w:t>
      </w:r>
      <w:r>
        <w:rPr>
          <w:spacing w:val="-2"/>
        </w:rPr>
        <w:t xml:space="preserve"> </w:t>
      </w:r>
      <w:r>
        <w:t>se otorgará un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7C3244" w:rsidRDefault="001E7C89">
      <w:pPr>
        <w:pStyle w:val="Textoindependiente"/>
        <w:spacing w:before="47" w:line="278" w:lineRule="auto"/>
        <w:ind w:right="138"/>
        <w:jc w:val="both"/>
      </w:pPr>
      <w:r>
        <w:t>30 días para proceder a la regula</w:t>
      </w:r>
      <w:r>
        <w:t xml:space="preserve">rización de las ampliaciones, modificaciones y/o construcciones a objeto de permitir la adecuada reparación por parte de las entidades públicas. La Dirección de Obras Municipales respectiva deberá dar preferencia para su </w:t>
      </w:r>
      <w:r>
        <w:rPr>
          <w:spacing w:val="-2"/>
        </w:rPr>
        <w:t>resolución.</w:t>
      </w:r>
    </w:p>
    <w:p w:rsidR="007C3244" w:rsidRDefault="001E7C89">
      <w:pPr>
        <w:pStyle w:val="Textoindependiente"/>
        <w:spacing w:before="140" w:line="278" w:lineRule="auto"/>
        <w:ind w:right="138"/>
        <w:jc w:val="both"/>
      </w:pPr>
      <w:r>
        <w:t>Tratándose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agua</w:t>
      </w:r>
      <w:r>
        <w:rPr>
          <w:spacing w:val="-8"/>
        </w:rPr>
        <w:t xml:space="preserve"> </w:t>
      </w:r>
      <w:r>
        <w:t>potable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alcantarillado,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sanitaria</w:t>
      </w:r>
      <w:r>
        <w:rPr>
          <w:spacing w:val="-8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entregar un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contingencia en el plazo</w:t>
      </w:r>
      <w:r>
        <w:rPr>
          <w:spacing w:val="-1"/>
        </w:rPr>
        <w:t xml:space="preserve"> </w:t>
      </w:r>
      <w:r>
        <w:t>de 2</w:t>
      </w:r>
      <w:r>
        <w:rPr>
          <w:spacing w:val="-2"/>
        </w:rPr>
        <w:t xml:space="preserve"> </w:t>
      </w:r>
      <w:r>
        <w:t>horas de tomado conocimiento</w:t>
      </w:r>
      <w:r>
        <w:rPr>
          <w:spacing w:val="-1"/>
        </w:rPr>
        <w:t xml:space="preserve"> </w:t>
      </w:r>
      <w:r>
        <w:t>de la aparición de un socavón. Además, en un plazo de 5 días deberá presentar un plan de intervención y reparación ante la Superintendencia de Servicios Sanitarios y la Secretaría Regional Ministerial, para su aprobación y coordinación respectivamente.</w:t>
      </w: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ind w:left="0"/>
      </w:pPr>
    </w:p>
    <w:p w:rsidR="007C3244" w:rsidRDefault="007C3244">
      <w:pPr>
        <w:pStyle w:val="Textoindependiente"/>
        <w:spacing w:before="10"/>
        <w:ind w:left="0"/>
        <w:rPr>
          <w:sz w:val="21"/>
        </w:rPr>
      </w:pPr>
    </w:p>
    <w:p w:rsidR="007C3244" w:rsidRDefault="001E7C89">
      <w:pPr>
        <w:spacing w:line="405" w:lineRule="auto"/>
        <w:ind w:left="3441" w:right="3434" w:hanging="11"/>
        <w:jc w:val="center"/>
        <w:rPr>
          <w:b/>
          <w:sz w:val="24"/>
        </w:rPr>
      </w:pPr>
      <w:r>
        <w:rPr>
          <w:b/>
          <w:sz w:val="24"/>
        </w:rPr>
        <w:t>Matías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Ramírez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Pascal Diputado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 xml:space="preserve"> </w:t>
      </w:r>
      <w:r>
        <w:rPr>
          <w:b/>
          <w:spacing w:val="-7"/>
          <w:sz w:val="24"/>
        </w:rPr>
        <w:t>Tarapacá</w:t>
      </w:r>
    </w:p>
    <w:sectPr w:rsidR="007C3244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244"/>
    <w:rsid w:val="001E7C89"/>
    <w:rsid w:val="007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098" w:right="309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Felipe Ramirez Pascal</dc:creator>
  <cp:lastModifiedBy>Guillermo Diaz Vallejos</cp:lastModifiedBy>
  <cp:revision>1</cp:revision>
  <dcterms:created xsi:type="dcterms:W3CDTF">2023-07-11T14:32:00Z</dcterms:created>
  <dcterms:modified xsi:type="dcterms:W3CDTF">2023-07-12T15:48:00Z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LTSC</vt:lpwstr>
  </property>
</Properties>
</file>