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0864" w:rsidRDefault="00DF0864">
      <w:pPr>
        <w:pStyle w:val="Textoindependiente"/>
        <w:rPr>
          <w:rFonts w:ascii="Times New Roman"/>
          <w:sz w:val="20"/>
        </w:rPr>
      </w:pPr>
    </w:p>
    <w:p w:rsidR="00DF0864" w:rsidRDefault="00DF0864">
      <w:pPr>
        <w:pStyle w:val="Textoindependiente"/>
        <w:spacing w:before="9"/>
        <w:rPr>
          <w:rFonts w:ascii="Times New Roman"/>
        </w:rPr>
      </w:pPr>
    </w:p>
    <w:p w:rsidR="00DF0864" w:rsidRDefault="004E14F9">
      <w:pPr>
        <w:pStyle w:val="Ttulo1"/>
        <w:spacing w:before="100" w:line="360" w:lineRule="auto"/>
        <w:jc w:val="both"/>
      </w:pPr>
      <w:r>
        <w:t>PROYECTO QUE MODIFICA DISTINTOS CUERPOS LEGALES CON LA FINALIDAD DE FORTALECER EL DERECHO DE LOS CONSUMIDORES EN MATERIA DE COBRANZAS EXTRAJUDICIALES Y EVITAR EL ACOSO.</w:t>
      </w:r>
    </w:p>
    <w:p w:rsidR="00DF0864" w:rsidRDefault="004E14F9">
      <w:pPr>
        <w:spacing w:before="161"/>
        <w:ind w:left="119"/>
        <w:rPr>
          <w:b/>
          <w:sz w:val="24"/>
        </w:rPr>
      </w:pPr>
      <w:r>
        <w:rPr>
          <w:b/>
          <w:spacing w:val="-2"/>
          <w:sz w:val="24"/>
          <w:u w:val="single"/>
        </w:rPr>
        <w:t>Fundamentos:</w:t>
      </w:r>
    </w:p>
    <w:p w:rsidR="00DF0864" w:rsidRDefault="00DF0864">
      <w:pPr>
        <w:pStyle w:val="Textoindependiente"/>
        <w:rPr>
          <w:b/>
          <w:sz w:val="17"/>
        </w:rPr>
      </w:pPr>
    </w:p>
    <w:p w:rsidR="00DF0864" w:rsidRDefault="004E14F9">
      <w:pPr>
        <w:pStyle w:val="Textoindependiente"/>
        <w:spacing w:before="100" w:line="360" w:lineRule="auto"/>
        <w:ind w:left="119" w:right="113"/>
        <w:jc w:val="both"/>
      </w:pPr>
      <w:r>
        <w:rPr>
          <w:b/>
        </w:rPr>
        <w:t xml:space="preserve">1.- </w:t>
      </w:r>
      <w:r>
        <w:t xml:space="preserve">Durante las últimas décadas nuestro país ha experimentado un aumento </w:t>
      </w:r>
      <w:r>
        <w:t>sustancial</w:t>
      </w:r>
      <w:r>
        <w:rPr>
          <w:spacing w:val="-1"/>
        </w:rPr>
        <w:t xml:space="preserve"> </w:t>
      </w:r>
      <w:r>
        <w:t>en el</w:t>
      </w:r>
      <w:r>
        <w:rPr>
          <w:spacing w:val="-1"/>
        </w:rPr>
        <w:t xml:space="preserve"> </w:t>
      </w:r>
      <w:r>
        <w:t>número de</w:t>
      </w:r>
      <w:r>
        <w:rPr>
          <w:spacing w:val="-5"/>
        </w:rPr>
        <w:t xml:space="preserve"> </w:t>
      </w:r>
      <w:r>
        <w:t>personas</w:t>
      </w:r>
      <w:r>
        <w:rPr>
          <w:spacing w:val="-1"/>
        </w:rPr>
        <w:t xml:space="preserve"> </w:t>
      </w:r>
      <w:r>
        <w:t>con acceso al</w:t>
      </w:r>
      <w:r>
        <w:rPr>
          <w:spacing w:val="-1"/>
        </w:rPr>
        <w:t xml:space="preserve"> </w:t>
      </w:r>
      <w:r>
        <w:t>crédito, independientemente</w:t>
      </w:r>
      <w:r>
        <w:rPr>
          <w:spacing w:val="-1"/>
        </w:rPr>
        <w:t xml:space="preserve"> </w:t>
      </w:r>
      <w:r>
        <w:t xml:space="preserve">de su naturaleza. Así, según un informe realizado por la Biblioteca del Congreso Nacional, el número de deudores de créditos de consumo bancarios (créditos y tarjetas de crédito </w:t>
      </w:r>
      <w:r>
        <w:t>y leasing de consumo) en octubre de 2022 era de 3.630.480 personas, similar a los del año 2018. Por su parte, respecto a los créditos de las tarjetas de crédito de</w:t>
      </w:r>
      <w:r>
        <w:rPr>
          <w:spacing w:val="-1"/>
        </w:rPr>
        <w:t xml:space="preserve"> </w:t>
      </w:r>
      <w:r>
        <w:t>entidades no bancarias, habitualmente conocidas tarjetas de casas comerciales, en octubre de</w:t>
      </w:r>
      <w:r>
        <w:t xml:space="preserve"> 2022 había un total de 2.772.942 tarjetas vigentes</w:t>
      </w:r>
      <w:r>
        <w:rPr>
          <w:position w:val="8"/>
          <w:sz w:val="16"/>
        </w:rPr>
        <w:t>1</w:t>
      </w:r>
      <w:r>
        <w:t>. A su vez, un estudio realizado por la Universidad de Los Andes reveló que al término del año 2022 las deudas impagas ascendieron a 4.126.570, dando cuenta de la cantidad de personas que actualmente regi</w:t>
      </w:r>
      <w:r>
        <w:t>stran mora en sus obligaciones crediticias</w:t>
      </w:r>
      <w:r>
        <w:rPr>
          <w:position w:val="8"/>
          <w:sz w:val="16"/>
        </w:rPr>
        <w:t>2</w:t>
      </w:r>
      <w:r>
        <w:t>. Si bien dichas cifras establecen un porcentaje levemente menor a los registrados en años anteriores, igualmente dan cuenta de una gran cantidad de personas que por uno u otro motivo no han podido dar cumplimient</w:t>
      </w:r>
      <w:r>
        <w:t>o oportuno de sus deudas.</w:t>
      </w:r>
    </w:p>
    <w:p w:rsidR="00DF0864" w:rsidRDefault="004E14F9">
      <w:pPr>
        <w:pStyle w:val="Textoindependiente"/>
        <w:spacing w:before="161" w:line="360" w:lineRule="auto"/>
        <w:ind w:left="119" w:right="121"/>
        <w:jc w:val="both"/>
      </w:pPr>
      <w:r>
        <w:rPr>
          <w:b/>
        </w:rPr>
        <w:t xml:space="preserve">2.- </w:t>
      </w:r>
      <w:r>
        <w:t>Así, ante situaciones de morosidad, los Bancos, Cooperativas y entidades no financieras que actúan como acreedores de este tipo de créditos, inician los procedimientos de cobranzas extrajudiciales, con el fin de instar al deud</w:t>
      </w:r>
      <w:r>
        <w:t>or para</w:t>
      </w:r>
      <w:r>
        <w:rPr>
          <w:spacing w:val="40"/>
        </w:rPr>
        <w:t xml:space="preserve"> </w:t>
      </w:r>
      <w:r>
        <w:t>que</w:t>
      </w:r>
      <w:r>
        <w:rPr>
          <w:spacing w:val="22"/>
        </w:rPr>
        <w:t xml:space="preserve"> </w:t>
      </w:r>
      <w:r>
        <w:t>regularice</w:t>
      </w:r>
      <w:r>
        <w:rPr>
          <w:spacing w:val="24"/>
        </w:rPr>
        <w:t xml:space="preserve"> </w:t>
      </w:r>
      <w:r>
        <w:t>su</w:t>
      </w:r>
      <w:r>
        <w:rPr>
          <w:spacing w:val="27"/>
        </w:rPr>
        <w:t xml:space="preserve"> </w:t>
      </w:r>
      <w:r>
        <w:t>situación</w:t>
      </w:r>
      <w:r>
        <w:rPr>
          <w:spacing w:val="26"/>
        </w:rPr>
        <w:t xml:space="preserve"> </w:t>
      </w:r>
      <w:r>
        <w:t>a</w:t>
      </w:r>
      <w:r>
        <w:rPr>
          <w:spacing w:val="25"/>
        </w:rPr>
        <w:t xml:space="preserve"> </w:t>
      </w:r>
      <w:r>
        <w:t>la</w:t>
      </w:r>
      <w:r>
        <w:rPr>
          <w:spacing w:val="25"/>
        </w:rPr>
        <w:t xml:space="preserve"> </w:t>
      </w:r>
      <w:r>
        <w:t>brevedad.</w:t>
      </w:r>
      <w:r>
        <w:rPr>
          <w:spacing w:val="30"/>
        </w:rPr>
        <w:t xml:space="preserve"> </w:t>
      </w:r>
      <w:r>
        <w:t>Dichos</w:t>
      </w:r>
      <w:r>
        <w:rPr>
          <w:spacing w:val="24"/>
        </w:rPr>
        <w:t xml:space="preserve"> </w:t>
      </w:r>
      <w:r>
        <w:t>procedimientos</w:t>
      </w:r>
      <w:r>
        <w:rPr>
          <w:spacing w:val="24"/>
        </w:rPr>
        <w:t xml:space="preserve"> </w:t>
      </w:r>
      <w:r>
        <w:t>se</w:t>
      </w:r>
      <w:r>
        <w:rPr>
          <w:spacing w:val="24"/>
        </w:rPr>
        <w:t xml:space="preserve"> </w:t>
      </w:r>
      <w:r>
        <w:t>traducen</w:t>
      </w:r>
      <w:r>
        <w:rPr>
          <w:spacing w:val="27"/>
        </w:rPr>
        <w:t xml:space="preserve"> </w:t>
      </w:r>
      <w:r>
        <w:rPr>
          <w:spacing w:val="-5"/>
        </w:rPr>
        <w:t>en</w:t>
      </w:r>
    </w:p>
    <w:p w:rsidR="00DF0864" w:rsidRDefault="004E14F9">
      <w:pPr>
        <w:pStyle w:val="Textoindependiente"/>
        <w:spacing w:before="9"/>
        <w:rPr>
          <w:sz w:val="6"/>
        </w:rPr>
      </w:pPr>
      <w:r>
        <w:pict>
          <v:rect id="docshape1" o:spid="_x0000_s1028" style="position:absolute;margin-left:85pt;margin-top:5.3pt;width:144.05pt;height:.7pt;z-index:-15728640;mso-wrap-distance-left:0;mso-wrap-distance-right:0;mso-position-horizontal-relative:page" fillcolor="black" stroked="f">
            <w10:wrap type="topAndBottom" anchorx="page"/>
          </v:rect>
        </w:pict>
      </w:r>
    </w:p>
    <w:p w:rsidR="00DF0864" w:rsidRDefault="004E14F9">
      <w:pPr>
        <w:tabs>
          <w:tab w:val="left" w:pos="8417"/>
        </w:tabs>
        <w:spacing w:before="99" w:line="193" w:lineRule="exact"/>
        <w:ind w:left="119"/>
        <w:rPr>
          <w:sz w:val="16"/>
        </w:rPr>
      </w:pPr>
      <w:r>
        <w:rPr>
          <w:spacing w:val="-10"/>
          <w:sz w:val="16"/>
          <w:vertAlign w:val="superscript"/>
        </w:rPr>
        <w:t>1</w:t>
      </w:r>
      <w:r>
        <w:rPr>
          <w:sz w:val="16"/>
        </w:rPr>
        <w:tab/>
      </w:r>
      <w:r>
        <w:rPr>
          <w:spacing w:val="-2"/>
          <w:sz w:val="16"/>
        </w:rPr>
        <w:t>Fuente:</w:t>
      </w:r>
    </w:p>
    <w:p w:rsidR="00DF0864" w:rsidRDefault="004E14F9">
      <w:pPr>
        <w:ind w:left="119"/>
        <w:rPr>
          <w:sz w:val="16"/>
        </w:rPr>
      </w:pPr>
      <w:r>
        <w:rPr>
          <w:sz w:val="16"/>
        </w:rPr>
        <w:t>Caracteristicas_de_los_creditos_de_consumo_de_bancos</w:t>
      </w:r>
      <w:r>
        <w:rPr>
          <w:spacing w:val="73"/>
          <w:sz w:val="16"/>
          <w:u w:val="single"/>
        </w:rPr>
        <w:t xml:space="preserve"> </w:t>
      </w:r>
      <w:r>
        <w:rPr>
          <w:sz w:val="16"/>
        </w:rPr>
        <w:t>cooperativas_de_ahorro_y_emisores_de_tarjetas_no_bancarias/A sesoríaTécnica Parlamentaria, BCN, enero año 2023.</w:t>
      </w:r>
    </w:p>
    <w:p w:rsidR="00DF0864" w:rsidRDefault="004E14F9">
      <w:pPr>
        <w:spacing w:line="244" w:lineRule="auto"/>
        <w:ind w:left="119"/>
        <w:rPr>
          <w:sz w:val="16"/>
        </w:rPr>
      </w:pPr>
      <w:r>
        <w:rPr>
          <w:sz w:val="16"/>
          <w:vertAlign w:val="superscript"/>
        </w:rPr>
        <w:t>2</w:t>
      </w:r>
      <w:r>
        <w:rPr>
          <w:spacing w:val="-4"/>
          <w:sz w:val="16"/>
        </w:rPr>
        <w:t xml:space="preserve"> </w:t>
      </w:r>
      <w:r>
        <w:rPr>
          <w:sz w:val="16"/>
        </w:rPr>
        <w:t>Fuente: https://</w:t>
      </w:r>
      <w:hyperlink r:id="rId6">
        <w:r>
          <w:rPr>
            <w:sz w:val="16"/>
          </w:rPr>
          <w:t>www.df.cl/mercados/banca-fintech/numero-de-morosos-crece-levemente-al-cierre-de-2022-y-supera-los-4-</w:t>
        </w:r>
      </w:hyperlink>
      <w:r>
        <w:rPr>
          <w:sz w:val="16"/>
        </w:rPr>
        <w:t xml:space="preserve"> </w:t>
      </w:r>
      <w:r>
        <w:rPr>
          <w:spacing w:val="-2"/>
          <w:sz w:val="16"/>
        </w:rPr>
        <w:t>1#:~:text=Al%20t%C3%A9rmino%20de%202022%2C%20las,poco%20m%C3%A1s%20de%204%20millones.</w:t>
      </w:r>
    </w:p>
    <w:p w:rsidR="00DF0864" w:rsidRDefault="00DF0864">
      <w:pPr>
        <w:spacing w:line="244" w:lineRule="auto"/>
        <w:rPr>
          <w:sz w:val="16"/>
        </w:rPr>
        <w:sectPr w:rsidR="00DF0864">
          <w:headerReference w:type="default" r:id="rId7"/>
          <w:type w:val="continuous"/>
          <w:pgSz w:w="12240" w:h="15840"/>
          <w:pgMar w:top="2140" w:right="1580" w:bottom="280" w:left="1580" w:header="723" w:footer="0" w:gutter="0"/>
          <w:pgNumType w:start="1"/>
          <w:cols w:space="720"/>
        </w:sectPr>
      </w:pPr>
    </w:p>
    <w:p w:rsidR="00DF0864" w:rsidRDefault="004E14F9">
      <w:pPr>
        <w:pStyle w:val="Textoindependiente"/>
        <w:spacing w:before="19" w:line="360" w:lineRule="auto"/>
        <w:ind w:left="119" w:right="119"/>
        <w:jc w:val="both"/>
      </w:pPr>
      <w:r>
        <w:lastRenderedPageBreak/>
        <w:t>llamadas</w:t>
      </w:r>
      <w:r>
        <w:rPr>
          <w:spacing w:val="-4"/>
        </w:rPr>
        <w:t xml:space="preserve"> </w:t>
      </w:r>
      <w:r>
        <w:t>telefónicas,</w:t>
      </w:r>
      <w:r>
        <w:rPr>
          <w:spacing w:val="-4"/>
        </w:rPr>
        <w:t xml:space="preserve"> </w:t>
      </w:r>
      <w:r>
        <w:t>visitas</w:t>
      </w:r>
      <w:r>
        <w:rPr>
          <w:spacing w:val="-4"/>
        </w:rPr>
        <w:t xml:space="preserve"> </w:t>
      </w:r>
      <w:r>
        <w:t>a</w:t>
      </w:r>
      <w:r>
        <w:rPr>
          <w:spacing w:val="-4"/>
        </w:rPr>
        <w:t xml:space="preserve"> </w:t>
      </w:r>
      <w:r>
        <w:t>domicilio</w:t>
      </w:r>
      <w:r>
        <w:rPr>
          <w:spacing w:val="-4"/>
        </w:rPr>
        <w:t xml:space="preserve"> </w:t>
      </w:r>
      <w:r>
        <w:t>y</w:t>
      </w:r>
      <w:r>
        <w:rPr>
          <w:spacing w:val="-2"/>
        </w:rPr>
        <w:t xml:space="preserve"> </w:t>
      </w:r>
      <w:r>
        <w:t>otras</w:t>
      </w:r>
      <w:r>
        <w:rPr>
          <w:spacing w:val="-4"/>
        </w:rPr>
        <w:t xml:space="preserve"> </w:t>
      </w:r>
      <w:r>
        <w:t>gestiones</w:t>
      </w:r>
      <w:r>
        <w:rPr>
          <w:spacing w:val="-4"/>
        </w:rPr>
        <w:t xml:space="preserve"> </w:t>
      </w:r>
      <w:r>
        <w:t>de</w:t>
      </w:r>
      <w:r>
        <w:rPr>
          <w:spacing w:val="-4"/>
        </w:rPr>
        <w:t xml:space="preserve"> </w:t>
      </w:r>
      <w:r>
        <w:t>cobranza</w:t>
      </w:r>
      <w:r>
        <w:rPr>
          <w:spacing w:val="-5"/>
        </w:rPr>
        <w:t xml:space="preserve"> </w:t>
      </w:r>
      <w:r>
        <w:t>tales</w:t>
      </w:r>
      <w:r>
        <w:rPr>
          <w:spacing w:val="-4"/>
        </w:rPr>
        <w:t xml:space="preserve"> </w:t>
      </w:r>
      <w:r>
        <w:t>como</w:t>
      </w:r>
      <w:r>
        <w:rPr>
          <w:spacing w:val="-4"/>
        </w:rPr>
        <w:t xml:space="preserve"> </w:t>
      </w:r>
      <w:r>
        <w:t>el envío de correspondencia por correo, mensajes de texto, correos electrónicos o aplicaciones de mensajería instantánea destinadas al deudor, con el fin de darle a conocer toda la i</w:t>
      </w:r>
      <w:r>
        <w:t>nformación necesaria para poder regularizar cuanto antes su situación de morosidad, tal como la individualización de su acreedor, gastos de cobranza, intereses, las modalidades de pago, entre otras. En el pasado, estas actuaciones de cobranza se realizaban</w:t>
      </w:r>
      <w:r>
        <w:t xml:space="preserve"> de manera desregulada, lo que en</w:t>
      </w:r>
      <w:r>
        <w:rPr>
          <w:spacing w:val="40"/>
        </w:rPr>
        <w:t xml:space="preserve"> </w:t>
      </w:r>
      <w:r>
        <w:t>ocasiones se generaban verdaderas situaciones de acoso sufridas</w:t>
      </w:r>
      <w:r>
        <w:rPr>
          <w:spacing w:val="-1"/>
        </w:rPr>
        <w:t xml:space="preserve"> </w:t>
      </w:r>
      <w:r>
        <w:t>por el</w:t>
      </w:r>
      <w:r>
        <w:rPr>
          <w:spacing w:val="-1"/>
        </w:rPr>
        <w:t xml:space="preserve"> </w:t>
      </w:r>
      <w:r>
        <w:t>deudor, al ser requerido al pago en todo horario, en cualquier día.</w:t>
      </w:r>
    </w:p>
    <w:p w:rsidR="00DF0864" w:rsidRDefault="004E14F9">
      <w:pPr>
        <w:pStyle w:val="Textoindependiente"/>
        <w:spacing w:before="167"/>
        <w:ind w:left="119"/>
        <w:jc w:val="both"/>
      </w:pPr>
      <w:r>
        <w:rPr>
          <w:b/>
        </w:rPr>
        <w:t>3.-</w:t>
      </w:r>
      <w:r>
        <w:rPr>
          <w:b/>
          <w:spacing w:val="31"/>
        </w:rPr>
        <w:t xml:space="preserve"> </w:t>
      </w:r>
      <w:r>
        <w:t>Afortunadamente</w:t>
      </w:r>
      <w:r>
        <w:rPr>
          <w:spacing w:val="30"/>
        </w:rPr>
        <w:t xml:space="preserve"> </w:t>
      </w:r>
      <w:r>
        <w:t>con</w:t>
      </w:r>
      <w:r>
        <w:rPr>
          <w:spacing w:val="32"/>
        </w:rPr>
        <w:t xml:space="preserve"> </w:t>
      </w:r>
      <w:r>
        <w:t>la</w:t>
      </w:r>
      <w:r>
        <w:rPr>
          <w:spacing w:val="29"/>
        </w:rPr>
        <w:t xml:space="preserve"> </w:t>
      </w:r>
      <w:r>
        <w:t>dictación</w:t>
      </w:r>
      <w:r>
        <w:rPr>
          <w:spacing w:val="31"/>
        </w:rPr>
        <w:t xml:space="preserve"> </w:t>
      </w:r>
      <w:r>
        <w:t>de</w:t>
      </w:r>
      <w:r>
        <w:rPr>
          <w:spacing w:val="30"/>
        </w:rPr>
        <w:t xml:space="preserve"> </w:t>
      </w:r>
      <w:r>
        <w:t>la</w:t>
      </w:r>
      <w:r>
        <w:rPr>
          <w:spacing w:val="34"/>
        </w:rPr>
        <w:t xml:space="preserve"> </w:t>
      </w:r>
      <w:r>
        <w:t>ley</w:t>
      </w:r>
      <w:r>
        <w:rPr>
          <w:spacing w:val="32"/>
        </w:rPr>
        <w:t xml:space="preserve"> </w:t>
      </w:r>
      <w:r>
        <w:t>21.320,</w:t>
      </w:r>
      <w:r>
        <w:rPr>
          <w:spacing w:val="35"/>
        </w:rPr>
        <w:t xml:space="preserve"> </w:t>
      </w:r>
      <w:r>
        <w:t>la</w:t>
      </w:r>
      <w:r>
        <w:rPr>
          <w:spacing w:val="30"/>
        </w:rPr>
        <w:t xml:space="preserve"> </w:t>
      </w:r>
      <w:r>
        <w:t>cual</w:t>
      </w:r>
      <w:r>
        <w:rPr>
          <w:spacing w:val="30"/>
        </w:rPr>
        <w:t xml:space="preserve"> </w:t>
      </w:r>
      <w:r>
        <w:t>modifica</w:t>
      </w:r>
      <w:r>
        <w:rPr>
          <w:spacing w:val="29"/>
        </w:rPr>
        <w:t xml:space="preserve"> </w:t>
      </w:r>
      <w:r>
        <w:t>a</w:t>
      </w:r>
      <w:r>
        <w:rPr>
          <w:spacing w:val="35"/>
        </w:rPr>
        <w:t xml:space="preserve"> </w:t>
      </w:r>
      <w:r>
        <w:t>la</w:t>
      </w:r>
      <w:r>
        <w:rPr>
          <w:spacing w:val="30"/>
        </w:rPr>
        <w:t xml:space="preserve"> </w:t>
      </w:r>
      <w:r>
        <w:rPr>
          <w:spacing w:val="-5"/>
        </w:rPr>
        <w:t>ley</w:t>
      </w:r>
    </w:p>
    <w:p w:rsidR="00DF0864" w:rsidRDefault="004E14F9">
      <w:pPr>
        <w:pStyle w:val="Textoindependiente"/>
        <w:spacing w:before="142" w:line="360" w:lineRule="auto"/>
        <w:ind w:left="119" w:right="114"/>
        <w:jc w:val="both"/>
      </w:pPr>
      <w:r>
        <w:t>19.496 sobre protección de los derechos de los consumidores, esta situación ha sido regulada, estableciéndose ciertos parámetros dentro de los cuales los acreedores o las empresas de cobranza pueden realizar sus gestiones. De esta manera, hoy no les está p</w:t>
      </w:r>
      <w:r>
        <w:t>ermitido acosar u hostigar al deudor para increparlo a que pague su deuda, puesto que se estableció en el artículo 37° de la ley 19.496 que dentro de las gestiones de cobranza sólo se puede realizar una visita o una llamada telefónica a la semana, para est</w:t>
      </w:r>
      <w:r>
        <w:t>os efectos. Adicionalmente, pueden</w:t>
      </w:r>
      <w:r>
        <w:rPr>
          <w:spacing w:val="40"/>
        </w:rPr>
        <w:t xml:space="preserve"> </w:t>
      </w:r>
      <w:r>
        <w:t>realizar otras dos gestiones remotas durante la semana, separados por al menos</w:t>
      </w:r>
      <w:r>
        <w:rPr>
          <w:spacing w:val="40"/>
        </w:rPr>
        <w:t xml:space="preserve"> </w:t>
      </w:r>
      <w:r>
        <w:t>en dos días, por ejemplo, enviar correos, correos electrónicos, SMS o mensajería instantánea. En conclusión, un consumidor podría tener máximo</w:t>
      </w:r>
      <w:r>
        <w:t xml:space="preserve"> tres contactos efectivos a la semana en caso de estar moroso. Por ejemplo, una llamada y dos SMS; o una visita y dos e-mails.</w:t>
      </w:r>
      <w:r>
        <w:rPr>
          <w:position w:val="8"/>
          <w:sz w:val="16"/>
        </w:rPr>
        <w:t>3</w:t>
      </w:r>
      <w:r>
        <w:t>.</w:t>
      </w:r>
    </w:p>
    <w:p w:rsidR="00DF0864" w:rsidRDefault="004E14F9">
      <w:pPr>
        <w:pStyle w:val="Textoindependiente"/>
        <w:spacing w:before="163" w:line="360" w:lineRule="auto"/>
        <w:ind w:left="119" w:right="119"/>
        <w:jc w:val="both"/>
      </w:pPr>
      <w:r>
        <w:rPr>
          <w:b/>
        </w:rPr>
        <w:t xml:space="preserve">4.- </w:t>
      </w:r>
      <w:r>
        <w:t xml:space="preserve">Evidentemente que la nueva regulación establecida para estas situaciones la recibimos de manera positiva y la consideramos </w:t>
      </w:r>
      <w:r>
        <w:t>como un importante avance en la defensa</w:t>
      </w:r>
      <w:r>
        <w:rPr>
          <w:spacing w:val="45"/>
          <w:w w:val="150"/>
        </w:rPr>
        <w:t xml:space="preserve"> </w:t>
      </w:r>
      <w:r>
        <w:t>de</w:t>
      </w:r>
      <w:r>
        <w:rPr>
          <w:spacing w:val="45"/>
          <w:w w:val="150"/>
        </w:rPr>
        <w:t xml:space="preserve"> </w:t>
      </w:r>
      <w:r>
        <w:t>los</w:t>
      </w:r>
      <w:r>
        <w:rPr>
          <w:spacing w:val="44"/>
          <w:w w:val="150"/>
        </w:rPr>
        <w:t xml:space="preserve"> </w:t>
      </w:r>
      <w:r>
        <w:t>derechos</w:t>
      </w:r>
      <w:r>
        <w:rPr>
          <w:spacing w:val="44"/>
          <w:w w:val="150"/>
        </w:rPr>
        <w:t xml:space="preserve"> </w:t>
      </w:r>
      <w:r>
        <w:t>de</w:t>
      </w:r>
      <w:r>
        <w:rPr>
          <w:spacing w:val="78"/>
        </w:rPr>
        <w:t xml:space="preserve"> </w:t>
      </w:r>
      <w:r>
        <w:t>los</w:t>
      </w:r>
      <w:r>
        <w:rPr>
          <w:spacing w:val="44"/>
          <w:w w:val="150"/>
        </w:rPr>
        <w:t xml:space="preserve"> </w:t>
      </w:r>
      <w:r>
        <w:t>consumidores.</w:t>
      </w:r>
      <w:r>
        <w:rPr>
          <w:spacing w:val="46"/>
          <w:w w:val="150"/>
        </w:rPr>
        <w:t xml:space="preserve"> </w:t>
      </w:r>
      <w:r>
        <w:t>Sin</w:t>
      </w:r>
      <w:r>
        <w:rPr>
          <w:spacing w:val="48"/>
          <w:w w:val="150"/>
        </w:rPr>
        <w:t xml:space="preserve"> </w:t>
      </w:r>
      <w:r>
        <w:t>embargo,</w:t>
      </w:r>
      <w:r>
        <w:rPr>
          <w:spacing w:val="45"/>
          <w:w w:val="150"/>
        </w:rPr>
        <w:t xml:space="preserve"> </w:t>
      </w:r>
      <w:r>
        <w:t>hemos</w:t>
      </w:r>
      <w:r>
        <w:rPr>
          <w:spacing w:val="78"/>
        </w:rPr>
        <w:t xml:space="preserve"> </w:t>
      </w:r>
      <w:r>
        <w:rPr>
          <w:spacing w:val="-2"/>
        </w:rPr>
        <w:t>tomado</w:t>
      </w:r>
    </w:p>
    <w:p w:rsidR="00DF0864" w:rsidRDefault="004E14F9">
      <w:pPr>
        <w:pStyle w:val="Textoindependiente"/>
        <w:spacing w:before="10"/>
        <w:rPr>
          <w:sz w:val="28"/>
        </w:rPr>
      </w:pPr>
      <w:r>
        <w:pict>
          <v:rect id="docshape2" o:spid="_x0000_s1027" style="position:absolute;margin-left:85pt;margin-top:18.6pt;width:144.05pt;height:.7pt;z-index:-15728128;mso-wrap-distance-left:0;mso-wrap-distance-right:0;mso-position-horizontal-relative:page" fillcolor="black" stroked="f">
            <w10:wrap type="topAndBottom" anchorx="page"/>
          </v:rect>
        </w:pict>
      </w:r>
    </w:p>
    <w:p w:rsidR="00DF0864" w:rsidRDefault="004E14F9">
      <w:pPr>
        <w:spacing w:before="99" w:line="242" w:lineRule="auto"/>
        <w:ind w:left="119"/>
        <w:rPr>
          <w:sz w:val="16"/>
        </w:rPr>
      </w:pPr>
      <w:r>
        <w:rPr>
          <w:sz w:val="16"/>
          <w:vertAlign w:val="superscript"/>
        </w:rPr>
        <w:t>3</w:t>
      </w:r>
      <w:r>
        <w:rPr>
          <w:sz w:val="16"/>
        </w:rPr>
        <w:t xml:space="preserve"> Fuente: https://</w:t>
      </w:r>
      <w:hyperlink r:id="rId8">
        <w:r>
          <w:rPr>
            <w:sz w:val="16"/>
          </w:rPr>
          <w:t>www.sernac.cl/portal/604/w3-article-</w:t>
        </w:r>
      </w:hyperlink>
      <w:r>
        <w:rPr>
          <w:sz w:val="16"/>
        </w:rPr>
        <w:t xml:space="preserve"> </w:t>
      </w:r>
      <w:r>
        <w:rPr>
          <w:spacing w:val="-2"/>
          <w:sz w:val="16"/>
        </w:rPr>
        <w:t>64718.html#:~:text=En%20conclusi%C3%B3n%2C%20un%20consumidor%20podr%C3%ADa,visita%20y%20dos%20e% 2Dmails.</w:t>
      </w:r>
    </w:p>
    <w:p w:rsidR="00DF0864" w:rsidRDefault="00DF0864">
      <w:pPr>
        <w:spacing w:line="242" w:lineRule="auto"/>
        <w:rPr>
          <w:sz w:val="16"/>
        </w:rPr>
        <w:sectPr w:rsidR="00DF0864">
          <w:pgSz w:w="12240" w:h="15840"/>
          <w:pgMar w:top="2140" w:right="1580" w:bottom="280" w:left="1580" w:header="723" w:footer="0" w:gutter="0"/>
          <w:cols w:space="720"/>
        </w:sectPr>
      </w:pPr>
    </w:p>
    <w:p w:rsidR="00DF0864" w:rsidRDefault="004E14F9">
      <w:pPr>
        <w:pStyle w:val="Textoindependiente"/>
        <w:spacing w:before="19" w:line="360" w:lineRule="auto"/>
        <w:ind w:left="119" w:right="120"/>
        <w:jc w:val="both"/>
      </w:pPr>
      <w:r>
        <w:lastRenderedPageBreak/>
        <w:t>conocimiento respecto de numerosas quejas de consumidores, los cuales han manifestado que, a pesar de la regulación, las empresas de cob</w:t>
      </w:r>
      <w:r>
        <w:t>ranza extrajudicial continúan ejerciendo acciones que podrían considerarse acoso u hostigamiento, puesto que, en algunos casos, no se ha respetado el máximo de llamadas semanales que puede recibir un deudor. Si bien el Servicio Nacional del Consumidor ha d</w:t>
      </w:r>
      <w:r>
        <w:t xml:space="preserve">ispuesto dentro de su página web la posibilidad de denunciar estos hechos, en la práctica se hace difícil al consumidor probar la infracción a la ley, ya que las llamadas recibidas provienen de distintos números telefónicos, no identificables, que impiden </w:t>
      </w:r>
      <w:r>
        <w:t>comprobar que han sido contactados en un mayor número de ocasiones que las permitidas en la norma. Así da cuenta la siguiente captura hecha por un ciudadano que nos ha alertado del problema</w:t>
      </w:r>
      <w:r>
        <w:rPr>
          <w:position w:val="8"/>
          <w:sz w:val="16"/>
        </w:rPr>
        <w:t>4</w:t>
      </w:r>
      <w:r>
        <w:t>:</w:t>
      </w:r>
    </w:p>
    <w:p w:rsidR="00DF0864" w:rsidRDefault="004E14F9">
      <w:pPr>
        <w:pStyle w:val="Textoindependiente"/>
        <w:spacing w:before="7"/>
        <w:rPr>
          <w:sz w:val="15"/>
        </w:rPr>
      </w:pPr>
      <w:r>
        <w:rPr>
          <w:noProof/>
        </w:rPr>
        <w:drawing>
          <wp:anchor distT="0" distB="0" distL="0" distR="0" simplePos="0" relativeHeight="2" behindDoc="0" locked="0" layoutInCell="1" allowOverlap="1">
            <wp:simplePos x="0" y="0"/>
            <wp:positionH relativeFrom="page">
              <wp:posOffset>2926872</wp:posOffset>
            </wp:positionH>
            <wp:positionV relativeFrom="paragraph">
              <wp:posOffset>134745</wp:posOffset>
            </wp:positionV>
            <wp:extent cx="2003199" cy="3118104"/>
            <wp:effectExtent l="0" t="0" r="0" b="0"/>
            <wp:wrapTopAndBottom/>
            <wp:docPr id="3" name="image2.jpeg" descr="Interfaz de usuario gráfica, Texto, Aplicación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003199" cy="3118104"/>
                    </a:xfrm>
                    <a:prstGeom prst="rect">
                      <a:avLst/>
                    </a:prstGeom>
                  </pic:spPr>
                </pic:pic>
              </a:graphicData>
            </a:graphic>
          </wp:anchor>
        </w:drawing>
      </w:r>
    </w:p>
    <w:p w:rsidR="00DF0864" w:rsidRDefault="00DF0864">
      <w:pPr>
        <w:pStyle w:val="Textoindependiente"/>
        <w:rPr>
          <w:sz w:val="28"/>
        </w:rPr>
      </w:pPr>
    </w:p>
    <w:p w:rsidR="00DF0864" w:rsidRDefault="00DF0864">
      <w:pPr>
        <w:pStyle w:val="Textoindependiente"/>
        <w:rPr>
          <w:sz w:val="28"/>
        </w:rPr>
      </w:pPr>
    </w:p>
    <w:p w:rsidR="00DF0864" w:rsidRDefault="00DF0864">
      <w:pPr>
        <w:pStyle w:val="Textoindependiente"/>
        <w:spacing w:before="10"/>
        <w:rPr>
          <w:sz w:val="23"/>
        </w:rPr>
      </w:pPr>
    </w:p>
    <w:p w:rsidR="00DF0864" w:rsidRDefault="004E14F9">
      <w:pPr>
        <w:pStyle w:val="Textoindependiente"/>
        <w:spacing w:line="357" w:lineRule="auto"/>
        <w:ind w:left="119" w:right="129"/>
        <w:jc w:val="both"/>
      </w:pPr>
      <w:r>
        <w:rPr>
          <w:b/>
        </w:rPr>
        <w:t xml:space="preserve">5.- </w:t>
      </w:r>
      <w:r>
        <w:t>Por lo anterior, es que mediante el presente proyecto de ley, los autores proponemos</w:t>
      </w:r>
      <w:r>
        <w:rPr>
          <w:spacing w:val="11"/>
        </w:rPr>
        <w:t xml:space="preserve"> </w:t>
      </w:r>
      <w:r>
        <w:t>de</w:t>
      </w:r>
      <w:r>
        <w:rPr>
          <w:spacing w:val="15"/>
        </w:rPr>
        <w:t xml:space="preserve"> </w:t>
      </w:r>
      <w:r>
        <w:t>manera</w:t>
      </w:r>
      <w:r>
        <w:rPr>
          <w:spacing w:val="15"/>
        </w:rPr>
        <w:t xml:space="preserve"> </w:t>
      </w:r>
      <w:r>
        <w:t>complementaria</w:t>
      </w:r>
      <w:r>
        <w:rPr>
          <w:spacing w:val="14"/>
        </w:rPr>
        <w:t xml:space="preserve"> </w:t>
      </w:r>
      <w:r>
        <w:t>a</w:t>
      </w:r>
      <w:r>
        <w:rPr>
          <w:spacing w:val="15"/>
        </w:rPr>
        <w:t xml:space="preserve"> </w:t>
      </w:r>
      <w:r>
        <w:t>la</w:t>
      </w:r>
      <w:r>
        <w:rPr>
          <w:spacing w:val="20"/>
        </w:rPr>
        <w:t xml:space="preserve"> </w:t>
      </w:r>
      <w:r>
        <w:t>legislación</w:t>
      </w:r>
      <w:r>
        <w:rPr>
          <w:spacing w:val="15"/>
        </w:rPr>
        <w:t xml:space="preserve"> </w:t>
      </w:r>
      <w:r>
        <w:t>actual,</w:t>
      </w:r>
      <w:r>
        <w:rPr>
          <w:spacing w:val="16"/>
        </w:rPr>
        <w:t xml:space="preserve"> </w:t>
      </w:r>
      <w:r>
        <w:t>establecer</w:t>
      </w:r>
      <w:r>
        <w:rPr>
          <w:spacing w:val="16"/>
        </w:rPr>
        <w:t xml:space="preserve"> </w:t>
      </w:r>
      <w:r>
        <w:rPr>
          <w:spacing w:val="-2"/>
        </w:rPr>
        <w:t>nuevas</w:t>
      </w:r>
    </w:p>
    <w:p w:rsidR="00DF0864" w:rsidRDefault="004E14F9">
      <w:pPr>
        <w:pStyle w:val="Textoindependiente"/>
        <w:rPr>
          <w:sz w:val="12"/>
        </w:rPr>
      </w:pPr>
      <w:r>
        <w:pict>
          <v:rect id="docshape3" o:spid="_x0000_s1026" style="position:absolute;margin-left:85pt;margin-top:8.45pt;width:144.05pt;height:.7pt;z-index:-15727104;mso-wrap-distance-left:0;mso-wrap-distance-right:0;mso-position-horizontal-relative:page" fillcolor="black" stroked="f">
            <w10:wrap type="topAndBottom" anchorx="page"/>
          </v:rect>
        </w:pict>
      </w:r>
    </w:p>
    <w:p w:rsidR="00DF0864" w:rsidRDefault="004E14F9">
      <w:pPr>
        <w:spacing w:before="103"/>
        <w:ind w:left="119"/>
        <w:rPr>
          <w:rFonts w:ascii="Calibri" w:hAnsi="Calibri"/>
          <w:sz w:val="20"/>
        </w:rPr>
      </w:pPr>
      <w:r>
        <w:rPr>
          <w:rFonts w:ascii="Calibri" w:hAnsi="Calibri"/>
          <w:sz w:val="20"/>
          <w:vertAlign w:val="superscript"/>
        </w:rPr>
        <w:t>4</w:t>
      </w:r>
      <w:r>
        <w:rPr>
          <w:rFonts w:ascii="Calibri" w:hAnsi="Calibri"/>
          <w:spacing w:val="1"/>
          <w:sz w:val="20"/>
        </w:rPr>
        <w:t xml:space="preserve"> </w:t>
      </w:r>
      <w:r>
        <w:rPr>
          <w:rFonts w:ascii="Calibri" w:hAnsi="Calibri"/>
          <w:sz w:val="20"/>
        </w:rPr>
        <w:t>La</w:t>
      </w:r>
      <w:r>
        <w:rPr>
          <w:rFonts w:ascii="Calibri" w:hAnsi="Calibri"/>
          <w:spacing w:val="-5"/>
          <w:sz w:val="20"/>
        </w:rPr>
        <w:t xml:space="preserve"> </w:t>
      </w:r>
      <w:r>
        <w:rPr>
          <w:rFonts w:ascii="Calibri" w:hAnsi="Calibri"/>
          <w:sz w:val="20"/>
        </w:rPr>
        <w:t>línea</w:t>
      </w:r>
      <w:r>
        <w:rPr>
          <w:rFonts w:ascii="Calibri" w:hAnsi="Calibri"/>
          <w:spacing w:val="-5"/>
          <w:sz w:val="20"/>
        </w:rPr>
        <w:t xml:space="preserve"> </w:t>
      </w:r>
      <w:r>
        <w:rPr>
          <w:rFonts w:ascii="Calibri" w:hAnsi="Calibri"/>
          <w:sz w:val="20"/>
        </w:rPr>
        <w:t>verde</w:t>
      </w:r>
      <w:r>
        <w:rPr>
          <w:rFonts w:ascii="Calibri" w:hAnsi="Calibri"/>
          <w:spacing w:val="-6"/>
          <w:sz w:val="20"/>
        </w:rPr>
        <w:t xml:space="preserve"> </w:t>
      </w:r>
      <w:r>
        <w:rPr>
          <w:rFonts w:ascii="Calibri" w:hAnsi="Calibri"/>
          <w:sz w:val="20"/>
        </w:rPr>
        <w:t>da</w:t>
      </w:r>
      <w:r>
        <w:rPr>
          <w:rFonts w:ascii="Calibri" w:hAnsi="Calibri"/>
          <w:spacing w:val="-5"/>
          <w:sz w:val="20"/>
        </w:rPr>
        <w:t xml:space="preserve"> </w:t>
      </w:r>
      <w:r>
        <w:rPr>
          <w:rFonts w:ascii="Calibri" w:hAnsi="Calibri"/>
          <w:sz w:val="20"/>
        </w:rPr>
        <w:t>cuenta</w:t>
      </w:r>
      <w:r>
        <w:rPr>
          <w:rFonts w:ascii="Calibri" w:hAnsi="Calibri"/>
          <w:spacing w:val="-6"/>
          <w:sz w:val="20"/>
        </w:rPr>
        <w:t xml:space="preserve"> </w:t>
      </w:r>
      <w:r>
        <w:rPr>
          <w:rFonts w:ascii="Calibri" w:hAnsi="Calibri"/>
          <w:sz w:val="20"/>
        </w:rPr>
        <w:t>de</w:t>
      </w:r>
      <w:r>
        <w:rPr>
          <w:rFonts w:ascii="Calibri" w:hAnsi="Calibri"/>
          <w:spacing w:val="-5"/>
          <w:sz w:val="20"/>
        </w:rPr>
        <w:t xml:space="preserve"> </w:t>
      </w:r>
      <w:r>
        <w:rPr>
          <w:rFonts w:ascii="Calibri" w:hAnsi="Calibri"/>
          <w:sz w:val="20"/>
        </w:rPr>
        <w:t>las</w:t>
      </w:r>
      <w:r>
        <w:rPr>
          <w:rFonts w:ascii="Calibri" w:hAnsi="Calibri"/>
          <w:spacing w:val="-7"/>
          <w:sz w:val="20"/>
        </w:rPr>
        <w:t xml:space="preserve"> </w:t>
      </w:r>
      <w:r>
        <w:rPr>
          <w:rFonts w:ascii="Calibri" w:hAnsi="Calibri"/>
          <w:sz w:val="20"/>
        </w:rPr>
        <w:t>llamadas</w:t>
      </w:r>
      <w:r>
        <w:rPr>
          <w:rFonts w:ascii="Calibri" w:hAnsi="Calibri"/>
          <w:spacing w:val="-7"/>
          <w:sz w:val="20"/>
        </w:rPr>
        <w:t xml:space="preserve"> </w:t>
      </w:r>
      <w:r>
        <w:rPr>
          <w:rFonts w:ascii="Calibri" w:hAnsi="Calibri"/>
          <w:sz w:val="20"/>
        </w:rPr>
        <w:t>de</w:t>
      </w:r>
      <w:r>
        <w:rPr>
          <w:rFonts w:ascii="Calibri" w:hAnsi="Calibri"/>
          <w:spacing w:val="-5"/>
          <w:sz w:val="20"/>
        </w:rPr>
        <w:t xml:space="preserve"> </w:t>
      </w:r>
      <w:r>
        <w:rPr>
          <w:rFonts w:ascii="Calibri" w:hAnsi="Calibri"/>
          <w:sz w:val="20"/>
        </w:rPr>
        <w:t>cobranza</w:t>
      </w:r>
      <w:r>
        <w:rPr>
          <w:rFonts w:ascii="Calibri" w:hAnsi="Calibri"/>
          <w:spacing w:val="-6"/>
          <w:sz w:val="20"/>
        </w:rPr>
        <w:t xml:space="preserve"> </w:t>
      </w:r>
      <w:r>
        <w:rPr>
          <w:rFonts w:ascii="Calibri" w:hAnsi="Calibri"/>
          <w:sz w:val="20"/>
        </w:rPr>
        <w:t>y</w:t>
      </w:r>
      <w:r>
        <w:rPr>
          <w:rFonts w:ascii="Calibri" w:hAnsi="Calibri"/>
          <w:spacing w:val="-5"/>
          <w:sz w:val="20"/>
        </w:rPr>
        <w:t xml:space="preserve"> </w:t>
      </w:r>
      <w:r>
        <w:rPr>
          <w:rFonts w:ascii="Calibri" w:hAnsi="Calibri"/>
          <w:sz w:val="20"/>
        </w:rPr>
        <w:t>el</w:t>
      </w:r>
      <w:r>
        <w:rPr>
          <w:rFonts w:ascii="Calibri" w:hAnsi="Calibri"/>
          <w:spacing w:val="-3"/>
          <w:sz w:val="20"/>
        </w:rPr>
        <w:t xml:space="preserve"> </w:t>
      </w:r>
      <w:r>
        <w:rPr>
          <w:rFonts w:ascii="Calibri" w:hAnsi="Calibri"/>
          <w:sz w:val="20"/>
        </w:rPr>
        <w:t>horario</w:t>
      </w:r>
      <w:r>
        <w:rPr>
          <w:rFonts w:ascii="Calibri" w:hAnsi="Calibri"/>
          <w:spacing w:val="-5"/>
          <w:sz w:val="20"/>
        </w:rPr>
        <w:t xml:space="preserve"> </w:t>
      </w:r>
      <w:r>
        <w:rPr>
          <w:rFonts w:ascii="Calibri" w:hAnsi="Calibri"/>
          <w:sz w:val="20"/>
        </w:rPr>
        <w:t>en</w:t>
      </w:r>
      <w:r>
        <w:rPr>
          <w:rFonts w:ascii="Calibri" w:hAnsi="Calibri"/>
          <w:spacing w:val="-4"/>
          <w:sz w:val="20"/>
        </w:rPr>
        <w:t xml:space="preserve"> </w:t>
      </w:r>
      <w:r>
        <w:rPr>
          <w:rFonts w:ascii="Calibri" w:hAnsi="Calibri"/>
          <w:sz w:val="20"/>
        </w:rPr>
        <w:t>las</w:t>
      </w:r>
      <w:r>
        <w:rPr>
          <w:rFonts w:ascii="Calibri" w:hAnsi="Calibri"/>
          <w:spacing w:val="-4"/>
          <w:sz w:val="20"/>
        </w:rPr>
        <w:t xml:space="preserve"> </w:t>
      </w:r>
      <w:r>
        <w:rPr>
          <w:rFonts w:ascii="Calibri" w:hAnsi="Calibri"/>
          <w:sz w:val="20"/>
        </w:rPr>
        <w:t>que</w:t>
      </w:r>
      <w:r>
        <w:rPr>
          <w:rFonts w:ascii="Calibri" w:hAnsi="Calibri"/>
          <w:spacing w:val="-5"/>
          <w:sz w:val="20"/>
        </w:rPr>
        <w:t xml:space="preserve"> </w:t>
      </w:r>
      <w:r>
        <w:rPr>
          <w:rFonts w:ascii="Calibri" w:hAnsi="Calibri"/>
          <w:sz w:val="20"/>
        </w:rPr>
        <w:t>fueron</w:t>
      </w:r>
      <w:r>
        <w:rPr>
          <w:rFonts w:ascii="Calibri" w:hAnsi="Calibri"/>
          <w:spacing w:val="-5"/>
          <w:sz w:val="20"/>
        </w:rPr>
        <w:t xml:space="preserve"> </w:t>
      </w:r>
      <w:r>
        <w:rPr>
          <w:rFonts w:ascii="Calibri" w:hAnsi="Calibri"/>
          <w:spacing w:val="-2"/>
          <w:sz w:val="20"/>
        </w:rPr>
        <w:t>recibidas.</w:t>
      </w:r>
    </w:p>
    <w:p w:rsidR="00DF0864" w:rsidRDefault="00DF0864">
      <w:pPr>
        <w:rPr>
          <w:rFonts w:ascii="Calibri" w:hAnsi="Calibri"/>
          <w:sz w:val="20"/>
        </w:rPr>
        <w:sectPr w:rsidR="00DF0864">
          <w:pgSz w:w="12240" w:h="15840"/>
          <w:pgMar w:top="2140" w:right="1580" w:bottom="280" w:left="1580" w:header="723" w:footer="0" w:gutter="0"/>
          <w:cols w:space="720"/>
        </w:sectPr>
      </w:pPr>
    </w:p>
    <w:p w:rsidR="00DF0864" w:rsidRDefault="004E14F9">
      <w:pPr>
        <w:pStyle w:val="Textoindependiente"/>
        <w:spacing w:before="19" w:line="360" w:lineRule="auto"/>
        <w:ind w:left="119" w:right="117"/>
        <w:jc w:val="both"/>
      </w:pPr>
      <w:r>
        <w:t>obligaciones a las empresas de cobranza, esto es, que las gestiones de cobranza extrajudicial, y, otras actuaciones generales como publicidad, información</w:t>
      </w:r>
      <w:r>
        <w:rPr>
          <w:spacing w:val="40"/>
        </w:rPr>
        <w:t xml:space="preserve"> </w:t>
      </w:r>
      <w:r>
        <w:t>comercial u otras, que se realice por la empresa proveedora de manera direct</w:t>
      </w:r>
      <w:r>
        <w:t xml:space="preserve">a o por intermedio de terceros, deberá efectuarse mediante un número telefónico u otra fuente que sea reconocible o identificable previamente por el usuario, aun cuando el deudor no tenga incorporado el número de origen dentro de sus contactos. Hoy en día </w:t>
      </w:r>
      <w:r>
        <w:t>esa tecnología existe, y, de hecho, es utilizada por algunos emprendedores para darse a conocer de mejor manera con sus potenciales clientes. De esta manera, el deudor tendrá la posibilidad de contar dentro del registro de llamadas con una constancia que l</w:t>
      </w:r>
      <w:r>
        <w:t>e permita dar cuenta de todas las veces que ha sido contactado respecto de una deuda morosa. Igualmente, se propone que el máximo de contactos telefónicos o gestiones de cobranza que puede recibir un deudor a la semana se debe entender respecto de una dete</w:t>
      </w:r>
      <w:r>
        <w:t>rminada deuda, indistintamente si la gestión la realiza una empresa de cobranza extrajudicial o el acreedor directamente. Con ello, consideramos que el derecho a no ser hostigado queda resguardado de mejor manera y se complementa de buena forma con la legi</w:t>
      </w:r>
      <w:r>
        <w:t>slación vigente. Para los efectos de lo anteriormente señalado, se propone modificar la Ley de Protección de los</w:t>
      </w:r>
      <w:r>
        <w:rPr>
          <w:spacing w:val="80"/>
        </w:rPr>
        <w:t xml:space="preserve"> </w:t>
      </w:r>
      <w:r>
        <w:t>Derechos de los Consumidores y la Ley General de Telecomunicaciones.</w:t>
      </w:r>
    </w:p>
    <w:p w:rsidR="00DF0864" w:rsidRDefault="00DF0864">
      <w:pPr>
        <w:pStyle w:val="Textoindependiente"/>
        <w:rPr>
          <w:sz w:val="28"/>
        </w:rPr>
      </w:pPr>
    </w:p>
    <w:p w:rsidR="00DF0864" w:rsidRDefault="00DF0864">
      <w:pPr>
        <w:pStyle w:val="Textoindependiente"/>
        <w:rPr>
          <w:sz w:val="28"/>
        </w:rPr>
      </w:pPr>
    </w:p>
    <w:p w:rsidR="00DF0864" w:rsidRDefault="00DF0864">
      <w:pPr>
        <w:pStyle w:val="Textoindependiente"/>
        <w:rPr>
          <w:sz w:val="28"/>
        </w:rPr>
      </w:pPr>
    </w:p>
    <w:p w:rsidR="00DF0864" w:rsidRDefault="00DF0864">
      <w:pPr>
        <w:pStyle w:val="Textoindependiente"/>
        <w:rPr>
          <w:sz w:val="28"/>
        </w:rPr>
      </w:pPr>
    </w:p>
    <w:p w:rsidR="00DF0864" w:rsidRDefault="00DF0864">
      <w:pPr>
        <w:pStyle w:val="Textoindependiente"/>
        <w:rPr>
          <w:sz w:val="28"/>
        </w:rPr>
      </w:pPr>
    </w:p>
    <w:p w:rsidR="00DF0864" w:rsidRDefault="00DF0864">
      <w:pPr>
        <w:pStyle w:val="Textoindependiente"/>
        <w:spacing w:before="4"/>
        <w:rPr>
          <w:sz w:val="21"/>
        </w:rPr>
      </w:pPr>
    </w:p>
    <w:p w:rsidR="00DF0864" w:rsidRDefault="004E14F9">
      <w:pPr>
        <w:pStyle w:val="Textoindependiente"/>
        <w:spacing w:line="362" w:lineRule="auto"/>
        <w:ind w:left="119" w:right="129"/>
        <w:jc w:val="both"/>
      </w:pPr>
      <w:r>
        <w:t>Es</w:t>
      </w:r>
      <w:r>
        <w:rPr>
          <w:spacing w:val="-5"/>
        </w:rPr>
        <w:t xml:space="preserve"> </w:t>
      </w:r>
      <w:r>
        <w:t>por</w:t>
      </w:r>
      <w:r>
        <w:rPr>
          <w:spacing w:val="-4"/>
        </w:rPr>
        <w:t xml:space="preserve"> </w:t>
      </w:r>
      <w:r>
        <w:t>lo</w:t>
      </w:r>
      <w:r>
        <w:rPr>
          <w:spacing w:val="-4"/>
        </w:rPr>
        <w:t xml:space="preserve"> </w:t>
      </w:r>
      <w:r>
        <w:t>anterior</w:t>
      </w:r>
      <w:r>
        <w:rPr>
          <w:spacing w:val="-4"/>
        </w:rPr>
        <w:t xml:space="preserve"> </w:t>
      </w:r>
      <w:r>
        <w:t>que,</w:t>
      </w:r>
      <w:r>
        <w:rPr>
          <w:spacing w:val="-4"/>
        </w:rPr>
        <w:t xml:space="preserve"> </w:t>
      </w:r>
      <w:r>
        <w:t>las</w:t>
      </w:r>
      <w:r>
        <w:rPr>
          <w:spacing w:val="-4"/>
        </w:rPr>
        <w:t xml:space="preserve"> </w:t>
      </w:r>
      <w:r>
        <w:t>Diputadas</w:t>
      </w:r>
      <w:r>
        <w:rPr>
          <w:spacing w:val="-4"/>
        </w:rPr>
        <w:t xml:space="preserve"> </w:t>
      </w:r>
      <w:r>
        <w:t>y</w:t>
      </w:r>
      <w:r>
        <w:rPr>
          <w:spacing w:val="-2"/>
        </w:rPr>
        <w:t xml:space="preserve"> </w:t>
      </w:r>
      <w:r>
        <w:t>Diputados</w:t>
      </w:r>
      <w:r>
        <w:rPr>
          <w:spacing w:val="-5"/>
        </w:rPr>
        <w:t xml:space="preserve"> </w:t>
      </w:r>
      <w:r>
        <w:t>firmantes</w:t>
      </w:r>
      <w:r>
        <w:rPr>
          <w:spacing w:val="-4"/>
        </w:rPr>
        <w:t xml:space="preserve"> </w:t>
      </w:r>
      <w:r>
        <w:t>venimos</w:t>
      </w:r>
      <w:r>
        <w:rPr>
          <w:spacing w:val="-5"/>
        </w:rPr>
        <w:t xml:space="preserve"> </w:t>
      </w:r>
      <w:r>
        <w:t>en</w:t>
      </w:r>
      <w:r>
        <w:rPr>
          <w:spacing w:val="-2"/>
        </w:rPr>
        <w:t xml:space="preserve"> </w:t>
      </w:r>
      <w:r>
        <w:t>proponer</w:t>
      </w:r>
      <w:r>
        <w:rPr>
          <w:spacing w:val="-3"/>
        </w:rPr>
        <w:t xml:space="preserve"> </w:t>
      </w:r>
      <w:r>
        <w:t xml:space="preserve">el </w:t>
      </w:r>
      <w:r>
        <w:rPr>
          <w:spacing w:val="-2"/>
        </w:rPr>
        <w:t>siguiente</w:t>
      </w:r>
    </w:p>
    <w:p w:rsidR="00DF0864" w:rsidRDefault="004E14F9">
      <w:pPr>
        <w:pStyle w:val="Ttulo1"/>
        <w:spacing w:before="158"/>
        <w:ind w:left="3411" w:right="3410"/>
        <w:jc w:val="center"/>
      </w:pPr>
      <w:r>
        <w:t>PROYECTO DE</w:t>
      </w:r>
      <w:r>
        <w:rPr>
          <w:spacing w:val="-1"/>
        </w:rPr>
        <w:t xml:space="preserve"> </w:t>
      </w:r>
      <w:r>
        <w:rPr>
          <w:spacing w:val="-5"/>
        </w:rPr>
        <w:t>LEY</w:t>
      </w:r>
    </w:p>
    <w:p w:rsidR="00DF0864" w:rsidRDefault="00DF0864">
      <w:pPr>
        <w:jc w:val="center"/>
        <w:sectPr w:rsidR="00DF0864">
          <w:pgSz w:w="12240" w:h="15840"/>
          <w:pgMar w:top="2140" w:right="1580" w:bottom="280" w:left="1580" w:header="723" w:footer="0" w:gutter="0"/>
          <w:cols w:space="720"/>
        </w:sectPr>
      </w:pPr>
    </w:p>
    <w:p w:rsidR="00DF0864" w:rsidRDefault="004E14F9">
      <w:pPr>
        <w:pStyle w:val="Ttulo2"/>
        <w:spacing w:before="19" w:line="360" w:lineRule="auto"/>
        <w:ind w:right="121"/>
      </w:pPr>
      <w:r>
        <w:rPr>
          <w:u w:val="single"/>
        </w:rPr>
        <w:t>Artículo 1°:</w:t>
      </w:r>
      <w:r>
        <w:t xml:space="preserve"> Modifíquese de la ley 19.496 que establece normas sobre la protección de los derechos de los consumidores, cuyo texto refundido, coordinado y sistematizado se contiene en el Decreto con Fuerza de Ley Número 3 del año 2021, en el siguiente sentido:</w:t>
      </w:r>
    </w:p>
    <w:p w:rsidR="00DF0864" w:rsidRDefault="004E14F9">
      <w:pPr>
        <w:pStyle w:val="Textoindependiente"/>
        <w:spacing w:before="164"/>
        <w:ind w:left="119"/>
        <w:jc w:val="both"/>
      </w:pPr>
      <w:r>
        <w:rPr>
          <w:u w:val="single"/>
        </w:rPr>
        <w:t>A.-</w:t>
      </w:r>
      <w:r>
        <w:rPr>
          <w:spacing w:val="-5"/>
          <w:u w:val="single"/>
        </w:rPr>
        <w:t xml:space="preserve"> </w:t>
      </w:r>
      <w:r>
        <w:rPr>
          <w:u w:val="single"/>
        </w:rPr>
        <w:t>Inc</w:t>
      </w:r>
      <w:r>
        <w:rPr>
          <w:u w:val="single"/>
        </w:rPr>
        <w:t>orpórese</w:t>
      </w:r>
      <w:r>
        <w:rPr>
          <w:spacing w:val="-3"/>
          <w:u w:val="single"/>
        </w:rPr>
        <w:t xml:space="preserve"> </w:t>
      </w:r>
      <w:r>
        <w:rPr>
          <w:u w:val="single"/>
        </w:rPr>
        <w:t>en</w:t>
      </w:r>
      <w:r>
        <w:rPr>
          <w:spacing w:val="-1"/>
          <w:u w:val="single"/>
        </w:rPr>
        <w:t xml:space="preserve"> </w:t>
      </w:r>
      <w:r>
        <w:rPr>
          <w:u w:val="single"/>
        </w:rPr>
        <w:t>el</w:t>
      </w:r>
      <w:r>
        <w:rPr>
          <w:spacing w:val="-3"/>
          <w:u w:val="single"/>
        </w:rPr>
        <w:t xml:space="preserve"> </w:t>
      </w:r>
      <w:r>
        <w:rPr>
          <w:u w:val="single"/>
        </w:rPr>
        <w:t>artículo</w:t>
      </w:r>
      <w:r>
        <w:rPr>
          <w:spacing w:val="-3"/>
          <w:u w:val="single"/>
        </w:rPr>
        <w:t xml:space="preserve"> </w:t>
      </w:r>
      <w:r>
        <w:rPr>
          <w:u w:val="single"/>
        </w:rPr>
        <w:t>28</w:t>
      </w:r>
      <w:r>
        <w:rPr>
          <w:spacing w:val="-4"/>
          <w:u w:val="single"/>
        </w:rPr>
        <w:t xml:space="preserve"> </w:t>
      </w:r>
      <w:r>
        <w:rPr>
          <w:u w:val="single"/>
        </w:rPr>
        <w:t>B,</w:t>
      </w:r>
      <w:r>
        <w:rPr>
          <w:spacing w:val="-3"/>
          <w:u w:val="single"/>
        </w:rPr>
        <w:t xml:space="preserve"> </w:t>
      </w:r>
      <w:r>
        <w:rPr>
          <w:u w:val="single"/>
        </w:rPr>
        <w:t>el</w:t>
      </w:r>
      <w:r>
        <w:rPr>
          <w:spacing w:val="-4"/>
          <w:u w:val="single"/>
        </w:rPr>
        <w:t xml:space="preserve"> </w:t>
      </w:r>
      <w:r>
        <w:rPr>
          <w:u w:val="single"/>
        </w:rPr>
        <w:t>siguiente</w:t>
      </w:r>
      <w:r>
        <w:rPr>
          <w:spacing w:val="-3"/>
          <w:u w:val="single"/>
        </w:rPr>
        <w:t xml:space="preserve"> </w:t>
      </w:r>
      <w:r>
        <w:rPr>
          <w:u w:val="single"/>
        </w:rPr>
        <w:t>inciso</w:t>
      </w:r>
      <w:r>
        <w:rPr>
          <w:spacing w:val="-3"/>
          <w:u w:val="single"/>
        </w:rPr>
        <w:t xml:space="preserve"> </w:t>
      </w:r>
      <w:r>
        <w:rPr>
          <w:u w:val="single"/>
        </w:rPr>
        <w:t>tercero</w:t>
      </w:r>
      <w:r>
        <w:rPr>
          <w:spacing w:val="-3"/>
          <w:u w:val="single"/>
        </w:rPr>
        <w:t xml:space="preserve"> </w:t>
      </w:r>
      <w:r>
        <w:rPr>
          <w:spacing w:val="-2"/>
          <w:u w:val="single"/>
        </w:rPr>
        <w:t>nuevo:</w:t>
      </w:r>
    </w:p>
    <w:p w:rsidR="00DF0864" w:rsidRDefault="00DF0864">
      <w:pPr>
        <w:pStyle w:val="Textoindependiente"/>
        <w:rPr>
          <w:sz w:val="17"/>
        </w:rPr>
      </w:pPr>
    </w:p>
    <w:p w:rsidR="00DF0864" w:rsidRDefault="004E14F9">
      <w:pPr>
        <w:pStyle w:val="Textoindependiente"/>
        <w:spacing w:before="100" w:line="357" w:lineRule="auto"/>
        <w:ind w:left="119"/>
      </w:pPr>
      <w:r>
        <w:t>“Las</w:t>
      </w:r>
      <w:r>
        <w:rPr>
          <w:spacing w:val="40"/>
        </w:rPr>
        <w:t xml:space="preserve"> </w:t>
      </w:r>
      <w:r>
        <w:t>comunicaciones</w:t>
      </w:r>
      <w:r>
        <w:rPr>
          <w:spacing w:val="40"/>
        </w:rPr>
        <w:t xml:space="preserve"> </w:t>
      </w:r>
      <w:r>
        <w:t>reguladas</w:t>
      </w:r>
      <w:r>
        <w:rPr>
          <w:spacing w:val="40"/>
        </w:rPr>
        <w:t xml:space="preserve"> </w:t>
      </w:r>
      <w:r>
        <w:t>en</w:t>
      </w:r>
      <w:r>
        <w:rPr>
          <w:spacing w:val="40"/>
        </w:rPr>
        <w:t xml:space="preserve"> </w:t>
      </w:r>
      <w:r>
        <w:t>el</w:t>
      </w:r>
      <w:r>
        <w:rPr>
          <w:spacing w:val="40"/>
        </w:rPr>
        <w:t xml:space="preserve"> </w:t>
      </w:r>
      <w:r>
        <w:t>presente</w:t>
      </w:r>
      <w:r>
        <w:rPr>
          <w:spacing w:val="40"/>
        </w:rPr>
        <w:t xml:space="preserve"> </w:t>
      </w:r>
      <w:r>
        <w:t>artículo</w:t>
      </w:r>
      <w:r>
        <w:rPr>
          <w:spacing w:val="40"/>
        </w:rPr>
        <w:t xml:space="preserve"> </w:t>
      </w:r>
      <w:r>
        <w:t>deberán</w:t>
      </w:r>
      <w:r>
        <w:rPr>
          <w:spacing w:val="40"/>
        </w:rPr>
        <w:t xml:space="preserve"> </w:t>
      </w:r>
      <w:r>
        <w:t>regirse</w:t>
      </w:r>
      <w:r>
        <w:rPr>
          <w:spacing w:val="40"/>
        </w:rPr>
        <w:t xml:space="preserve"> </w:t>
      </w:r>
      <w:r>
        <w:t>por</w:t>
      </w:r>
      <w:r>
        <w:rPr>
          <w:spacing w:val="40"/>
        </w:rPr>
        <w:t xml:space="preserve"> </w:t>
      </w:r>
      <w:r>
        <w:t>los principios</w:t>
      </w:r>
      <w:r>
        <w:rPr>
          <w:spacing w:val="-1"/>
        </w:rPr>
        <w:t xml:space="preserve"> </w:t>
      </w:r>
      <w:r>
        <w:t>y límites establecidos</w:t>
      </w:r>
      <w:r>
        <w:rPr>
          <w:spacing w:val="-1"/>
        </w:rPr>
        <w:t xml:space="preserve"> </w:t>
      </w:r>
      <w:r>
        <w:t>en los</w:t>
      </w:r>
      <w:r>
        <w:rPr>
          <w:spacing w:val="-1"/>
        </w:rPr>
        <w:t xml:space="preserve"> </w:t>
      </w:r>
      <w:r>
        <w:t>incisos décimo y undécimo del</w:t>
      </w:r>
      <w:r>
        <w:rPr>
          <w:spacing w:val="-1"/>
        </w:rPr>
        <w:t xml:space="preserve"> </w:t>
      </w:r>
      <w:r>
        <w:t>artículo 37°”.</w:t>
      </w:r>
    </w:p>
    <w:p w:rsidR="00DF0864" w:rsidRDefault="00DF0864">
      <w:pPr>
        <w:pStyle w:val="Textoindependiente"/>
        <w:rPr>
          <w:sz w:val="28"/>
        </w:rPr>
      </w:pPr>
    </w:p>
    <w:p w:rsidR="00DF0864" w:rsidRDefault="00DF0864">
      <w:pPr>
        <w:pStyle w:val="Textoindependiente"/>
        <w:rPr>
          <w:sz w:val="35"/>
        </w:rPr>
      </w:pPr>
    </w:p>
    <w:p w:rsidR="00DF0864" w:rsidRDefault="004E14F9">
      <w:pPr>
        <w:pStyle w:val="Textoindependiente"/>
        <w:spacing w:line="362" w:lineRule="auto"/>
        <w:ind w:left="119" w:right="137"/>
      </w:pPr>
      <w:r>
        <w:rPr>
          <w:u w:val="single"/>
        </w:rPr>
        <w:t>B.- En el inciso undécim</w:t>
      </w:r>
      <w:r>
        <w:rPr>
          <w:u w:val="single"/>
        </w:rPr>
        <w:t>o del artículo 37°, luego del punto a parte que ahora pasa</w:t>
      </w:r>
      <w:r>
        <w:t xml:space="preserve"> </w:t>
      </w:r>
      <w:r>
        <w:rPr>
          <w:u w:val="single"/>
        </w:rPr>
        <w:t>a ser punto seguido (.), incorpórese lo siguiente:</w:t>
      </w:r>
    </w:p>
    <w:p w:rsidR="00DF0864" w:rsidRDefault="004E14F9">
      <w:pPr>
        <w:pStyle w:val="Textoindependiente"/>
        <w:spacing w:before="153" w:line="360" w:lineRule="auto"/>
        <w:ind w:left="119" w:right="116"/>
        <w:jc w:val="both"/>
      </w:pPr>
      <w:r>
        <w:t>“El máximo de contactos telefónicos, visitas u otras actuaciones de cobranzas permitidas por semana, deberán ser entendidas respecto de una determinada deuda, independientemente si la gestión ha sido realizada por el proveedor del crédito o por una empresa</w:t>
      </w:r>
      <w:r>
        <w:t xml:space="preserve"> de cobranza extrajudicial, indistintamente. Con todo, el contacto telefónico o la gestión de cobranza deberá efectuarse mediante un número telefónico u otra fuente que sea reconocible o identificable previamente por el usuario, con arreglo a lo dispuesto </w:t>
      </w:r>
      <w:r>
        <w:t>en la ley General de</w:t>
      </w:r>
      <w:r>
        <w:rPr>
          <w:spacing w:val="80"/>
        </w:rPr>
        <w:t xml:space="preserve"> </w:t>
      </w:r>
      <w:r>
        <w:rPr>
          <w:spacing w:val="-2"/>
        </w:rPr>
        <w:t>Telecomunicaciones”.</w:t>
      </w:r>
    </w:p>
    <w:p w:rsidR="00DF0864" w:rsidRDefault="00DF0864">
      <w:pPr>
        <w:pStyle w:val="Textoindependiente"/>
        <w:rPr>
          <w:sz w:val="28"/>
        </w:rPr>
      </w:pPr>
    </w:p>
    <w:p w:rsidR="00DF0864" w:rsidRDefault="00DF0864">
      <w:pPr>
        <w:pStyle w:val="Textoindependiente"/>
        <w:rPr>
          <w:sz w:val="28"/>
        </w:rPr>
      </w:pPr>
    </w:p>
    <w:p w:rsidR="00DF0864" w:rsidRDefault="00DF0864">
      <w:pPr>
        <w:pStyle w:val="Textoindependiente"/>
        <w:rPr>
          <w:sz w:val="28"/>
        </w:rPr>
      </w:pPr>
    </w:p>
    <w:p w:rsidR="00DF0864" w:rsidRDefault="00DF0864">
      <w:pPr>
        <w:pStyle w:val="Textoindependiente"/>
        <w:spacing w:before="1"/>
        <w:rPr>
          <w:sz w:val="28"/>
        </w:rPr>
      </w:pPr>
    </w:p>
    <w:p w:rsidR="00DF0864" w:rsidRDefault="004E14F9">
      <w:pPr>
        <w:pStyle w:val="Ttulo2"/>
        <w:spacing w:line="360" w:lineRule="auto"/>
        <w:ind w:right="115"/>
      </w:pPr>
      <w:r>
        <w:rPr>
          <w:u w:val="single"/>
        </w:rPr>
        <w:t>Artículo 2°:</w:t>
      </w:r>
      <w:r>
        <w:t xml:space="preserve"> Modifíquese la ley 18.168 General de Telecomunicaciones, incorporándose el siguiente artículo 28 Bis nuevo, pasando el actual artículo 28 Bis a ser artículo 28 Ter, en el siguiente sentido:</w:t>
      </w:r>
    </w:p>
    <w:p w:rsidR="00DF0864" w:rsidRDefault="004E14F9">
      <w:pPr>
        <w:pStyle w:val="Textoindependiente"/>
        <w:spacing w:before="161" w:line="357" w:lineRule="auto"/>
        <w:ind w:left="119" w:right="123"/>
        <w:jc w:val="both"/>
      </w:pPr>
      <w:r>
        <w:t>“Artícu</w:t>
      </w:r>
      <w:r>
        <w:t>lo 28 Bis: Toda comunicación recibida por el usuario cuyo mensaje tenga fines</w:t>
      </w:r>
      <w:r>
        <w:rPr>
          <w:spacing w:val="40"/>
        </w:rPr>
        <w:t xml:space="preserve">  </w:t>
      </w:r>
      <w:r>
        <w:t>publicitarios,</w:t>
      </w:r>
      <w:r>
        <w:rPr>
          <w:spacing w:val="40"/>
        </w:rPr>
        <w:t xml:space="preserve">  </w:t>
      </w:r>
      <w:r>
        <w:t>promocionales,</w:t>
      </w:r>
      <w:r>
        <w:rPr>
          <w:spacing w:val="40"/>
        </w:rPr>
        <w:t xml:space="preserve">  </w:t>
      </w:r>
      <w:r>
        <w:t>comerciales,</w:t>
      </w:r>
      <w:r>
        <w:rPr>
          <w:spacing w:val="40"/>
        </w:rPr>
        <w:t xml:space="preserve">  </w:t>
      </w:r>
      <w:r>
        <w:t>informativo,</w:t>
      </w:r>
      <w:r>
        <w:rPr>
          <w:spacing w:val="40"/>
        </w:rPr>
        <w:t xml:space="preserve">  </w:t>
      </w:r>
      <w:r>
        <w:t>de</w:t>
      </w:r>
      <w:r>
        <w:rPr>
          <w:spacing w:val="40"/>
        </w:rPr>
        <w:t xml:space="preserve">  </w:t>
      </w:r>
      <w:r>
        <w:t>cobranzas</w:t>
      </w:r>
    </w:p>
    <w:p w:rsidR="00DF0864" w:rsidRDefault="00DF0864">
      <w:pPr>
        <w:spacing w:line="357" w:lineRule="auto"/>
        <w:jc w:val="both"/>
        <w:sectPr w:rsidR="00DF0864">
          <w:pgSz w:w="12240" w:h="15840"/>
          <w:pgMar w:top="2140" w:right="1580" w:bottom="280" w:left="1580" w:header="723" w:footer="0" w:gutter="0"/>
          <w:cols w:space="720"/>
        </w:sectPr>
      </w:pPr>
    </w:p>
    <w:p w:rsidR="00DF0864" w:rsidRDefault="004E14F9">
      <w:pPr>
        <w:pStyle w:val="Textoindependiente"/>
        <w:spacing w:before="19" w:line="360" w:lineRule="auto"/>
        <w:ind w:left="119" w:right="115"/>
        <w:jc w:val="both"/>
      </w:pPr>
      <w:r>
        <w:t>extrajudiciales o de otros similares, que sea enviado por la empresa proveedora de manera directa o por intermedio de terceros, deberá efectuarse mediante un número telefónico u otra fuente que sea reconocible o identificable previamente por</w:t>
      </w:r>
      <w:r>
        <w:rPr>
          <w:spacing w:val="-2"/>
        </w:rPr>
        <w:t xml:space="preserve"> </w:t>
      </w:r>
      <w:r>
        <w:t>el</w:t>
      </w:r>
      <w:r>
        <w:rPr>
          <w:spacing w:val="-3"/>
        </w:rPr>
        <w:t xml:space="preserve"> </w:t>
      </w:r>
      <w:r>
        <w:t>usuario, aú</w:t>
      </w:r>
      <w:r>
        <w:t>n cuando</w:t>
      </w:r>
      <w:r>
        <w:rPr>
          <w:spacing w:val="-2"/>
        </w:rPr>
        <w:t xml:space="preserve"> </w:t>
      </w:r>
      <w:r>
        <w:t>éste</w:t>
      </w:r>
      <w:r>
        <w:rPr>
          <w:spacing w:val="-2"/>
        </w:rPr>
        <w:t xml:space="preserve"> </w:t>
      </w:r>
      <w:r>
        <w:t>no</w:t>
      </w:r>
      <w:r>
        <w:rPr>
          <w:spacing w:val="-1"/>
        </w:rPr>
        <w:t xml:space="preserve"> </w:t>
      </w:r>
      <w:r>
        <w:t>tenga</w:t>
      </w:r>
      <w:r>
        <w:rPr>
          <w:spacing w:val="-2"/>
        </w:rPr>
        <w:t xml:space="preserve"> </w:t>
      </w:r>
      <w:r>
        <w:t>registrado</w:t>
      </w:r>
      <w:r>
        <w:rPr>
          <w:spacing w:val="-2"/>
        </w:rPr>
        <w:t xml:space="preserve"> </w:t>
      </w:r>
      <w:r>
        <w:t>el</w:t>
      </w:r>
      <w:r>
        <w:rPr>
          <w:spacing w:val="-3"/>
        </w:rPr>
        <w:t xml:space="preserve"> </w:t>
      </w:r>
      <w:r>
        <w:t>número</w:t>
      </w:r>
      <w:r>
        <w:rPr>
          <w:spacing w:val="-2"/>
        </w:rPr>
        <w:t xml:space="preserve"> </w:t>
      </w:r>
      <w:r>
        <w:t>de</w:t>
      </w:r>
      <w:r>
        <w:rPr>
          <w:spacing w:val="-2"/>
        </w:rPr>
        <w:t xml:space="preserve"> </w:t>
      </w:r>
      <w:r>
        <w:t>origen dentro</w:t>
      </w:r>
      <w:r>
        <w:rPr>
          <w:spacing w:val="-2"/>
        </w:rPr>
        <w:t xml:space="preserve"> </w:t>
      </w:r>
      <w:r>
        <w:t>de sus contactos. La identificación previa deberá dar a conocer, al menos, si la llamada tiene por finalidad la realización de cobranzas extrajudiciales, publicidad, información</w:t>
      </w:r>
      <w:r>
        <w:rPr>
          <w:spacing w:val="-2"/>
        </w:rPr>
        <w:t xml:space="preserve"> </w:t>
      </w:r>
      <w:r>
        <w:t>u</w:t>
      </w:r>
      <w:r>
        <w:rPr>
          <w:spacing w:val="-1"/>
        </w:rPr>
        <w:t xml:space="preserve"> </w:t>
      </w:r>
      <w:r>
        <w:t>otra,</w:t>
      </w:r>
      <w:r>
        <w:rPr>
          <w:spacing w:val="-3"/>
        </w:rPr>
        <w:t xml:space="preserve"> </w:t>
      </w:r>
      <w:r>
        <w:t>y</w:t>
      </w:r>
      <w:r>
        <w:rPr>
          <w:spacing w:val="-1"/>
        </w:rPr>
        <w:t xml:space="preserve"> </w:t>
      </w:r>
      <w:r>
        <w:t>la</w:t>
      </w:r>
      <w:r>
        <w:rPr>
          <w:spacing w:val="-3"/>
        </w:rPr>
        <w:t xml:space="preserve"> </w:t>
      </w:r>
      <w:r>
        <w:t>pers</w:t>
      </w:r>
      <w:r>
        <w:t>ona</w:t>
      </w:r>
      <w:r>
        <w:rPr>
          <w:spacing w:val="-3"/>
        </w:rPr>
        <w:t xml:space="preserve"> </w:t>
      </w:r>
      <w:r>
        <w:t>natural</w:t>
      </w:r>
      <w:r>
        <w:rPr>
          <w:spacing w:val="-4"/>
        </w:rPr>
        <w:t xml:space="preserve"> </w:t>
      </w:r>
      <w:r>
        <w:t>o</w:t>
      </w:r>
      <w:r>
        <w:rPr>
          <w:spacing w:val="-3"/>
        </w:rPr>
        <w:t xml:space="preserve"> </w:t>
      </w:r>
      <w:r>
        <w:t>jurídica</w:t>
      </w:r>
      <w:r>
        <w:rPr>
          <w:spacing w:val="-3"/>
        </w:rPr>
        <w:t xml:space="preserve"> </w:t>
      </w:r>
      <w:r>
        <w:t>a</w:t>
      </w:r>
      <w:r>
        <w:rPr>
          <w:spacing w:val="-3"/>
        </w:rPr>
        <w:t xml:space="preserve"> </w:t>
      </w:r>
      <w:r>
        <w:t>nombre</w:t>
      </w:r>
      <w:r>
        <w:rPr>
          <w:spacing w:val="-3"/>
        </w:rPr>
        <w:t xml:space="preserve"> </w:t>
      </w:r>
      <w:r>
        <w:t>de</w:t>
      </w:r>
      <w:r>
        <w:rPr>
          <w:spacing w:val="-3"/>
        </w:rPr>
        <w:t xml:space="preserve"> </w:t>
      </w:r>
      <w:r>
        <w:t>quien</w:t>
      </w:r>
      <w:r>
        <w:rPr>
          <w:spacing w:val="-1"/>
        </w:rPr>
        <w:t xml:space="preserve"> </w:t>
      </w:r>
      <w:r>
        <w:t>ser</w:t>
      </w:r>
      <w:r>
        <w:rPr>
          <w:spacing w:val="-2"/>
        </w:rPr>
        <w:t xml:space="preserve"> </w:t>
      </w:r>
      <w:r>
        <w:t>efectúa</w:t>
      </w:r>
      <w:r>
        <w:rPr>
          <w:spacing w:val="-3"/>
        </w:rPr>
        <w:t xml:space="preserve"> </w:t>
      </w:r>
      <w:r>
        <w:t>la comunicación.</w:t>
      </w:r>
      <w:r>
        <w:rPr>
          <w:spacing w:val="-2"/>
        </w:rPr>
        <w:t xml:space="preserve"> </w:t>
      </w:r>
      <w:r>
        <w:t>Un Reglamento dictado</w:t>
      </w:r>
      <w:r>
        <w:rPr>
          <w:spacing w:val="-2"/>
        </w:rPr>
        <w:t xml:space="preserve"> </w:t>
      </w:r>
      <w:r>
        <w:t>por</w:t>
      </w:r>
      <w:r>
        <w:rPr>
          <w:spacing w:val="-2"/>
        </w:rPr>
        <w:t xml:space="preserve"> </w:t>
      </w:r>
      <w:r>
        <w:t>el Ministerio</w:t>
      </w:r>
      <w:r>
        <w:rPr>
          <w:spacing w:val="-2"/>
        </w:rPr>
        <w:t xml:space="preserve"> </w:t>
      </w:r>
      <w:r>
        <w:t>definirá</w:t>
      </w:r>
      <w:r>
        <w:rPr>
          <w:spacing w:val="-2"/>
        </w:rPr>
        <w:t xml:space="preserve"> </w:t>
      </w:r>
      <w:r>
        <w:t>la</w:t>
      </w:r>
      <w:r>
        <w:rPr>
          <w:spacing w:val="-2"/>
        </w:rPr>
        <w:t xml:space="preserve"> </w:t>
      </w:r>
      <w:r>
        <w:t>forma</w:t>
      </w:r>
      <w:r>
        <w:rPr>
          <w:spacing w:val="-2"/>
        </w:rPr>
        <w:t xml:space="preserve"> </w:t>
      </w:r>
      <w:r>
        <w:t>por</w:t>
      </w:r>
      <w:r>
        <w:rPr>
          <w:spacing w:val="-2"/>
        </w:rPr>
        <w:t xml:space="preserve"> </w:t>
      </w:r>
      <w:r>
        <w:t>la</w:t>
      </w:r>
      <w:r>
        <w:rPr>
          <w:spacing w:val="-2"/>
        </w:rPr>
        <w:t xml:space="preserve"> </w:t>
      </w:r>
      <w:r>
        <w:t>cual las empresas deberán cumplir con lo establecido en el presente artículo”.</w:t>
      </w:r>
    </w:p>
    <w:p w:rsidR="00DF0864" w:rsidRDefault="00DF0864">
      <w:pPr>
        <w:pStyle w:val="Textoindependiente"/>
        <w:rPr>
          <w:sz w:val="28"/>
        </w:rPr>
      </w:pPr>
    </w:p>
    <w:p w:rsidR="00DF0864" w:rsidRDefault="00DF0864">
      <w:pPr>
        <w:pStyle w:val="Textoindependiente"/>
        <w:spacing w:before="8"/>
        <w:rPr>
          <w:sz w:val="34"/>
        </w:rPr>
      </w:pPr>
    </w:p>
    <w:p w:rsidR="00DF0864" w:rsidRDefault="004E14F9">
      <w:pPr>
        <w:pStyle w:val="Textoindependiente"/>
        <w:spacing w:before="1" w:line="360" w:lineRule="auto"/>
        <w:ind w:left="119" w:right="123"/>
        <w:jc w:val="both"/>
      </w:pPr>
      <w:r>
        <w:rPr>
          <w:b/>
        </w:rPr>
        <w:t>Artículo Transitorio: “</w:t>
      </w:r>
      <w:r>
        <w:t>El Reglamento a que alude el Artículo Segundo, deberá dictarse en el plazo de seis meses contados desde la publicación de la presente ley en el Diario O</w:t>
      </w:r>
      <w:r>
        <w:t>ficial”.</w:t>
      </w:r>
    </w:p>
    <w:p w:rsidR="00DF0864" w:rsidRDefault="00DF0864">
      <w:pPr>
        <w:pStyle w:val="Textoindependiente"/>
        <w:rPr>
          <w:sz w:val="28"/>
        </w:rPr>
      </w:pPr>
    </w:p>
    <w:p w:rsidR="00DF0864" w:rsidRDefault="00DF0864">
      <w:pPr>
        <w:pStyle w:val="Textoindependiente"/>
        <w:rPr>
          <w:sz w:val="28"/>
        </w:rPr>
      </w:pPr>
    </w:p>
    <w:p w:rsidR="00DF0864" w:rsidRDefault="00DF0864">
      <w:pPr>
        <w:pStyle w:val="Textoindependiente"/>
        <w:rPr>
          <w:sz w:val="28"/>
        </w:rPr>
      </w:pPr>
    </w:p>
    <w:p w:rsidR="00DF0864" w:rsidRDefault="00DF0864">
      <w:pPr>
        <w:pStyle w:val="Textoindependiente"/>
        <w:rPr>
          <w:sz w:val="28"/>
        </w:rPr>
      </w:pPr>
    </w:p>
    <w:p w:rsidR="00DF0864" w:rsidRDefault="00DF0864">
      <w:pPr>
        <w:pStyle w:val="Textoindependiente"/>
        <w:rPr>
          <w:sz w:val="28"/>
        </w:rPr>
      </w:pPr>
    </w:p>
    <w:p w:rsidR="00DF0864" w:rsidRDefault="00DF0864">
      <w:pPr>
        <w:pStyle w:val="Textoindependiente"/>
        <w:rPr>
          <w:sz w:val="28"/>
        </w:rPr>
      </w:pPr>
    </w:p>
    <w:p w:rsidR="00DF0864" w:rsidRDefault="00DF0864">
      <w:pPr>
        <w:pStyle w:val="Textoindependiente"/>
        <w:rPr>
          <w:sz w:val="28"/>
        </w:rPr>
      </w:pPr>
    </w:p>
    <w:p w:rsidR="00DF0864" w:rsidRDefault="00DF0864">
      <w:pPr>
        <w:pStyle w:val="Textoindependiente"/>
        <w:rPr>
          <w:sz w:val="28"/>
        </w:rPr>
      </w:pPr>
    </w:p>
    <w:p w:rsidR="00DF0864" w:rsidRDefault="00DF0864">
      <w:pPr>
        <w:pStyle w:val="Textoindependiente"/>
        <w:spacing w:before="11"/>
        <w:rPr>
          <w:sz w:val="35"/>
        </w:rPr>
      </w:pPr>
    </w:p>
    <w:p w:rsidR="00DF0864" w:rsidRDefault="004E14F9">
      <w:pPr>
        <w:spacing w:line="489" w:lineRule="auto"/>
        <w:ind w:left="2386" w:right="330" w:hanging="937"/>
        <w:rPr>
          <w:b/>
          <w:sz w:val="24"/>
        </w:rPr>
      </w:pPr>
      <w:r>
        <w:rPr>
          <w:b/>
          <w:sz w:val="24"/>
        </w:rPr>
        <w:t>HONORABLE</w:t>
      </w:r>
      <w:r>
        <w:rPr>
          <w:b/>
          <w:spacing w:val="-10"/>
          <w:sz w:val="24"/>
        </w:rPr>
        <w:t xml:space="preserve"> </w:t>
      </w:r>
      <w:r>
        <w:rPr>
          <w:b/>
          <w:sz w:val="24"/>
        </w:rPr>
        <w:t>DIPUTADO</w:t>
      </w:r>
      <w:r>
        <w:rPr>
          <w:b/>
          <w:spacing w:val="-9"/>
          <w:sz w:val="24"/>
        </w:rPr>
        <w:t xml:space="preserve"> </w:t>
      </w:r>
      <w:r>
        <w:rPr>
          <w:b/>
          <w:sz w:val="24"/>
        </w:rPr>
        <w:t>HÉCTOR</w:t>
      </w:r>
      <w:r>
        <w:rPr>
          <w:b/>
          <w:spacing w:val="-9"/>
          <w:sz w:val="24"/>
        </w:rPr>
        <w:t xml:space="preserve"> </w:t>
      </w:r>
      <w:r>
        <w:rPr>
          <w:b/>
          <w:sz w:val="24"/>
        </w:rPr>
        <w:t>ULLOA</w:t>
      </w:r>
      <w:r>
        <w:rPr>
          <w:b/>
          <w:spacing w:val="-12"/>
          <w:sz w:val="24"/>
        </w:rPr>
        <w:t xml:space="preserve"> </w:t>
      </w:r>
      <w:r>
        <w:rPr>
          <w:b/>
          <w:sz w:val="24"/>
        </w:rPr>
        <w:t>AGUILERA BANCADA</w:t>
      </w:r>
      <w:r>
        <w:rPr>
          <w:b/>
          <w:spacing w:val="40"/>
          <w:sz w:val="24"/>
        </w:rPr>
        <w:t xml:space="preserve"> </w:t>
      </w:r>
      <w:r>
        <w:rPr>
          <w:b/>
          <w:sz w:val="24"/>
        </w:rPr>
        <w:t>PPD E INDEPENDIENTES</w:t>
      </w:r>
    </w:p>
    <w:p w:rsidR="00DF0864" w:rsidRDefault="00DF0864">
      <w:pPr>
        <w:spacing w:line="489" w:lineRule="auto"/>
        <w:rPr>
          <w:sz w:val="24"/>
        </w:rPr>
        <w:sectPr w:rsidR="00DF0864">
          <w:pgSz w:w="12240" w:h="15840"/>
          <w:pgMar w:top="2140" w:right="1580" w:bottom="280" w:left="1580" w:header="723" w:footer="0" w:gutter="0"/>
          <w:cols w:space="720"/>
        </w:sectPr>
      </w:pPr>
    </w:p>
    <w:p w:rsidR="00DF0864" w:rsidRDefault="00DF0864">
      <w:pPr>
        <w:pStyle w:val="Textoindependiente"/>
        <w:spacing w:before="6"/>
        <w:rPr>
          <w:b/>
          <w:sz w:val="16"/>
        </w:rPr>
      </w:pPr>
    </w:p>
    <w:sectPr w:rsidR="00DF0864">
      <w:pgSz w:w="12240" w:h="15840"/>
      <w:pgMar w:top="2140" w:right="1580" w:bottom="280" w:left="1580" w:header="72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14F9" w:rsidRDefault="004E14F9">
      <w:r>
        <w:separator/>
      </w:r>
    </w:p>
  </w:endnote>
  <w:endnote w:type="continuationSeparator" w:id="0">
    <w:p w:rsidR="004E14F9" w:rsidRDefault="004E1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14F9" w:rsidRDefault="004E14F9">
      <w:r>
        <w:separator/>
      </w:r>
    </w:p>
  </w:footnote>
  <w:footnote w:type="continuationSeparator" w:id="0">
    <w:p w:rsidR="004E14F9" w:rsidRDefault="004E1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0864" w:rsidRDefault="004E14F9">
    <w:pPr>
      <w:pStyle w:val="Textoindependiente"/>
      <w:spacing w:line="14" w:lineRule="auto"/>
      <w:rPr>
        <w:sz w:val="20"/>
      </w:rPr>
    </w:pPr>
    <w:r>
      <w:rPr>
        <w:noProof/>
      </w:rPr>
      <w:drawing>
        <wp:anchor distT="0" distB="0" distL="0" distR="0" simplePos="0" relativeHeight="487529984" behindDoc="1" locked="0" layoutInCell="1" allowOverlap="1">
          <wp:simplePos x="0" y="0"/>
          <wp:positionH relativeFrom="page">
            <wp:posOffset>3448050</wp:posOffset>
          </wp:positionH>
          <wp:positionV relativeFrom="page">
            <wp:posOffset>458924</wp:posOffset>
          </wp:positionV>
          <wp:extent cx="904875" cy="90637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04875" cy="90637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F0864"/>
    <w:rsid w:val="004E14F9"/>
    <w:rsid w:val="00AE45EA"/>
    <w:rsid w:val="00DF086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F5F99923-2D25-44CD-801D-DEB59361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ind w:left="119" w:right="118"/>
      <w:outlineLvl w:val="0"/>
    </w:pPr>
    <w:rPr>
      <w:b/>
      <w:bCs/>
      <w:sz w:val="24"/>
      <w:szCs w:val="24"/>
    </w:rPr>
  </w:style>
  <w:style w:type="paragraph" w:styleId="Ttulo2">
    <w:name w:val="heading 2"/>
    <w:basedOn w:val="Normal"/>
    <w:uiPriority w:val="9"/>
    <w:unhideWhenUsed/>
    <w:qFormat/>
    <w:pPr>
      <w:ind w:left="119"/>
      <w:jc w:val="both"/>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ernac.cl/portal/604/w3-article-" TargetMode="Externa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f.cl/mercados/banca-fintech/numero-de-morosos-crece-levemente-al-cierre-de-2022-y-supera-los-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1456</Words>
  <Characters>8013</Characters>
  <Application>Microsoft Office Word</Application>
  <DocSecurity>0</DocSecurity>
  <Lines>66</Lines>
  <Paragraphs>18</Paragraphs>
  <ScaleCrop>false</ScaleCrop>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ComitePPD.04</dc:creator>
  <cp:lastModifiedBy>Guillermo Diaz Vallejos</cp:lastModifiedBy>
  <cp:revision>1</cp:revision>
  <dcterms:created xsi:type="dcterms:W3CDTF">2023-06-19T14:06:00Z</dcterms:created>
  <dcterms:modified xsi:type="dcterms:W3CDTF">2023-06-20T18:43:00Z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2023-06-17T00:00:00Z</vt:filetime>
  </property>
  <property fmtid="{D5CDD505-2E9C-101B-9397-08002B2CF9AE}" pid="3" name="Creator">
    <vt:lpwstr>Microsoft® Word 2016</vt:lpwstr>
  </property>
  <property fmtid="{D5CDD505-2E9C-101B-9397-08002B2CF9AE}" pid="4" name="LastSaved">
    <vt:filetime>2023-06-19T00:00:00Z</vt:filetime>
  </property>
  <property fmtid="{D5CDD505-2E9C-101B-9397-08002B2CF9AE}" pid="5" name="Producer">
    <vt:lpwstr>www.ilovepdf.com</vt:lpwstr>
  </property>
</Properties>
</file>