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37A" w:rsidRDefault="00800269">
      <w:pPr>
        <w:pStyle w:val="Textoindependiente"/>
        <w:ind w:left="406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27950" cy="7292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5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37A" w:rsidRDefault="0073737A">
      <w:pPr>
        <w:pStyle w:val="Textoindependiente"/>
        <w:rPr>
          <w:rFonts w:ascii="Times New Roman"/>
          <w:sz w:val="20"/>
        </w:rPr>
      </w:pPr>
    </w:p>
    <w:p w:rsidR="0073737A" w:rsidRDefault="0073737A">
      <w:pPr>
        <w:pStyle w:val="Textoindependiente"/>
        <w:spacing w:before="8"/>
        <w:rPr>
          <w:rFonts w:ascii="Times New Roman"/>
          <w:sz w:val="19"/>
        </w:rPr>
      </w:pPr>
    </w:p>
    <w:p w:rsidR="0073737A" w:rsidRDefault="00800269">
      <w:pPr>
        <w:spacing w:before="100" w:line="304" w:lineRule="auto"/>
        <w:ind w:left="312" w:right="582" w:hanging="2"/>
        <w:jc w:val="center"/>
        <w:rPr>
          <w:b/>
          <w:sz w:val="26"/>
        </w:rPr>
      </w:pPr>
      <w:r>
        <w:rPr>
          <w:b/>
          <w:sz w:val="21"/>
        </w:rPr>
        <w:t xml:space="preserve">MODIFICA LA LEY </w:t>
      </w:r>
      <w:r>
        <w:rPr>
          <w:b/>
          <w:sz w:val="26"/>
        </w:rPr>
        <w:t xml:space="preserve">18.695 </w:t>
      </w:r>
      <w:r>
        <w:rPr>
          <w:b/>
          <w:sz w:val="21"/>
        </w:rPr>
        <w:t xml:space="preserve">ORGÁNICA CONSTITUCIONAL DE MUNICIPALIDADES PARA ESTABLECER UNA SEGUNDA VOTACIÓN EN LA ELECCIÓN DE ALCALDE O </w:t>
      </w:r>
      <w:r>
        <w:rPr>
          <w:b/>
          <w:spacing w:val="-2"/>
          <w:sz w:val="21"/>
        </w:rPr>
        <w:t>ALCALDESA</w:t>
      </w:r>
      <w:r>
        <w:rPr>
          <w:b/>
          <w:spacing w:val="-2"/>
          <w:sz w:val="26"/>
        </w:rPr>
        <w:t>.</w:t>
      </w:r>
    </w:p>
    <w:p w:rsidR="0073737A" w:rsidRDefault="0073737A">
      <w:pPr>
        <w:pStyle w:val="Textoindependiente"/>
        <w:rPr>
          <w:b/>
          <w:sz w:val="28"/>
        </w:rPr>
      </w:pPr>
    </w:p>
    <w:p w:rsidR="0073737A" w:rsidRDefault="0073737A">
      <w:pPr>
        <w:pStyle w:val="Textoindependiente"/>
        <w:rPr>
          <w:b/>
          <w:sz w:val="28"/>
        </w:rPr>
      </w:pPr>
    </w:p>
    <w:p w:rsidR="0073737A" w:rsidRDefault="0073737A">
      <w:pPr>
        <w:pStyle w:val="Textoindependiente"/>
        <w:spacing w:before="7"/>
        <w:rPr>
          <w:b/>
          <w:sz w:val="22"/>
        </w:rPr>
      </w:pPr>
    </w:p>
    <w:p w:rsidR="0073737A" w:rsidRDefault="00800269">
      <w:pPr>
        <w:pStyle w:val="Ttulo1"/>
        <w:numPr>
          <w:ilvl w:val="0"/>
          <w:numId w:val="1"/>
        </w:numPr>
        <w:tabs>
          <w:tab w:val="left" w:pos="823"/>
          <w:tab w:val="left" w:pos="824"/>
        </w:tabs>
        <w:ind w:hanging="519"/>
        <w:jc w:val="left"/>
      </w:pPr>
      <w:r>
        <w:rPr>
          <w:smallCaps/>
          <w:spacing w:val="-2"/>
        </w:rPr>
        <w:t>Fundamentación</w:t>
      </w:r>
    </w:p>
    <w:p w:rsidR="0073737A" w:rsidRDefault="0073737A">
      <w:pPr>
        <w:pStyle w:val="Textoindependiente"/>
        <w:rPr>
          <w:b/>
          <w:sz w:val="26"/>
        </w:rPr>
      </w:pPr>
    </w:p>
    <w:p w:rsidR="0073737A" w:rsidRDefault="0073737A">
      <w:pPr>
        <w:pStyle w:val="Textoindependiente"/>
        <w:rPr>
          <w:b/>
          <w:sz w:val="22"/>
        </w:rPr>
      </w:pPr>
    </w:p>
    <w:p w:rsidR="0073737A" w:rsidRDefault="00800269">
      <w:pPr>
        <w:pStyle w:val="Textoindependiente"/>
        <w:spacing w:line="360" w:lineRule="auto"/>
        <w:ind w:left="824" w:right="153"/>
        <w:jc w:val="both"/>
      </w:pPr>
      <w:r>
        <w:t>En tiempos política y socialmente difíciles como los que actualmente transitamos, se hace necesario dotar de la mayor legitimidad posible cada autoridad electa mediante votación popular, es así como a partir de 1990 nace para la elección Presidencial la se</w:t>
      </w:r>
      <w:r>
        <w:t>gunda vuelta como mecanismo de definición, cuando en la primera vuelta los candidatos y candidatas no alcanzaban el umbral del 50%</w:t>
      </w:r>
      <w:r>
        <w:rPr>
          <w:spacing w:val="-1"/>
        </w:rPr>
        <w:t xml:space="preserve"> </w:t>
      </w:r>
      <w:r>
        <w:t>más uno de</w:t>
      </w:r>
      <w:r>
        <w:rPr>
          <w:spacing w:val="-1"/>
        </w:rPr>
        <w:t xml:space="preserve"> </w:t>
      </w:r>
      <w:r>
        <w:t>los votos, sistema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venía</w:t>
      </w:r>
      <w:r>
        <w:rPr>
          <w:spacing w:val="-1"/>
        </w:rPr>
        <w:t xml:space="preserve"> </w:t>
      </w:r>
      <w:r>
        <w:t>a reemplazar el anterior, fijado en el 1925, en el que era el Congreso Nacional quien</w:t>
      </w:r>
      <w:r>
        <w:t xml:space="preserve"> dirimía en segunda instancia,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alcanzaba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porcentaje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votos</w:t>
      </w:r>
      <w:r>
        <w:rPr>
          <w:spacing w:val="-2"/>
        </w:rPr>
        <w:t xml:space="preserve"> </w:t>
      </w:r>
      <w:r>
        <w:t>mencionado.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lejos,</w:t>
      </w:r>
      <w:r>
        <w:rPr>
          <w:spacing w:val="-2"/>
        </w:rPr>
        <w:t xml:space="preserve"> </w:t>
      </w:r>
      <w:r>
        <w:t>es que en este mismo periodo este Congreso aprobó la ley n°21.073 que dentro de sus disposiciones, aprueba una segunda vuelta para Gobernadores Re</w:t>
      </w:r>
      <w:r>
        <w:t>gionales, con características similares, pero no iguales al diferenciarse en el umbral, fijado en un 40%, para definir a la candidatura ganadora en primera vuelta.</w:t>
      </w:r>
    </w:p>
    <w:p w:rsidR="0073737A" w:rsidRDefault="0073737A">
      <w:pPr>
        <w:pStyle w:val="Textoindependiente"/>
        <w:rPr>
          <w:sz w:val="36"/>
        </w:rPr>
      </w:pPr>
    </w:p>
    <w:p w:rsidR="0073737A" w:rsidRDefault="00800269">
      <w:pPr>
        <w:pStyle w:val="Textoindependiente"/>
        <w:spacing w:line="360" w:lineRule="auto"/>
        <w:ind w:left="824" w:right="156"/>
        <w:jc w:val="both"/>
      </w:pPr>
      <w:r>
        <w:t>En el ámbito municipal, una segunda vuelta se traducirá en gobiernos comunales con mayor</w:t>
      </w:r>
      <w:r>
        <w:rPr>
          <w:spacing w:val="40"/>
        </w:rPr>
        <w:t xml:space="preserve"> </w:t>
      </w:r>
      <w:r>
        <w:t>legitimidad ante la ciudadanía, obligando a las candidaturas a presentar programas más</w:t>
      </w:r>
      <w:r>
        <w:rPr>
          <w:spacing w:val="-1"/>
        </w:rPr>
        <w:t xml:space="preserve"> </w:t>
      </w:r>
      <w:r>
        <w:t>inclusivos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esforzarse</w:t>
      </w:r>
      <w:r>
        <w:rPr>
          <w:spacing w:val="-2"/>
        </w:rPr>
        <w:t xml:space="preserve"> </w:t>
      </w:r>
      <w:r>
        <w:t>por representar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mayoría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habitan una comuna,</w:t>
      </w:r>
      <w:r>
        <w:rPr>
          <w:spacing w:val="-1"/>
        </w:rPr>
        <w:t xml:space="preserve"> </w:t>
      </w:r>
      <w:r>
        <w:t>con mayor pluralismo y apertura a las nuevas ideas,</w:t>
      </w:r>
      <w:r>
        <w:rPr>
          <w:spacing w:val="-1"/>
        </w:rPr>
        <w:t xml:space="preserve"> </w:t>
      </w:r>
      <w:r>
        <w:t>iniciativas y valores,</w:t>
      </w:r>
      <w:r>
        <w:t xml:space="preserve"> que hoy se transforma en una obligación ética.</w:t>
      </w:r>
    </w:p>
    <w:p w:rsidR="0073737A" w:rsidRDefault="0073737A">
      <w:pPr>
        <w:pStyle w:val="Textoindependiente"/>
        <w:rPr>
          <w:sz w:val="36"/>
        </w:rPr>
      </w:pPr>
    </w:p>
    <w:p w:rsidR="0073737A" w:rsidRDefault="00800269">
      <w:pPr>
        <w:pStyle w:val="Textoindependiente"/>
        <w:spacing w:line="360" w:lineRule="auto"/>
        <w:ind w:left="824" w:right="158"/>
        <w:jc w:val="both"/>
      </w:pPr>
      <w:r>
        <w:t>La tendencia a establecer una segunda votación para definir a quienes dirigen los gobiernos locales va en aumento en el mundo. Países como Brasil, Italia y Colombia, cuentan</w:t>
      </w:r>
      <w:r>
        <w:rPr>
          <w:spacing w:val="72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un</w:t>
      </w:r>
      <w:r>
        <w:rPr>
          <w:spacing w:val="69"/>
        </w:rPr>
        <w:t xml:space="preserve"> </w:t>
      </w:r>
      <w:r>
        <w:t>sistema</w:t>
      </w:r>
      <w:r>
        <w:rPr>
          <w:spacing w:val="70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segunda</w:t>
      </w:r>
      <w:r>
        <w:rPr>
          <w:spacing w:val="70"/>
        </w:rPr>
        <w:t xml:space="preserve"> </w:t>
      </w:r>
      <w:r>
        <w:t>vuelta</w:t>
      </w:r>
      <w:r>
        <w:rPr>
          <w:spacing w:val="72"/>
        </w:rPr>
        <w:t xml:space="preserve"> </w:t>
      </w:r>
      <w:r>
        <w:t>como</w:t>
      </w:r>
      <w:r>
        <w:rPr>
          <w:spacing w:val="72"/>
        </w:rPr>
        <w:t xml:space="preserve"> </w:t>
      </w:r>
      <w:r>
        <w:t>el</w:t>
      </w:r>
      <w:r>
        <w:rPr>
          <w:spacing w:val="71"/>
        </w:rPr>
        <w:t xml:space="preserve"> </w:t>
      </w:r>
      <w:r>
        <w:t>aquí</w:t>
      </w:r>
      <w:r>
        <w:rPr>
          <w:spacing w:val="71"/>
        </w:rPr>
        <w:t xml:space="preserve"> </w:t>
      </w:r>
      <w:r>
        <w:t>propuesto,</w:t>
      </w:r>
      <w:r>
        <w:rPr>
          <w:spacing w:val="71"/>
        </w:rPr>
        <w:t xml:space="preserve"> </w:t>
      </w:r>
      <w:r>
        <w:t>mientras</w:t>
      </w:r>
      <w:r>
        <w:rPr>
          <w:spacing w:val="70"/>
        </w:rPr>
        <w:t xml:space="preserve"> </w:t>
      </w:r>
      <w:r>
        <w:t>que</w:t>
      </w:r>
    </w:p>
    <w:p w:rsidR="0073737A" w:rsidRDefault="0073737A">
      <w:pPr>
        <w:spacing w:line="360" w:lineRule="auto"/>
        <w:jc w:val="both"/>
        <w:sectPr w:rsidR="0073737A">
          <w:type w:val="continuous"/>
          <w:pgSz w:w="12240" w:h="15840"/>
          <w:pgMar w:top="1520" w:right="1320" w:bottom="280" w:left="1600" w:header="720" w:footer="720" w:gutter="0"/>
          <w:cols w:space="720"/>
        </w:sectPr>
      </w:pPr>
    </w:p>
    <w:p w:rsidR="0073737A" w:rsidRDefault="00800269">
      <w:pPr>
        <w:pStyle w:val="Textoindependiente"/>
        <w:spacing w:before="79" w:line="360" w:lineRule="auto"/>
        <w:ind w:left="824"/>
      </w:pPr>
      <w:r>
        <w:lastRenderedPageBreak/>
        <w:t>iniciativas similares se observan en paises como Australia, Estados Unidos o Canadá y a través de un voto transferible, Nueva Zelanda.</w:t>
      </w:r>
    </w:p>
    <w:p w:rsidR="0073737A" w:rsidRDefault="0073737A">
      <w:pPr>
        <w:pStyle w:val="Textoindependiente"/>
        <w:spacing w:before="1"/>
        <w:rPr>
          <w:sz w:val="36"/>
        </w:rPr>
      </w:pPr>
    </w:p>
    <w:p w:rsidR="0073737A" w:rsidRDefault="00800269">
      <w:pPr>
        <w:pStyle w:val="Textoindependiente"/>
        <w:ind w:left="824"/>
      </w:pPr>
      <w:r>
        <w:rPr>
          <w:u w:val="single"/>
        </w:rPr>
        <w:t>Norma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actual:</w:t>
      </w:r>
    </w:p>
    <w:p w:rsidR="0073737A" w:rsidRDefault="0073737A">
      <w:pPr>
        <w:pStyle w:val="Textoindependiente"/>
        <w:rPr>
          <w:sz w:val="20"/>
        </w:rPr>
      </w:pPr>
    </w:p>
    <w:p w:rsidR="0073737A" w:rsidRDefault="0073737A">
      <w:pPr>
        <w:pStyle w:val="Textoindependiente"/>
        <w:spacing w:before="3"/>
        <w:rPr>
          <w:sz w:val="19"/>
        </w:rPr>
      </w:pPr>
    </w:p>
    <w:p w:rsidR="0073737A" w:rsidRDefault="00800269">
      <w:pPr>
        <w:pStyle w:val="Textoindependiente"/>
        <w:spacing w:before="100" w:line="360" w:lineRule="auto"/>
        <w:ind w:left="824" w:right="153"/>
        <w:jc w:val="both"/>
      </w:pPr>
      <w:r>
        <w:t xml:space="preserve">Actualmente, la elección de las alcaldías está regido por el artículo 127 del Decreto con Fuerza de Ley </w:t>
      </w:r>
      <w:r>
        <w:t>N°1 de 2006, del Ministerio del Interior, que fija el texto refundido, coordinado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sistematizado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n°18.695,</w:t>
      </w:r>
      <w:r>
        <w:rPr>
          <w:spacing w:val="-3"/>
        </w:rPr>
        <w:t xml:space="preserve"> </w:t>
      </w:r>
      <w:r>
        <w:t>orgánica</w:t>
      </w:r>
      <w:r>
        <w:rPr>
          <w:spacing w:val="-3"/>
        </w:rPr>
        <w:t xml:space="preserve"> </w:t>
      </w:r>
      <w:r>
        <w:t>constitucional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Municipalidades bajo el siguiente texto:</w:t>
      </w:r>
    </w:p>
    <w:p w:rsidR="0073737A" w:rsidRDefault="0073737A">
      <w:pPr>
        <w:pStyle w:val="Textoindependiente"/>
        <w:spacing w:before="4"/>
        <w:rPr>
          <w:sz w:val="35"/>
        </w:rPr>
      </w:pPr>
    </w:p>
    <w:p w:rsidR="0073737A" w:rsidRDefault="00800269">
      <w:pPr>
        <w:spacing w:line="357" w:lineRule="auto"/>
        <w:ind w:left="824" w:right="183"/>
        <w:jc w:val="both"/>
        <w:rPr>
          <w:i/>
          <w:sz w:val="24"/>
        </w:rPr>
      </w:pPr>
      <w:r>
        <w:rPr>
          <w:b/>
          <w:i/>
          <w:sz w:val="25"/>
        </w:rPr>
        <w:t xml:space="preserve">Artículo 127.- </w:t>
      </w:r>
      <w:r>
        <w:rPr>
          <w:i/>
          <w:sz w:val="24"/>
        </w:rPr>
        <w:t>Será elegido alcalde el candidato que obtenga la mayor cantidad de sufragios válidamente emitidos en la comuna, esto es, excluidos los votos en blanco y los nulos, según determine el tribunal electoral regional competente.</w:t>
      </w:r>
    </w:p>
    <w:p w:rsidR="0073737A" w:rsidRDefault="0073737A">
      <w:pPr>
        <w:pStyle w:val="Textoindependiente"/>
        <w:rPr>
          <w:i/>
          <w:sz w:val="36"/>
        </w:rPr>
      </w:pPr>
    </w:p>
    <w:p w:rsidR="0073737A" w:rsidRDefault="00800269">
      <w:pPr>
        <w:spacing w:line="360" w:lineRule="auto"/>
        <w:ind w:left="824" w:firstLine="318"/>
        <w:rPr>
          <w:i/>
          <w:sz w:val="24"/>
        </w:rPr>
      </w:pPr>
      <w:r>
        <w:rPr>
          <w:i/>
          <w:sz w:val="24"/>
        </w:rPr>
        <w:t>En caso de empate, el tribunal e</w:t>
      </w:r>
      <w:r>
        <w:rPr>
          <w:i/>
          <w:sz w:val="24"/>
        </w:rPr>
        <w:t>lectoral regional respectivo, en audiencia pública y mediante sorteo,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determinará al alcalde electo de entre los candidatos empatados.</w:t>
      </w:r>
    </w:p>
    <w:p w:rsidR="0073737A" w:rsidRDefault="0073737A">
      <w:pPr>
        <w:pStyle w:val="Textoindependiente"/>
        <w:spacing w:before="10"/>
        <w:rPr>
          <w:i/>
          <w:sz w:val="35"/>
        </w:rPr>
      </w:pPr>
    </w:p>
    <w:p w:rsidR="0073737A" w:rsidRDefault="00800269">
      <w:pPr>
        <w:pStyle w:val="Textoindependiente"/>
        <w:spacing w:line="360" w:lineRule="auto"/>
        <w:ind w:left="824" w:right="158"/>
        <w:jc w:val="both"/>
      </w:pPr>
      <w:r>
        <w:t>La actual norma permite la elección de alcaldes y alcaldesas con una baja votación comunal,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aquellos</w:t>
      </w:r>
      <w:r>
        <w:rPr>
          <w:spacing w:val="-4"/>
        </w:rPr>
        <w:t xml:space="preserve"> </w:t>
      </w:r>
      <w:r>
        <w:t>terri</w:t>
      </w:r>
      <w:r>
        <w:t>torios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alto</w:t>
      </w:r>
      <w:r>
        <w:rPr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candidaturas,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suma a una histórica alta abstención electoral.</w:t>
      </w:r>
    </w:p>
    <w:p w:rsidR="0073737A" w:rsidRDefault="0073737A">
      <w:pPr>
        <w:pStyle w:val="Textoindependiente"/>
        <w:spacing w:before="4"/>
        <w:rPr>
          <w:sz w:val="36"/>
        </w:rPr>
      </w:pPr>
    </w:p>
    <w:p w:rsidR="0073737A" w:rsidRDefault="00800269">
      <w:pPr>
        <w:pStyle w:val="Textoindependiente"/>
        <w:spacing w:line="360" w:lineRule="auto"/>
        <w:ind w:left="824" w:right="154"/>
        <w:jc w:val="both"/>
      </w:pPr>
      <w:r>
        <w:t>Una segunda votación entre las dos más altas mayorías relativas obligará a las</w:t>
      </w:r>
      <w:r>
        <w:rPr>
          <w:spacing w:val="40"/>
        </w:rPr>
        <w:t xml:space="preserve"> </w:t>
      </w:r>
      <w:r>
        <w:t>candidaturas</w:t>
      </w:r>
      <w:r>
        <w:rPr>
          <w:spacing w:val="-1"/>
        </w:rPr>
        <w:t xml:space="preserve"> </w:t>
      </w:r>
      <w:r>
        <w:t>a buscar y</w:t>
      </w:r>
      <w:r>
        <w:rPr>
          <w:spacing w:val="-1"/>
        </w:rPr>
        <w:t xml:space="preserve"> </w:t>
      </w:r>
      <w:r>
        <w:t>conquistar el apoyo de</w:t>
      </w:r>
      <w:r>
        <w:rPr>
          <w:spacing w:val="-1"/>
        </w:rPr>
        <w:t xml:space="preserve"> </w:t>
      </w:r>
      <w:r>
        <w:t>la mayoría de la</w:t>
      </w:r>
      <w:r>
        <w:rPr>
          <w:spacing w:val="-1"/>
        </w:rPr>
        <w:t xml:space="preserve"> </w:t>
      </w:r>
      <w:r>
        <w:t xml:space="preserve">ciudadanía </w:t>
      </w:r>
      <w:r>
        <w:t>que</w:t>
      </w:r>
      <w:r>
        <w:rPr>
          <w:spacing w:val="-1"/>
        </w:rPr>
        <w:t xml:space="preserve"> </w:t>
      </w:r>
      <w:r>
        <w:t>acude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urnas, lo que redundará en fortalecer la representación popular en las elecciones locales.</w:t>
      </w: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spacing w:before="4"/>
        <w:rPr>
          <w:sz w:val="31"/>
        </w:rPr>
      </w:pPr>
    </w:p>
    <w:p w:rsidR="0073737A" w:rsidRDefault="00800269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ind w:hanging="614"/>
        <w:jc w:val="left"/>
        <w:rPr>
          <w:b/>
          <w:sz w:val="19"/>
        </w:rPr>
      </w:pPr>
      <w:r>
        <w:rPr>
          <w:b/>
          <w:sz w:val="19"/>
        </w:rPr>
        <w:t>IDEA</w:t>
      </w:r>
      <w:r>
        <w:rPr>
          <w:b/>
          <w:spacing w:val="14"/>
          <w:sz w:val="19"/>
        </w:rPr>
        <w:t xml:space="preserve"> </w:t>
      </w:r>
      <w:r>
        <w:rPr>
          <w:b/>
          <w:spacing w:val="-2"/>
          <w:sz w:val="19"/>
        </w:rPr>
        <w:t>MATRIZ</w:t>
      </w:r>
    </w:p>
    <w:p w:rsidR="0073737A" w:rsidRDefault="00800269">
      <w:pPr>
        <w:pStyle w:val="Textoindependiente"/>
        <w:spacing w:before="134" w:line="360" w:lineRule="auto"/>
        <w:ind w:left="824" w:right="161"/>
        <w:jc w:val="both"/>
      </w:pPr>
      <w:r>
        <w:t>Implementar como requisito ineludible el que las candidaturas a Alcalde obtengan a lo menos el 50% más uno de los sufragios válidamente emitidos para resultar electos y que en el caso de que ninguna de las candidatas o candidatos consiguiera la mayoría señ</w:t>
      </w:r>
      <w:r>
        <w:t>alada, se</w:t>
      </w:r>
      <w:r>
        <w:rPr>
          <w:spacing w:val="34"/>
        </w:rPr>
        <w:t xml:space="preserve"> </w:t>
      </w:r>
      <w:r>
        <w:t>proceda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segunda</w:t>
      </w:r>
      <w:r>
        <w:rPr>
          <w:spacing w:val="36"/>
        </w:rPr>
        <w:t xml:space="preserve"> </w:t>
      </w:r>
      <w:r>
        <w:t>votación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circunscribirá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candidaturas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2"/>
        </w:rPr>
        <w:t>hayan</w:t>
      </w:r>
    </w:p>
    <w:p w:rsidR="0073737A" w:rsidRDefault="0073737A">
      <w:pPr>
        <w:spacing w:line="360" w:lineRule="auto"/>
        <w:jc w:val="both"/>
        <w:sectPr w:rsidR="0073737A">
          <w:pgSz w:w="12240" w:h="15840"/>
          <w:pgMar w:top="1320" w:right="1320" w:bottom="280" w:left="1600" w:header="720" w:footer="720" w:gutter="0"/>
          <w:cols w:space="720"/>
        </w:sectPr>
      </w:pPr>
    </w:p>
    <w:p w:rsidR="0073737A" w:rsidRDefault="00800269">
      <w:pPr>
        <w:pStyle w:val="Textoindependiente"/>
        <w:spacing w:before="79" w:line="360" w:lineRule="auto"/>
        <w:ind w:left="824"/>
      </w:pPr>
      <w:r>
        <w:lastRenderedPageBreak/>
        <w:t>obtenido las dos más altas mayorías relativas y en ella resultará electa aquella candidatura que obtenga el mayor número de sufragios.</w:t>
      </w: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rPr>
          <w:sz w:val="26"/>
        </w:rPr>
      </w:pPr>
    </w:p>
    <w:p w:rsidR="0073737A" w:rsidRDefault="00800269">
      <w:pPr>
        <w:pStyle w:val="Ttulo1"/>
        <w:spacing w:before="225"/>
        <w:ind w:left="4026" w:right="3348" w:firstLine="0"/>
        <w:jc w:val="center"/>
      </w:pPr>
      <w:r>
        <w:rPr>
          <w:smallCaps/>
        </w:rPr>
        <w:t>Proyecto</w:t>
      </w:r>
      <w:r>
        <w:rPr>
          <w:smallCaps/>
          <w:spacing w:val="15"/>
        </w:rPr>
        <w:t xml:space="preserve"> </w:t>
      </w:r>
      <w:r>
        <w:rPr>
          <w:smallCaps/>
        </w:rPr>
        <w:t>de</w:t>
      </w:r>
      <w:r>
        <w:rPr>
          <w:smallCaps/>
          <w:spacing w:val="15"/>
        </w:rPr>
        <w:t xml:space="preserve"> </w:t>
      </w:r>
      <w:r>
        <w:rPr>
          <w:smallCaps/>
          <w:spacing w:val="-5"/>
        </w:rPr>
        <w:t>Ley</w:t>
      </w:r>
    </w:p>
    <w:p w:rsidR="0073737A" w:rsidRDefault="0073737A">
      <w:pPr>
        <w:pStyle w:val="Textoindependiente"/>
        <w:rPr>
          <w:b/>
          <w:sz w:val="26"/>
        </w:rPr>
      </w:pPr>
    </w:p>
    <w:p w:rsidR="0073737A" w:rsidRDefault="0073737A">
      <w:pPr>
        <w:pStyle w:val="Textoindependiente"/>
        <w:rPr>
          <w:b/>
          <w:sz w:val="22"/>
        </w:rPr>
      </w:pPr>
    </w:p>
    <w:p w:rsidR="0073737A" w:rsidRDefault="00800269">
      <w:pPr>
        <w:pStyle w:val="Textoindependiente"/>
        <w:spacing w:line="276" w:lineRule="auto"/>
        <w:ind w:left="104" w:right="108"/>
        <w:jc w:val="both"/>
      </w:pPr>
      <w:r>
        <w:rPr>
          <w:b/>
        </w:rPr>
        <w:t>Artículo Único</w:t>
      </w:r>
      <w:r>
        <w:t>. Reemplácese el artículo 127 del Decreto con Fuerza de Ley N°1 de 2006, del Ministerio del Interior, que fija el texto refundido, coordinado y sistematizado de la ley n°18.695, orgánica constitucional de Municipalidades, por el siguiente:</w:t>
      </w:r>
    </w:p>
    <w:p w:rsidR="0073737A" w:rsidRDefault="0073737A">
      <w:pPr>
        <w:pStyle w:val="Textoindependiente"/>
        <w:spacing w:before="4"/>
        <w:rPr>
          <w:sz w:val="27"/>
        </w:rPr>
      </w:pPr>
    </w:p>
    <w:p w:rsidR="0073737A" w:rsidRDefault="00800269">
      <w:pPr>
        <w:pStyle w:val="Textoindependiente"/>
        <w:spacing w:before="1" w:line="276" w:lineRule="auto"/>
        <w:ind w:left="104" w:right="105"/>
        <w:jc w:val="both"/>
      </w:pPr>
      <w:r>
        <w:t>“Artículo 127.</w:t>
      </w:r>
      <w:r>
        <w:rPr>
          <w:spacing w:val="40"/>
        </w:rPr>
        <w:t xml:space="preserve"> </w:t>
      </w:r>
      <w:r>
        <w:t>Resultará electa alcaldesa o alcalde, la persona que hubiere obtenido más de la mitad de los sufragios válidamente emitidos. Para estos efectos, los votos en blanco y nulos se considerarán como no emitidos.</w:t>
      </w: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spacing w:before="10"/>
        <w:rPr>
          <w:sz w:val="28"/>
        </w:rPr>
      </w:pPr>
    </w:p>
    <w:p w:rsidR="0073737A" w:rsidRDefault="00800269">
      <w:pPr>
        <w:pStyle w:val="Textoindependiente"/>
        <w:spacing w:before="1" w:line="276" w:lineRule="auto"/>
        <w:ind w:left="104" w:right="112"/>
        <w:jc w:val="both"/>
      </w:pPr>
      <w:r>
        <w:t>Si ninguno de los candidatos o candidatas hubiere obtenido la mayoría señalada en el inciso anterior,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votación,</w:t>
      </w:r>
      <w:r>
        <w:rPr>
          <w:spacing w:val="-1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participarán</w:t>
      </w:r>
      <w:r>
        <w:rPr>
          <w:spacing w:val="-2"/>
        </w:rPr>
        <w:t xml:space="preserve"> </w:t>
      </w:r>
      <w:r>
        <w:t>los candidatos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candidatas</w:t>
      </w:r>
      <w:r>
        <w:rPr>
          <w:spacing w:val="-2"/>
        </w:rPr>
        <w:t xml:space="preserve"> </w:t>
      </w:r>
      <w:r>
        <w:t>que hayan obtenido las dos más altas mayorías relativas. Esta segunda votación se llevará a cabo el cuarto</w:t>
      </w:r>
      <w:r>
        <w:rPr>
          <w:spacing w:val="-3"/>
        </w:rPr>
        <w:t xml:space="preserve"> </w:t>
      </w:r>
      <w:r>
        <w:t>domingo</w:t>
      </w:r>
      <w:r>
        <w:rPr>
          <w:spacing w:val="-3"/>
        </w:rPr>
        <w:t xml:space="preserve"> </w:t>
      </w:r>
      <w:r>
        <w:t>posterior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votación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conjunto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proceso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segunda</w:t>
      </w:r>
      <w:r>
        <w:rPr>
          <w:spacing w:val="-3"/>
        </w:rPr>
        <w:t xml:space="preserve"> </w:t>
      </w:r>
      <w:r>
        <w:t>votación para el cargo de gobernadores regionales, en cédula separada</w:t>
      </w:r>
      <w:r>
        <w:t>.</w:t>
      </w:r>
    </w:p>
    <w:p w:rsidR="0073737A" w:rsidRDefault="0073737A">
      <w:pPr>
        <w:pStyle w:val="Textoindependiente"/>
        <w:spacing w:before="3"/>
        <w:rPr>
          <w:sz w:val="27"/>
        </w:rPr>
      </w:pPr>
    </w:p>
    <w:p w:rsidR="0073737A" w:rsidRDefault="00800269">
      <w:pPr>
        <w:pStyle w:val="Textoindependiente"/>
        <w:spacing w:line="276" w:lineRule="auto"/>
        <w:ind w:left="104" w:right="121"/>
        <w:jc w:val="both"/>
      </w:pPr>
      <w:r>
        <w:t>La calificación de la elección de alcalde o alcaldesa deberá verificarse dentro del plazo de quince días contados desde el</w:t>
      </w:r>
      <w:r>
        <w:rPr>
          <w:spacing w:val="-1"/>
        </w:rPr>
        <w:t xml:space="preserve"> </w:t>
      </w:r>
      <w:r>
        <w:t>día de</w:t>
      </w:r>
      <w:r>
        <w:rPr>
          <w:spacing w:val="-2"/>
        </w:rPr>
        <w:t xml:space="preserve"> </w:t>
      </w:r>
      <w:r>
        <w:t>la primera</w:t>
      </w:r>
      <w:r>
        <w:rPr>
          <w:spacing w:val="-2"/>
        </w:rPr>
        <w:t xml:space="preserve"> </w:t>
      </w:r>
      <w:r>
        <w:t>votación o dentro 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treinta</w:t>
      </w:r>
      <w:r>
        <w:rPr>
          <w:spacing w:val="-2"/>
        </w:rPr>
        <w:t xml:space="preserve"> </w:t>
      </w:r>
      <w:r>
        <w:t>días siguientes tratándose de la segunda votación.</w:t>
      </w:r>
    </w:p>
    <w:p w:rsidR="0073737A" w:rsidRDefault="0073737A">
      <w:pPr>
        <w:pStyle w:val="Textoindependiente"/>
        <w:spacing w:before="5"/>
        <w:rPr>
          <w:sz w:val="27"/>
        </w:rPr>
      </w:pPr>
    </w:p>
    <w:p w:rsidR="0073737A" w:rsidRDefault="00800269">
      <w:pPr>
        <w:pStyle w:val="Textoindependiente"/>
        <w:spacing w:line="276" w:lineRule="auto"/>
        <w:ind w:left="104" w:right="116"/>
        <w:jc w:val="both"/>
      </w:pPr>
      <w:r>
        <w:t>En caso de empate, el tribu</w:t>
      </w:r>
      <w:r>
        <w:t>nal electoral regional respectivo determinará al alcalde o alcaldesa electa de entre las candidaturas empatadas, mediante sorteo realizado en audiencia pública.”</w:t>
      </w: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rPr>
          <w:sz w:val="26"/>
        </w:rPr>
      </w:pPr>
    </w:p>
    <w:p w:rsidR="0073737A" w:rsidRDefault="0073737A">
      <w:pPr>
        <w:pStyle w:val="Textoindependiente"/>
        <w:spacing w:before="6"/>
      </w:pPr>
    </w:p>
    <w:p w:rsidR="0073737A" w:rsidRDefault="00800269">
      <w:pPr>
        <w:spacing w:before="1" w:line="276" w:lineRule="auto"/>
        <w:ind w:left="2884" w:right="1799" w:firstLine="214"/>
        <w:rPr>
          <w:b/>
          <w:sz w:val="24"/>
        </w:rPr>
      </w:pPr>
      <w:r>
        <w:rPr>
          <w:b/>
          <w:sz w:val="24"/>
        </w:rPr>
        <w:t>FÉLIX GONZÁLEZ GATICA DIPUTADO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73737A">
      <w:pgSz w:w="12240" w:h="15840"/>
      <w:pgMar w:top="1320" w:right="13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B3A"/>
    <w:multiLevelType w:val="hybridMultilevel"/>
    <w:tmpl w:val="4F3E91B4"/>
    <w:lvl w:ilvl="0" w:tplc="16C6E8F0">
      <w:start w:val="1"/>
      <w:numFmt w:val="upperRoman"/>
      <w:lvlText w:val="%1."/>
      <w:lvlJc w:val="left"/>
      <w:pPr>
        <w:ind w:left="824" w:hanging="518"/>
        <w:jc w:val="right"/>
      </w:pPr>
      <w:rPr>
        <w:rFonts w:ascii="Garamond" w:eastAsia="Garamond" w:hAnsi="Garamond" w:cs="Garamond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DDCC8E0A">
      <w:numFmt w:val="bullet"/>
      <w:lvlText w:val="•"/>
      <w:lvlJc w:val="left"/>
      <w:pPr>
        <w:ind w:left="1669" w:hanging="518"/>
      </w:pPr>
      <w:rPr>
        <w:rFonts w:hint="default"/>
        <w:lang w:val="es-ES" w:eastAsia="en-US" w:bidi="ar-SA"/>
      </w:rPr>
    </w:lvl>
    <w:lvl w:ilvl="2" w:tplc="886ABD96">
      <w:numFmt w:val="bullet"/>
      <w:lvlText w:val="•"/>
      <w:lvlJc w:val="left"/>
      <w:pPr>
        <w:ind w:left="2519" w:hanging="518"/>
      </w:pPr>
      <w:rPr>
        <w:rFonts w:hint="default"/>
        <w:lang w:val="es-ES" w:eastAsia="en-US" w:bidi="ar-SA"/>
      </w:rPr>
    </w:lvl>
    <w:lvl w:ilvl="3" w:tplc="C7B6301A">
      <w:numFmt w:val="bullet"/>
      <w:lvlText w:val="•"/>
      <w:lvlJc w:val="left"/>
      <w:pPr>
        <w:ind w:left="3369" w:hanging="518"/>
      </w:pPr>
      <w:rPr>
        <w:rFonts w:hint="default"/>
        <w:lang w:val="es-ES" w:eastAsia="en-US" w:bidi="ar-SA"/>
      </w:rPr>
    </w:lvl>
    <w:lvl w:ilvl="4" w:tplc="DFE29236">
      <w:numFmt w:val="bullet"/>
      <w:lvlText w:val="•"/>
      <w:lvlJc w:val="left"/>
      <w:pPr>
        <w:ind w:left="4219" w:hanging="518"/>
      </w:pPr>
      <w:rPr>
        <w:rFonts w:hint="default"/>
        <w:lang w:val="es-ES" w:eastAsia="en-US" w:bidi="ar-SA"/>
      </w:rPr>
    </w:lvl>
    <w:lvl w:ilvl="5" w:tplc="B5CA7BD8">
      <w:numFmt w:val="bullet"/>
      <w:lvlText w:val="•"/>
      <w:lvlJc w:val="left"/>
      <w:pPr>
        <w:ind w:left="5069" w:hanging="518"/>
      </w:pPr>
      <w:rPr>
        <w:rFonts w:hint="default"/>
        <w:lang w:val="es-ES" w:eastAsia="en-US" w:bidi="ar-SA"/>
      </w:rPr>
    </w:lvl>
    <w:lvl w:ilvl="6" w:tplc="B4F22068">
      <w:numFmt w:val="bullet"/>
      <w:lvlText w:val="•"/>
      <w:lvlJc w:val="left"/>
      <w:pPr>
        <w:ind w:left="5919" w:hanging="518"/>
      </w:pPr>
      <w:rPr>
        <w:rFonts w:hint="default"/>
        <w:lang w:val="es-ES" w:eastAsia="en-US" w:bidi="ar-SA"/>
      </w:rPr>
    </w:lvl>
    <w:lvl w:ilvl="7" w:tplc="7D2A3E0C">
      <w:numFmt w:val="bullet"/>
      <w:lvlText w:val="•"/>
      <w:lvlJc w:val="left"/>
      <w:pPr>
        <w:ind w:left="6769" w:hanging="518"/>
      </w:pPr>
      <w:rPr>
        <w:rFonts w:hint="default"/>
        <w:lang w:val="es-ES" w:eastAsia="en-US" w:bidi="ar-SA"/>
      </w:rPr>
    </w:lvl>
    <w:lvl w:ilvl="8" w:tplc="A1AA9146">
      <w:numFmt w:val="bullet"/>
      <w:lvlText w:val="•"/>
      <w:lvlJc w:val="left"/>
      <w:pPr>
        <w:ind w:left="7619" w:hanging="51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737A"/>
    <w:rsid w:val="0073737A"/>
    <w:rsid w:val="008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B136B-3973-4B56-93D0-24A51D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824" w:hanging="5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4" w:hanging="61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4215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Contreras Rojas</dc:creator>
  <cp:lastModifiedBy>Guillermo Diaz Vallejos</cp:lastModifiedBy>
  <cp:revision>1</cp:revision>
  <dcterms:created xsi:type="dcterms:W3CDTF">2023-05-10T20:34:00Z</dcterms:created>
  <dcterms:modified xsi:type="dcterms:W3CDTF">2023-05-31T14:43:00Z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5.4</vt:lpwstr>
  </property>
  <property fmtid="{D5CDD505-2E9C-101B-9397-08002B2CF9AE}" pid="5" name="LastSaved">
    <vt:filetime>2023-05-10T00:00:00Z</vt:filetime>
  </property>
</Properties>
</file>