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A91" w:rsidRDefault="00A643CD">
      <w:pPr>
        <w:pStyle w:val="Textoindependiente"/>
        <w:ind w:left="3652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19200" cy="1276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A91" w:rsidRDefault="00845A91">
      <w:pPr>
        <w:pStyle w:val="Textoindependiente"/>
        <w:spacing w:before="7"/>
        <w:jc w:val="left"/>
        <w:rPr>
          <w:rFonts w:ascii="Times New Roman"/>
          <w:sz w:val="24"/>
        </w:rPr>
      </w:pPr>
    </w:p>
    <w:p w:rsidR="00845A91" w:rsidRDefault="00A643CD">
      <w:pPr>
        <w:spacing w:before="100" w:line="276" w:lineRule="auto"/>
        <w:ind w:left="575" w:right="588"/>
        <w:jc w:val="center"/>
        <w:rPr>
          <w:b/>
        </w:rPr>
      </w:pPr>
      <w:r>
        <w:rPr>
          <w:b/>
        </w:rPr>
        <w:t>Proyecto de ley que modifica la ley N°19.327 para aumentar las multas administrativas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entidades</w:t>
      </w:r>
      <w:r>
        <w:rPr>
          <w:b/>
          <w:spacing w:val="-6"/>
        </w:rPr>
        <w:t xml:space="preserve"> </w:t>
      </w:r>
      <w:r>
        <w:rPr>
          <w:b/>
        </w:rPr>
        <w:t>organizadoras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espectáculos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fútbol profesional cuando estas pongan en peligro la seguridad pública</w:t>
      </w:r>
    </w:p>
    <w:p w:rsidR="00845A91" w:rsidRDefault="00A643CD">
      <w:pPr>
        <w:pStyle w:val="Prrafodelista"/>
        <w:numPr>
          <w:ilvl w:val="0"/>
          <w:numId w:val="2"/>
        </w:numPr>
        <w:tabs>
          <w:tab w:val="left" w:pos="820"/>
        </w:tabs>
        <w:rPr>
          <w:b/>
        </w:rPr>
      </w:pPr>
      <w:r>
        <w:rPr>
          <w:b/>
          <w:spacing w:val="-2"/>
        </w:rPr>
        <w:t>Antecedentes</w:t>
      </w:r>
    </w:p>
    <w:p w:rsidR="00845A91" w:rsidRDefault="00845A91">
      <w:pPr>
        <w:pStyle w:val="Textoindependiente"/>
        <w:spacing w:before="10"/>
        <w:jc w:val="left"/>
        <w:rPr>
          <w:b/>
          <w:sz w:val="20"/>
        </w:rPr>
      </w:pPr>
    </w:p>
    <w:p w:rsidR="00845A91" w:rsidRDefault="00A643CD">
      <w:pPr>
        <w:pStyle w:val="Textoindependiente"/>
        <w:spacing w:line="276" w:lineRule="auto"/>
        <w:ind w:left="100" w:right="114"/>
      </w:pPr>
      <w:r>
        <w:t xml:space="preserve">Los hechos de violencia que entorpecen los eventos masivos en Chile no son nuevos. En particular en el último tiempo hemos podido apreciar cómo se han recrudecido eventos </w:t>
      </w:r>
      <w:r>
        <w:t>contrarios a la seguridad de las personas asistentes y que forman parte de espectáculos de fútbol profesional y al orden público. En los últimos meses se han producido diversos incidentes en distintas competiciones desarrolladas en estadios chilenos, que h</w:t>
      </w:r>
      <w:r>
        <w:t>an puesto nuevamente en tela de juicio el</w:t>
      </w:r>
      <w:r>
        <w:rPr>
          <w:spacing w:val="-3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institucionalidad</w:t>
      </w:r>
      <w:r>
        <w:rPr>
          <w:spacing w:val="-3"/>
        </w:rPr>
        <w:t xml:space="preserve"> </w:t>
      </w:r>
      <w:r>
        <w:t>asociada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resguardo de la vida y la integridad física de las y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asistentes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profesionales</w:t>
      </w:r>
      <w:r>
        <w:rPr>
          <w:spacing w:val="-2"/>
        </w:rPr>
        <w:t xml:space="preserve"> </w:t>
      </w:r>
      <w:r>
        <w:t>afines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y la seguridad en este tipo de eventos.</w:t>
      </w:r>
    </w:p>
    <w:p w:rsidR="00845A91" w:rsidRDefault="00A643CD">
      <w:pPr>
        <w:pStyle w:val="Textoindependiente"/>
        <w:spacing w:before="200" w:line="276" w:lineRule="auto"/>
        <w:ind w:left="100" w:right="114"/>
      </w:pPr>
      <w:r>
        <w:t>El último event</w:t>
      </w:r>
      <w:r>
        <w:t>o de violencia que profundizó la preocupación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materia,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produjo</w:t>
      </w:r>
      <w:r>
        <w:rPr>
          <w:spacing w:val="-3"/>
        </w:rPr>
        <w:t xml:space="preserve"> </w:t>
      </w:r>
      <w:r>
        <w:t>en el partido del campeonato nacional de fútbol entre la Universidad de Chile v/s Universidad Católica. En dicho evento, en el transcurso del primer</w:t>
      </w:r>
      <w:r>
        <w:rPr>
          <w:spacing w:val="-3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registraron</w:t>
      </w:r>
      <w:r>
        <w:rPr>
          <w:spacing w:val="-3"/>
        </w:rPr>
        <w:t xml:space="preserve"> </w:t>
      </w:r>
      <w:r>
        <w:t>diversos</w:t>
      </w:r>
      <w:r>
        <w:rPr>
          <w:spacing w:val="-3"/>
        </w:rPr>
        <w:t xml:space="preserve"> </w:t>
      </w:r>
      <w:r>
        <w:t>hechos dentro del estadio contrarios a los estándares de resguardo de la vida e</w:t>
      </w:r>
      <w:r>
        <w:rPr>
          <w:spacing w:val="-3"/>
        </w:rPr>
        <w:t xml:space="preserve"> </w:t>
      </w:r>
      <w:r>
        <w:t>integridad</w:t>
      </w:r>
      <w:r>
        <w:rPr>
          <w:spacing w:val="-3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 seguridad. En concreto, un grupo de personas lanzaron bengalas a la cancha, bombas de ruido e ingresaron al terreno de juego, registrándose cuat</w:t>
      </w:r>
      <w:r>
        <w:t>ro personas heridas ubicadas al costado de la cancha, incluyendo el cuarto árbitro del partido, durante los incidentes</w:t>
      </w:r>
      <w:r>
        <w:rPr>
          <w:vertAlign w:val="superscript"/>
        </w:rPr>
        <w:t>1</w:t>
      </w:r>
      <w:r>
        <w:t>.</w:t>
      </w:r>
    </w:p>
    <w:p w:rsidR="00845A91" w:rsidRDefault="00845A91">
      <w:pPr>
        <w:pStyle w:val="Textoindependiente"/>
        <w:spacing w:before="1"/>
        <w:jc w:val="left"/>
        <w:rPr>
          <w:sz w:val="21"/>
        </w:rPr>
      </w:pPr>
    </w:p>
    <w:p w:rsidR="00845A91" w:rsidRDefault="00A643CD">
      <w:pPr>
        <w:pStyle w:val="Textoindependiente"/>
        <w:spacing w:before="1" w:line="276" w:lineRule="auto"/>
        <w:ind w:left="100" w:right="112"/>
      </w:pPr>
      <w:r>
        <w:t>Fruto de estos incidentes Carabineros de Chile informó la detención de 22 personas, de las cuales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pasaron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detención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delitos;</w:t>
      </w:r>
      <w:r>
        <w:rPr>
          <w:spacing w:val="-3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distribución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fuegos de artificio y usurpación de identidad</w:t>
      </w:r>
      <w:r>
        <w:rPr>
          <w:vertAlign w:val="superscript"/>
        </w:rPr>
        <w:t>2</w:t>
      </w:r>
      <w:r>
        <w:t>. Tales desórdenes dieron lugar a que autoridades como la jefa de Estadio Seguro, Pamela Venegas, manifestara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existían</w:t>
      </w:r>
      <w:r>
        <w:rPr>
          <w:spacing w:val="-3"/>
        </w:rPr>
        <w:t xml:space="preserve"> </w:t>
      </w:r>
      <w:r>
        <w:t>garantías</w:t>
      </w:r>
      <w:r>
        <w:rPr>
          <w:spacing w:val="-3"/>
        </w:rPr>
        <w:t xml:space="preserve"> </w:t>
      </w:r>
      <w:r>
        <w:t>para seguir el partido, cons</w:t>
      </w:r>
      <w:r>
        <w:t>tatando incumplimientos graves en cuanto 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 los organizadores del partido</w:t>
      </w:r>
      <w:r>
        <w:rPr>
          <w:vertAlign w:val="superscript"/>
        </w:rPr>
        <w:t>3</w:t>
      </w:r>
      <w:r>
        <w:t>. Por su parte, la Asociación de Fútbol Nacional</w:t>
      </w:r>
      <w:r>
        <w:rPr>
          <w:spacing w:val="-3"/>
        </w:rPr>
        <w:t xml:space="preserve"> </w:t>
      </w:r>
      <w:r>
        <w:t>decidió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 partido se reanudará el próximo martes 27 de junio y se jugará sin público.</w:t>
      </w:r>
    </w:p>
    <w:p w:rsidR="00845A91" w:rsidRDefault="00845A91">
      <w:pPr>
        <w:pStyle w:val="Textoindependiente"/>
        <w:spacing w:before="1"/>
        <w:jc w:val="left"/>
        <w:rPr>
          <w:sz w:val="21"/>
        </w:rPr>
      </w:pPr>
    </w:p>
    <w:p w:rsidR="00845A91" w:rsidRDefault="00A643CD">
      <w:pPr>
        <w:pStyle w:val="Textoindependiente"/>
        <w:spacing w:line="276" w:lineRule="auto"/>
        <w:ind w:left="100" w:right="113"/>
      </w:pPr>
      <w:r>
        <w:t xml:space="preserve">Lamentablemente </w:t>
      </w:r>
      <w:r>
        <w:t>estos hechos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suman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episodios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registrados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mes de abril del año 2023. El pasado 19 de abril, en el contexto de una nueva fecha de la Copa Libertadores entre los clubes Colo-Colo y Monagas, en el Estadio Monumental, algunos barristas</w:t>
      </w:r>
      <w:r>
        <w:rPr>
          <w:spacing w:val="21"/>
        </w:rPr>
        <w:t xml:space="preserve"> </w:t>
      </w:r>
      <w:r>
        <w:t>encendieron</w:t>
      </w:r>
      <w:r>
        <w:rPr>
          <w:spacing w:val="24"/>
        </w:rPr>
        <w:t xml:space="preserve"> </w:t>
      </w:r>
      <w:r>
        <w:t>bengalas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tribuna</w:t>
      </w:r>
      <w:r>
        <w:rPr>
          <w:spacing w:val="24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sector</w:t>
      </w:r>
      <w:r>
        <w:rPr>
          <w:spacing w:val="23"/>
        </w:rPr>
        <w:t xml:space="preserve"> </w:t>
      </w:r>
      <w:r>
        <w:t>Arica</w:t>
      </w:r>
      <w:r>
        <w:t>,</w:t>
      </w:r>
      <w:r>
        <w:rPr>
          <w:spacing w:val="24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tiempo</w:t>
      </w:r>
      <w:r>
        <w:rPr>
          <w:spacing w:val="10"/>
        </w:rPr>
        <w:t xml:space="preserve"> </w:t>
      </w:r>
      <w:r>
        <w:rPr>
          <w:spacing w:val="-5"/>
        </w:rPr>
        <w:t>en</w:t>
      </w:r>
    </w:p>
    <w:p w:rsidR="00845A91" w:rsidRDefault="00A643CD">
      <w:pPr>
        <w:pStyle w:val="Textoindependiente"/>
        <w:spacing w:before="4"/>
        <w:jc w:val="left"/>
        <w:rPr>
          <w:sz w:val="9"/>
        </w:rPr>
      </w:pPr>
      <w:r>
        <w:pict>
          <v:shape id="docshape2" o:spid="_x0000_s1035" style="position:absolute;margin-left:1in;margin-top:6.55pt;width:2in;height:.1pt;z-index:-15728640;mso-wrap-distance-left:0;mso-wrap-distance-right:0;mso-position-horizontal-relative:page" coordorigin="1440,131" coordsize="2880,0" path="m1440,131r2880,e" filled="f">
            <v:path arrowok="t"/>
            <w10:wrap type="topAndBottom" anchorx="page"/>
          </v:shape>
        </w:pict>
      </w:r>
    </w:p>
    <w:p w:rsidR="00845A91" w:rsidRDefault="00A643CD">
      <w:pPr>
        <w:spacing w:before="109"/>
        <w:ind w:left="100"/>
        <w:rPr>
          <w:sz w:val="20"/>
        </w:rPr>
      </w:pPr>
      <w:r>
        <w:rPr>
          <w:color w:val="1154CC"/>
          <w:spacing w:val="-2"/>
          <w:sz w:val="20"/>
          <w:vertAlign w:val="superscript"/>
        </w:rPr>
        <w:t>1</w:t>
      </w:r>
      <w:hyperlink r:id="rId8">
        <w:r>
          <w:rPr>
            <w:color w:val="1154CC"/>
            <w:spacing w:val="-2"/>
            <w:sz w:val="20"/>
            <w:u w:val="thick" w:color="1154CC"/>
          </w:rPr>
          <w:t>https://www.latercera.com/el-deportivo/noticia/oficial-e</w:t>
        </w:r>
        <w:r>
          <w:rPr>
            <w:color w:val="1154CC"/>
            <w:spacing w:val="-2"/>
            <w:sz w:val="20"/>
            <w:u w:val="thick" w:color="1154CC"/>
          </w:rPr>
          <w:t>l-clasico-universitario-fue-suspendido-por-</w:t>
        </w:r>
        <w:r>
          <w:rPr>
            <w:color w:val="1154CC"/>
            <w:spacing w:val="-10"/>
            <w:sz w:val="20"/>
            <w:u w:val="thick" w:color="1154CC"/>
          </w:rPr>
          <w:t>l</w:t>
        </w:r>
      </w:hyperlink>
    </w:p>
    <w:p w:rsidR="00845A91" w:rsidRDefault="00A643CD">
      <w:pPr>
        <w:ind w:left="100"/>
        <w:rPr>
          <w:sz w:val="20"/>
        </w:rPr>
      </w:pPr>
      <w:r>
        <w:pict>
          <v:line id="_x0000_s1034" style="position:absolute;left:0;text-align:left;z-index:-15799808;mso-position-horizontal-relative:page" from="1in,-5.1pt" to="75pt,-5.1pt" strokecolor="#1154cc" strokeweight="1pt">
            <w10:wrap anchorx="page"/>
          </v:line>
        </w:pict>
      </w:r>
      <w:hyperlink r:id="rId9">
        <w:r>
          <w:rPr>
            <w:color w:val="1154CC"/>
            <w:spacing w:val="-2"/>
            <w:sz w:val="20"/>
            <w:u w:val="thick" w:color="1154CC"/>
          </w:rPr>
          <w:t>os-graves-incidentes-en-conc</w:t>
        </w:r>
        <w:r>
          <w:rPr>
            <w:color w:val="1154CC"/>
            <w:spacing w:val="-2"/>
            <w:sz w:val="20"/>
            <w:u w:val="thick" w:color="1154CC"/>
          </w:rPr>
          <w:t>epcion/TG7W36SIPJBOFCKLZMZHRIEHRE/</w:t>
        </w:r>
      </w:hyperlink>
    </w:p>
    <w:p w:rsidR="00845A91" w:rsidRDefault="00A643CD">
      <w:pPr>
        <w:ind w:left="100"/>
        <w:rPr>
          <w:sz w:val="20"/>
        </w:rPr>
      </w:pPr>
      <w:r>
        <w:pict>
          <v:line id="_x0000_s1033" style="position:absolute;left:0;text-align:left;z-index:-15800320;mso-position-horizontal-relative:page" from="1in,6.55pt" to="75pt,6.55pt" strokecolor="#1154cc" strokeweight="1pt">
            <w10:wrap anchorx="page"/>
          </v:line>
        </w:pict>
      </w:r>
      <w:r>
        <w:rPr>
          <w:color w:val="1154CC"/>
          <w:spacing w:val="-2"/>
          <w:sz w:val="20"/>
          <w:vertAlign w:val="superscript"/>
        </w:rPr>
        <w:t>2</w:t>
      </w:r>
      <w:hyperlink r:id="rId10">
        <w:r>
          <w:rPr>
            <w:color w:val="1154CC"/>
            <w:spacing w:val="-2"/>
            <w:sz w:val="20"/>
            <w:u w:val="thick" w:color="1154CC"/>
          </w:rPr>
          <w:t>https://www.biobiochile.cl/noticias/nacional/region-del-bio-bio/2023/04/30/clasico-universitario-</w:t>
        </w:r>
      </w:hyperlink>
    </w:p>
    <w:p w:rsidR="00845A91" w:rsidRDefault="00A643CD">
      <w:pPr>
        <w:ind w:left="100"/>
        <w:rPr>
          <w:sz w:val="20"/>
        </w:rPr>
      </w:pPr>
      <w:hyperlink r:id="rId11">
        <w:r>
          <w:rPr>
            <w:color w:val="1154CC"/>
            <w:spacing w:val="-2"/>
            <w:sz w:val="20"/>
            <w:u w:val="thick" w:color="1154CC"/>
          </w:rPr>
          <w:t>termina-con-7-detenidos-tras-incidentes-que-obligaron-a-suspender-el-partido.shtml</w:t>
        </w:r>
      </w:hyperlink>
    </w:p>
    <w:p w:rsidR="00845A91" w:rsidRDefault="00A643CD">
      <w:pPr>
        <w:ind w:left="100"/>
        <w:rPr>
          <w:sz w:val="20"/>
        </w:rPr>
      </w:pPr>
      <w:r>
        <w:pict>
          <v:line id="_x0000_s1032" style="position:absolute;left:0;text-align:left;z-index:-15800832;mso-position-horizontal-relative:page" from="1in,5.85pt" to="75pt,5.85pt" strokecolor="#1154cc" strokeweight="1pt">
            <w10:wrap anchorx="page"/>
          </v:line>
        </w:pict>
      </w:r>
      <w:r>
        <w:rPr>
          <w:color w:val="1154CC"/>
          <w:spacing w:val="-2"/>
          <w:sz w:val="20"/>
          <w:vertAlign w:val="superscript"/>
        </w:rPr>
        <w:t>3</w:t>
      </w:r>
      <w:hyperlink r:id="rId12">
        <w:r>
          <w:rPr>
            <w:color w:val="1154CC"/>
            <w:spacing w:val="-2"/>
            <w:sz w:val="20"/>
            <w:u w:val="thick" w:color="1154CC"/>
          </w:rPr>
          <w:t>https://www.t13.cl/noticia/deportest13/suspenden-clasico-universitario-delegado-confirma-cuatro-</w:t>
        </w:r>
      </w:hyperlink>
    </w:p>
    <w:p w:rsidR="00845A91" w:rsidRDefault="00A643CD">
      <w:pPr>
        <w:ind w:left="100"/>
        <w:rPr>
          <w:sz w:val="20"/>
        </w:rPr>
      </w:pPr>
      <w:hyperlink r:id="rId13">
        <w:r>
          <w:rPr>
            <w:color w:val="1154CC"/>
            <w:spacing w:val="-2"/>
            <w:sz w:val="20"/>
            <w:u w:val="thick" w:color="1154CC"/>
          </w:rPr>
          <w:t>arbitro-otras-personas-30-4-</w:t>
        </w:r>
        <w:r>
          <w:rPr>
            <w:color w:val="1154CC"/>
            <w:spacing w:val="-4"/>
            <w:sz w:val="20"/>
            <w:u w:val="thick" w:color="1154CC"/>
          </w:rPr>
          <w:t>2023</w:t>
        </w:r>
      </w:hyperlink>
    </w:p>
    <w:p w:rsidR="00845A91" w:rsidRDefault="00845A91">
      <w:pPr>
        <w:rPr>
          <w:sz w:val="20"/>
        </w:rPr>
        <w:sectPr w:rsidR="00845A91">
          <w:footerReference w:type="default" r:id="rId14"/>
          <w:type w:val="continuous"/>
          <w:pgSz w:w="11920" w:h="16840"/>
          <w:pgMar w:top="1460" w:right="1340" w:bottom="1000" w:left="1340" w:header="0" w:footer="802" w:gutter="0"/>
          <w:pgNumType w:start="1"/>
          <w:cols w:space="720"/>
        </w:sectPr>
      </w:pPr>
    </w:p>
    <w:p w:rsidR="00845A91" w:rsidRDefault="00A643CD">
      <w:pPr>
        <w:pStyle w:val="Textoindependiente"/>
        <w:spacing w:before="80" w:line="276" w:lineRule="auto"/>
        <w:ind w:left="100" w:right="126"/>
      </w:pPr>
      <w:r>
        <w:lastRenderedPageBreak/>
        <w:t>que se constató un enfrentamiento con armas corto punzante en la tribuna del sector Cordillera entre barristas de Colo-Colo.</w:t>
      </w:r>
      <w:r>
        <w:rPr>
          <w:spacing w:val="40"/>
        </w:rPr>
        <w:t xml:space="preserve"> </w:t>
      </w:r>
      <w:r>
        <w:rPr>
          <w:vertAlign w:val="superscript"/>
        </w:rPr>
        <w:t>4</w:t>
      </w:r>
    </w:p>
    <w:p w:rsidR="00845A91" w:rsidRDefault="00A643CD">
      <w:pPr>
        <w:pStyle w:val="Textoindependiente"/>
        <w:spacing w:before="200" w:line="276" w:lineRule="auto"/>
        <w:ind w:left="100" w:right="117"/>
      </w:pPr>
      <w:r>
        <w:t>Tales incidentes concluyeron con 15 detenidos, entre los cuales había seis personas con órdenes vigentes: 2 por infracción a la Ley N°20.000, 2 por porte de fuegos artificiales y</w:t>
      </w:r>
      <w:r>
        <w:rPr>
          <w:spacing w:val="40"/>
        </w:rPr>
        <w:t xml:space="preserve"> </w:t>
      </w:r>
      <w:r>
        <w:t>otros por infracción a la Ley de Control de Armas, usurpación de identidad, v</w:t>
      </w:r>
      <w:r>
        <w:t>iolencia en el estadio, lesiones</w:t>
      </w:r>
      <w:r>
        <w:rPr>
          <w:spacing w:val="-3"/>
        </w:rPr>
        <w:t xml:space="preserve"> </w:t>
      </w:r>
      <w:r>
        <w:t>leves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arma</w:t>
      </w:r>
      <w:r>
        <w:rPr>
          <w:spacing w:val="-3"/>
        </w:rPr>
        <w:t xml:space="preserve"> </w:t>
      </w:r>
      <w:r>
        <w:t>blanca.</w:t>
      </w:r>
      <w:r>
        <w:rPr>
          <w:spacing w:val="-3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organizador</w:t>
      </w:r>
      <w:r>
        <w:rPr>
          <w:spacing w:val="-3"/>
        </w:rPr>
        <w:t xml:space="preserve"> </w:t>
      </w:r>
      <w:r>
        <w:t>informó</w:t>
      </w:r>
      <w:r>
        <w:rPr>
          <w:spacing w:val="-3"/>
        </w:rPr>
        <w:t xml:space="preserve"> </w:t>
      </w:r>
      <w:r>
        <w:t xml:space="preserve">a la opinión pública que procedió a ejercer el derecho de admisión a quienes lograron identificar como parte de los hechos de violencia. </w:t>
      </w:r>
      <w:r>
        <w:rPr>
          <w:vertAlign w:val="superscript"/>
        </w:rPr>
        <w:t>5</w:t>
      </w:r>
    </w:p>
    <w:p w:rsidR="00845A91" w:rsidRDefault="00A643CD">
      <w:pPr>
        <w:pStyle w:val="Textoindependiente"/>
        <w:spacing w:before="200" w:line="276" w:lineRule="auto"/>
        <w:ind w:left="100" w:right="112"/>
      </w:pPr>
      <w:r>
        <w:t>El sábado 09 de abril de este año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partido</w:t>
      </w:r>
      <w:r>
        <w:rPr>
          <w:spacing w:val="-3"/>
        </w:rPr>
        <w:t xml:space="preserve"> </w:t>
      </w:r>
      <w:r>
        <w:t>disputado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clubes</w:t>
      </w:r>
      <w:r>
        <w:rPr>
          <w:spacing w:val="-3"/>
        </w:rPr>
        <w:t xml:space="preserve"> </w:t>
      </w:r>
      <w:r>
        <w:t>Coquimbo</w:t>
      </w:r>
      <w:r>
        <w:rPr>
          <w:spacing w:val="-3"/>
        </w:rPr>
        <w:t xml:space="preserve"> </w:t>
      </w:r>
      <w:r>
        <w:t>Unido</w:t>
      </w:r>
      <w:r>
        <w:rPr>
          <w:spacing w:val="-3"/>
        </w:rPr>
        <w:t xml:space="preserve"> </w:t>
      </w:r>
      <w:r>
        <w:t>y Quintero Unido en el marc</w:t>
      </w:r>
      <w:r>
        <w:t>o de la Copa Chile también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constataron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hechos</w:t>
      </w:r>
      <w:r>
        <w:rPr>
          <w:spacing w:val="-3"/>
        </w:rPr>
        <w:t xml:space="preserve"> </w:t>
      </w:r>
      <w:r>
        <w:t>de violencia. En dicho encuentro, llevado a cabo en el Estadio Municipal de La Calera, precisamente por razones de seguridad, la barra de Coquimbo Unido protagonizó graves daños e incidentes: de</w:t>
      </w:r>
      <w:r>
        <w:t>struyeron 69 butacas para luego lanzarlas al campo de juego, se enfrentaron a las afueras del recinto con Carabineros y finalmente intentaron robar una botillería en la comunidad de se trasladaron a Nogales. Ante estos hechos, el Delegado Presidencial Prov</w:t>
      </w:r>
      <w:r>
        <w:t>incial, Jorge Orrego, señaló que no se permitirá más la presencia de la</w:t>
      </w:r>
      <w:r>
        <w:rPr>
          <w:spacing w:val="40"/>
        </w:rPr>
        <w:t xml:space="preserve"> </w:t>
      </w:r>
      <w:r>
        <w:t>barra de Coquimbo Unido en la comuna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Nogales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piensa</w:t>
      </w:r>
      <w:r>
        <w:rPr>
          <w:spacing w:val="-3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extensiva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restricción</w:t>
      </w:r>
      <w:r>
        <w:rPr>
          <w:spacing w:val="-3"/>
        </w:rPr>
        <w:t xml:space="preserve"> </w:t>
      </w:r>
      <w:r>
        <w:t>al resto de la Provincia de Quillota</w:t>
      </w:r>
      <w:r>
        <w:rPr>
          <w:vertAlign w:val="superscript"/>
        </w:rPr>
        <w:t>6</w:t>
      </w:r>
      <w:r>
        <w:t>.</w:t>
      </w:r>
    </w:p>
    <w:p w:rsidR="00845A91" w:rsidRDefault="00A643CD">
      <w:pPr>
        <w:pStyle w:val="Textoindependiente"/>
        <w:spacing w:before="200" w:line="276" w:lineRule="auto"/>
        <w:ind w:left="100" w:right="112"/>
      </w:pPr>
      <w:r>
        <w:t>Sumado a esta serie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tuvieron lugar graves hechos de</w:t>
      </w:r>
      <w:r>
        <w:rPr>
          <w:spacing w:val="-3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fútbol,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partidos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denominado</w:t>
      </w:r>
      <w:r>
        <w:rPr>
          <w:spacing w:val="-3"/>
        </w:rPr>
        <w:t xml:space="preserve"> </w:t>
      </w:r>
      <w:r>
        <w:t>“superclásico” entre los clubes Colo-Colo y Universidad de Chile. De acuerdo al informe entregado por el árbitro Cristián Garay, 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partido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registró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lanzamiento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corta</w:t>
      </w:r>
      <w:r>
        <w:rPr>
          <w:spacing w:val="-3"/>
        </w:rPr>
        <w:t xml:space="preserve"> </w:t>
      </w:r>
      <w:r>
        <w:t>pluma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el sector</w:t>
      </w:r>
      <w:r>
        <w:rPr>
          <w:spacing w:val="-4"/>
        </w:rPr>
        <w:t xml:space="preserve"> </w:t>
      </w:r>
      <w:r>
        <w:t>Cordillera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estadio</w:t>
      </w:r>
      <w:r>
        <w:rPr>
          <w:spacing w:val="-4"/>
        </w:rPr>
        <w:t xml:space="preserve"> </w:t>
      </w:r>
      <w:r>
        <w:t>Monumental,</w:t>
      </w:r>
      <w:r>
        <w:rPr>
          <w:spacing w:val="-4"/>
        </w:rPr>
        <w:t xml:space="preserve"> </w:t>
      </w:r>
      <w:r>
        <w:t>mientras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at</w:t>
      </w:r>
      <w:r>
        <w:t>endía</w:t>
      </w:r>
      <w:r>
        <w:rPr>
          <w:spacing w:val="-4"/>
        </w:rPr>
        <w:t xml:space="preserve"> </w:t>
      </w:r>
      <w:r>
        <w:t>médicamente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jugador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cancha. Además, su informe consignó que desde el sector Caupolicán se encendieron bengalas y se lanzaron fuegos artificiales a la tribuna Magallanes, donde se encontraba la hinchada de la Universidad de Chile. El juez del</w:t>
      </w:r>
      <w:r>
        <w:t xml:space="preserve"> partido finalmente informó que desde el sector donde estaba los visitantes lanzaron piedras al terreno de juego durante el segundo tiempo. Lo cual dio lugar a sanciones a ambos clubes, asociadas en lo fundamental a desarrollar partidos sin público según d</w:t>
      </w:r>
      <w:r>
        <w:t>eterminaron las instancias jurisdiccionales internas del fútbol profesional nacional</w:t>
      </w:r>
      <w:r>
        <w:rPr>
          <w:vertAlign w:val="superscript"/>
        </w:rPr>
        <w:t>7</w:t>
      </w:r>
      <w:r>
        <w:t>.</w:t>
      </w:r>
    </w:p>
    <w:p w:rsidR="00845A91" w:rsidRDefault="00A643CD">
      <w:pPr>
        <w:pStyle w:val="Textoindependiente"/>
        <w:spacing w:before="200" w:line="276" w:lineRule="auto"/>
        <w:ind w:left="100" w:right="114"/>
      </w:pPr>
      <w:r>
        <w:t>Así, se ha convertido en una</w:t>
      </w:r>
      <w:r>
        <w:rPr>
          <w:spacing w:val="-3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ocurrencia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hechos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índole dentro de los estados y en sus inmediaciones. Al uso de pirotecnia y destrozos, cabe sumar hechos como el uso de implementos como punteros láser, bombas de ruido, ataques a vehículos (típicamente lanzamiento de piedras y otros proyectiles), lanzamie</w:t>
      </w:r>
      <w:r>
        <w:t>nto de</w:t>
      </w:r>
      <w:r>
        <w:rPr>
          <w:spacing w:val="40"/>
        </w:rPr>
        <w:t xml:space="preserve"> </w:t>
      </w:r>
      <w:r>
        <w:t>elementos al interior de las</w:t>
      </w:r>
      <w:r>
        <w:rPr>
          <w:spacing w:val="-3"/>
        </w:rPr>
        <w:t xml:space="preserve"> </w:t>
      </w:r>
      <w:r>
        <w:t>canchas,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otros.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pone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evidencia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 de reabrir el debate en esta materia y hacer valer las responsabilidades públicas y privadas que corresponden en este tipo de eventos.</w:t>
      </w:r>
    </w:p>
    <w:p w:rsidR="00845A91" w:rsidRDefault="00845A91">
      <w:pPr>
        <w:pStyle w:val="Textoindependiente"/>
        <w:jc w:val="left"/>
        <w:rPr>
          <w:sz w:val="20"/>
        </w:rPr>
      </w:pPr>
    </w:p>
    <w:p w:rsidR="00845A91" w:rsidRDefault="00A643CD">
      <w:pPr>
        <w:pStyle w:val="Textoindependiente"/>
        <w:spacing w:before="5"/>
        <w:jc w:val="left"/>
        <w:rPr>
          <w:sz w:val="29"/>
        </w:rPr>
      </w:pPr>
      <w:r>
        <w:pict>
          <v:shape id="docshape3" o:spid="_x0000_s1031" style="position:absolute;margin-left:1in;margin-top:17.95pt;width:2in;height:.1pt;z-index:-15726592;mso-wrap-distance-left:0;mso-wrap-distance-right:0;mso-position-horizontal-relative:page" coordorigin="1440,359" coordsize="2880,0" path="m1440,359r2880,e" filled="f">
            <v:path arrowok="t"/>
            <w10:wrap type="topAndBottom" anchorx="page"/>
          </v:shape>
        </w:pict>
      </w:r>
    </w:p>
    <w:p w:rsidR="00845A91" w:rsidRDefault="00A643CD">
      <w:pPr>
        <w:spacing w:before="110"/>
        <w:ind w:left="100"/>
        <w:rPr>
          <w:sz w:val="20"/>
        </w:rPr>
      </w:pPr>
      <w:r>
        <w:rPr>
          <w:color w:val="1154CC"/>
          <w:spacing w:val="-2"/>
          <w:sz w:val="20"/>
          <w:vertAlign w:val="superscript"/>
        </w:rPr>
        <w:t>4</w:t>
      </w:r>
      <w:hyperlink r:id="rId15">
        <w:r>
          <w:rPr>
            <w:color w:val="1154CC"/>
            <w:spacing w:val="-2"/>
            <w:sz w:val="20"/>
            <w:u w:val="thick" w:color="1154CC"/>
          </w:rPr>
          <w:t>https://www.alairelibre.cl/noticias/deportes/copa-libertadores/colo-colo/informe-de-la</w:t>
        </w:r>
        <w:r>
          <w:rPr>
            <w:color w:val="1154CC"/>
            <w:spacing w:val="-2"/>
            <w:sz w:val="20"/>
            <w:u w:val="thick" w:color="1154CC"/>
          </w:rPr>
          <w:t>-conmebol-</w:t>
        </w:r>
        <w:r>
          <w:rPr>
            <w:color w:val="1154CC"/>
            <w:spacing w:val="-10"/>
            <w:sz w:val="20"/>
            <w:u w:val="thick" w:color="1154CC"/>
          </w:rPr>
          <w:t>c</w:t>
        </w:r>
      </w:hyperlink>
    </w:p>
    <w:p w:rsidR="00845A91" w:rsidRDefault="00A643CD">
      <w:pPr>
        <w:ind w:left="100"/>
        <w:rPr>
          <w:sz w:val="20"/>
        </w:rPr>
      </w:pPr>
      <w:r>
        <w:pict>
          <v:line id="_x0000_s1030" style="position:absolute;left:0;text-align:left;z-index:-15797248;mso-position-horizontal-relative:page" from="1in,-4.85pt" to="75pt,-4.85pt" strokecolor="#1154cc" strokeweight="1pt">
            <w10:wrap anchorx="page"/>
          </v:line>
        </w:pict>
      </w:r>
      <w:hyperlink r:id="rId16">
        <w:r>
          <w:rPr>
            <w:color w:val="1154CC"/>
            <w:spacing w:val="-2"/>
            <w:sz w:val="20"/>
            <w:u w:val="thick" w:color="1154CC"/>
          </w:rPr>
          <w:t>onsigno-bengalas-invasion-y-peleas-en-el-colo/2023-04-25/1</w:t>
        </w:r>
        <w:r>
          <w:rPr>
            <w:color w:val="1154CC"/>
            <w:spacing w:val="-2"/>
            <w:sz w:val="20"/>
            <w:u w:val="thick" w:color="1154CC"/>
          </w:rPr>
          <w:t>73436.htm</w:t>
        </w:r>
      </w:hyperlink>
    </w:p>
    <w:p w:rsidR="00845A91" w:rsidRDefault="00A643CD">
      <w:pPr>
        <w:ind w:left="100"/>
        <w:rPr>
          <w:sz w:val="20"/>
        </w:rPr>
      </w:pPr>
      <w:r>
        <w:pict>
          <v:line id="_x0000_s1029" style="position:absolute;left:0;text-align:left;z-index:-15797760;mso-position-horizontal-relative:page" from="1in,5.8pt" to="75pt,5.8pt" strokecolor="#1154cc" strokeweight="1pt">
            <w10:wrap anchorx="page"/>
          </v:line>
        </w:pict>
      </w:r>
      <w:r>
        <w:rPr>
          <w:color w:val="1154CC"/>
          <w:spacing w:val="-2"/>
          <w:sz w:val="20"/>
          <w:vertAlign w:val="superscript"/>
        </w:rPr>
        <w:t>5</w:t>
      </w:r>
      <w:hyperlink r:id="rId17">
        <w:r>
          <w:rPr>
            <w:color w:val="1154CC"/>
            <w:spacing w:val="-2"/>
            <w:sz w:val="20"/>
            <w:u w:val="thick" w:color="1154CC"/>
          </w:rPr>
          <w:t>https://www.biobiochile.cl/noticias/deportes/fu</w:t>
        </w:r>
        <w:r>
          <w:rPr>
            <w:color w:val="1154CC"/>
            <w:spacing w:val="-2"/>
            <w:sz w:val="20"/>
            <w:u w:val="thick" w:color="1154CC"/>
          </w:rPr>
          <w:t>tbol/colo-colo/2023/04/20/estos-no-son-hinchas-</w:t>
        </w:r>
        <w:r>
          <w:rPr>
            <w:color w:val="1154CC"/>
            <w:spacing w:val="-10"/>
            <w:sz w:val="20"/>
            <w:u w:val="thick" w:color="1154CC"/>
          </w:rPr>
          <w:t>c</w:t>
        </w:r>
      </w:hyperlink>
    </w:p>
    <w:p w:rsidR="00845A91" w:rsidRDefault="00A643CD">
      <w:pPr>
        <w:ind w:left="100"/>
        <w:rPr>
          <w:sz w:val="20"/>
        </w:rPr>
      </w:pPr>
      <w:hyperlink r:id="rId18">
        <w:r>
          <w:rPr>
            <w:color w:val="1154CC"/>
            <w:spacing w:val="-2"/>
            <w:sz w:val="20"/>
            <w:u w:val="thick" w:color="1154CC"/>
          </w:rPr>
          <w:t>olo-colo-d</w:t>
        </w:r>
        <w:r>
          <w:rPr>
            <w:color w:val="1154CC"/>
            <w:spacing w:val="-2"/>
            <w:sz w:val="20"/>
            <w:u w:val="thick" w:color="1154CC"/>
          </w:rPr>
          <w:t>ifunde-fotos-de-barras-que-pelearon-en-pedrero-y-anuncia-querellas.shtml</w:t>
        </w:r>
      </w:hyperlink>
    </w:p>
    <w:p w:rsidR="00845A91" w:rsidRDefault="00A643CD">
      <w:pPr>
        <w:ind w:left="100"/>
        <w:rPr>
          <w:sz w:val="20"/>
        </w:rPr>
      </w:pPr>
      <w:r>
        <w:pict>
          <v:line id="_x0000_s1028" style="position:absolute;left:0;text-align:left;z-index:-15798272;mso-position-horizontal-relative:page" from="1in,6.05pt" to="75pt,6.05pt" strokecolor="#1154cc" strokeweight="1pt">
            <w10:wrap anchorx="page"/>
          </v:line>
        </w:pict>
      </w:r>
      <w:r>
        <w:rPr>
          <w:color w:val="1154CC"/>
          <w:spacing w:val="-2"/>
          <w:sz w:val="20"/>
          <w:vertAlign w:val="superscript"/>
        </w:rPr>
        <w:t>6</w:t>
      </w:r>
      <w:hyperlink r:id="rId19">
        <w:r>
          <w:rPr>
            <w:color w:val="1154CC"/>
            <w:spacing w:val="-2"/>
            <w:sz w:val="20"/>
            <w:u w:val="thick" w:color="1154CC"/>
          </w:rPr>
          <w:t>https://www.observador.cl/barra-de-coquimbo-unido-trato-de-asaltar-botilleria-en-el-melon-tras-</w:t>
        </w:r>
        <w:r>
          <w:rPr>
            <w:color w:val="1154CC"/>
            <w:spacing w:val="-5"/>
            <w:sz w:val="20"/>
            <w:u w:val="thick" w:color="1154CC"/>
          </w:rPr>
          <w:t>vi</w:t>
        </w:r>
      </w:hyperlink>
    </w:p>
    <w:p w:rsidR="00845A91" w:rsidRDefault="00A643CD">
      <w:pPr>
        <w:ind w:left="100"/>
        <w:rPr>
          <w:sz w:val="20"/>
        </w:rPr>
      </w:pPr>
      <w:hyperlink r:id="rId20">
        <w:r>
          <w:rPr>
            <w:color w:val="1154CC"/>
            <w:spacing w:val="-2"/>
            <w:sz w:val="20"/>
            <w:u w:val="thick" w:color="1154CC"/>
          </w:rPr>
          <w:t>sitar-estadio-</w:t>
        </w:r>
        <w:r>
          <w:rPr>
            <w:color w:val="1154CC"/>
            <w:spacing w:val="-2"/>
            <w:sz w:val="20"/>
            <w:u w:val="thick" w:color="1154CC"/>
          </w:rPr>
          <w:t>de-la-calera/</w:t>
        </w:r>
      </w:hyperlink>
    </w:p>
    <w:p w:rsidR="00845A91" w:rsidRDefault="00A643CD">
      <w:pPr>
        <w:ind w:left="100"/>
        <w:rPr>
          <w:sz w:val="20"/>
        </w:rPr>
      </w:pPr>
      <w:r>
        <w:pict>
          <v:line id="_x0000_s1027" style="position:absolute;left:0;text-align:left;z-index:-15798784;mso-position-horizontal-relative:page" from="1in,6.35pt" to="75pt,6.35pt" strokecolor="#1154cc" strokeweight="1pt">
            <w10:wrap anchorx="page"/>
          </v:line>
        </w:pict>
      </w:r>
      <w:r>
        <w:rPr>
          <w:color w:val="1154CC"/>
          <w:spacing w:val="-2"/>
          <w:sz w:val="20"/>
          <w:vertAlign w:val="superscript"/>
        </w:rPr>
        <w:t>7</w:t>
      </w:r>
      <w:hyperlink r:id="rId21">
        <w:r>
          <w:rPr>
            <w:color w:val="1154CC"/>
            <w:spacing w:val="-2"/>
            <w:sz w:val="20"/>
            <w:u w:val="thick" w:color="1154CC"/>
          </w:rPr>
          <w:t>https://www.espn.cl/futbol/chile/nota/_/id/11853556/superclasico-universidad-d</w:t>
        </w:r>
        <w:r>
          <w:rPr>
            <w:color w:val="1154CC"/>
            <w:spacing w:val="-2"/>
            <w:sz w:val="20"/>
            <w:u w:val="thick" w:color="1154CC"/>
          </w:rPr>
          <w:t>e-chile-colo-colo-</w:t>
        </w:r>
        <w:r>
          <w:rPr>
            <w:color w:val="1154CC"/>
            <w:spacing w:val="-10"/>
            <w:sz w:val="20"/>
            <w:u w:val="thick" w:color="1154CC"/>
          </w:rPr>
          <w:t>i</w:t>
        </w:r>
      </w:hyperlink>
    </w:p>
    <w:p w:rsidR="00845A91" w:rsidRDefault="00A643CD">
      <w:pPr>
        <w:ind w:left="100"/>
        <w:rPr>
          <w:sz w:val="20"/>
        </w:rPr>
      </w:pPr>
      <w:hyperlink r:id="rId22">
        <w:r>
          <w:rPr>
            <w:color w:val="1154CC"/>
            <w:spacing w:val="-2"/>
            <w:sz w:val="20"/>
            <w:u w:val="thick" w:color="1154CC"/>
          </w:rPr>
          <w:t>ncidentes-castigo-sancion-tribunal-disciplina</w:t>
        </w:r>
      </w:hyperlink>
    </w:p>
    <w:p w:rsidR="00845A91" w:rsidRDefault="00845A91">
      <w:pPr>
        <w:rPr>
          <w:sz w:val="20"/>
        </w:rPr>
        <w:sectPr w:rsidR="00845A91">
          <w:pgSz w:w="11920" w:h="16840"/>
          <w:pgMar w:top="1360" w:right="1340" w:bottom="1000" w:left="1340" w:header="0" w:footer="802" w:gutter="0"/>
          <w:cols w:space="720"/>
        </w:sectPr>
      </w:pPr>
    </w:p>
    <w:p w:rsidR="00845A91" w:rsidRDefault="00A643CD">
      <w:pPr>
        <w:pStyle w:val="Prrafodelista"/>
        <w:numPr>
          <w:ilvl w:val="0"/>
          <w:numId w:val="2"/>
        </w:numPr>
        <w:tabs>
          <w:tab w:val="left" w:pos="820"/>
        </w:tabs>
        <w:spacing w:before="80"/>
        <w:rPr>
          <w:b/>
        </w:rPr>
      </w:pPr>
      <w:r>
        <w:rPr>
          <w:b/>
          <w:spacing w:val="-2"/>
        </w:rPr>
        <w:lastRenderedPageBreak/>
        <w:t>Fundamento</w:t>
      </w:r>
      <w:r>
        <w:rPr>
          <w:b/>
          <w:spacing w:val="-2"/>
        </w:rPr>
        <w:t>s</w:t>
      </w:r>
    </w:p>
    <w:p w:rsidR="00845A91" w:rsidRDefault="00845A91">
      <w:pPr>
        <w:pStyle w:val="Textoindependiente"/>
        <w:spacing w:before="10"/>
        <w:jc w:val="left"/>
        <w:rPr>
          <w:b/>
          <w:sz w:val="20"/>
        </w:rPr>
      </w:pPr>
    </w:p>
    <w:p w:rsidR="00845A91" w:rsidRDefault="00A643CD">
      <w:pPr>
        <w:pStyle w:val="Textoindependiente"/>
        <w:spacing w:line="276" w:lineRule="auto"/>
        <w:ind w:left="100" w:right="112"/>
      </w:pPr>
      <w:r>
        <w:t>La problemática de la</w:t>
      </w:r>
      <w:r>
        <w:rPr>
          <w:spacing w:val="-4"/>
        </w:rPr>
        <w:t xml:space="preserve"> </w:t>
      </w:r>
      <w:r>
        <w:t>violencia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manifestación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masivos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espectáculos de fútbol profesional es particularmente preocupante. Según se ha señalado por</w:t>
      </w:r>
      <w:r>
        <w:rPr>
          <w:spacing w:val="40"/>
        </w:rPr>
        <w:t xml:space="preserve"> </w:t>
      </w:r>
      <w:r>
        <w:t>especialistas, la violencia en estos eventos, en donde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agrupan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masiva representa un particular riesgo para la vida y la integridad de las personas</w:t>
      </w:r>
      <w:r>
        <w:rPr>
          <w:vertAlign w:val="superscript"/>
        </w:rPr>
        <w:t>8</w:t>
      </w:r>
      <w:r>
        <w:t>.</w:t>
      </w:r>
    </w:p>
    <w:p w:rsidR="00845A91" w:rsidRDefault="00A643CD">
      <w:pPr>
        <w:pStyle w:val="Textoindependiente"/>
        <w:spacing w:before="200" w:line="276" w:lineRule="auto"/>
        <w:ind w:left="100" w:right="113"/>
      </w:pPr>
      <w:r>
        <w:t>Lo anterior exige avanzar en todas aquellas medidas preventivas y represivas que permitan un desarrollo</w:t>
      </w:r>
      <w:r>
        <w:rPr>
          <w:spacing w:val="-3"/>
        </w:rPr>
        <w:t xml:space="preserve"> </w:t>
      </w:r>
      <w:r>
        <w:t>adecuado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espectáculos,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siste</w:t>
      </w:r>
      <w:r>
        <w:t>ma</w:t>
      </w:r>
      <w:r>
        <w:rPr>
          <w:spacing w:val="-3"/>
        </w:rPr>
        <w:t xml:space="preserve"> </w:t>
      </w:r>
      <w:r>
        <w:t>mixto</w:t>
      </w:r>
      <w:r>
        <w:rPr>
          <w:spacing w:val="-3"/>
        </w:rPr>
        <w:t xml:space="preserve"> </w:t>
      </w:r>
      <w:r>
        <w:t>en esta materia cuyas dimensiones funcionen conjuntamente</w:t>
      </w:r>
      <w:r>
        <w:rPr>
          <w:vertAlign w:val="superscript"/>
        </w:rPr>
        <w:t>9</w:t>
      </w:r>
      <w:r>
        <w:t>. Así, el foco debe estar, por una parte, en la prevención y la coordinación efectiva a nivel de organización entre las autoridades públicas y las organizaciones privadas</w:t>
      </w:r>
      <w:r>
        <w:rPr>
          <w:spacing w:val="-5"/>
        </w:rPr>
        <w:t xml:space="preserve"> </w:t>
      </w:r>
      <w:r>
        <w:t>involucradas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otro,</w:t>
      </w:r>
      <w:r>
        <w:rPr>
          <w:spacing w:val="-5"/>
        </w:rPr>
        <w:t xml:space="preserve"> </w:t>
      </w:r>
      <w:r>
        <w:t>complementario, en contar con un marco sancionatorio que responda a la lógica de un modelo represivo de tipo residual con énfasis en la prevención general negativa.</w:t>
      </w:r>
    </w:p>
    <w:p w:rsidR="00845A91" w:rsidRDefault="00A643CD">
      <w:pPr>
        <w:pStyle w:val="Textoindependiente"/>
        <w:spacing w:before="200" w:line="276" w:lineRule="auto"/>
        <w:ind w:left="100" w:right="112"/>
      </w:pPr>
      <w:r>
        <w:t>Dicho lo anterior, así como existe la necesidad de revisar la institucionalidad vige</w:t>
      </w:r>
      <w:r>
        <w:t>nte con miras a rediseñar el modelo preventivo para su mejor funcionamiento en aspectos como la interoperatividad de datos y la coordinación de las distintas entidades involucradas, en</w:t>
      </w:r>
      <w:r>
        <w:rPr>
          <w:spacing w:val="-3"/>
        </w:rPr>
        <w:t xml:space="preserve"> </w:t>
      </w:r>
      <w:r>
        <w:t>esta materia también se debe poner en relieve la necesidad de contar co</w:t>
      </w:r>
      <w:r>
        <w:t>n sanciones que efectivamente tengan un carácter disuasorio. Siguiendo estándares como los sentados en el “Convenio de Estrasburgo” del año 1985 en Europa, parte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correcto</w:t>
      </w:r>
      <w:r>
        <w:rPr>
          <w:spacing w:val="-3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 un sistema integral antiviolencia depende de contar con sanci</w:t>
      </w:r>
      <w:r>
        <w:t>ones adecuadas, reiterando el foco en la prevención general negativa.</w:t>
      </w:r>
    </w:p>
    <w:p w:rsidR="00845A91" w:rsidRDefault="00A643CD">
      <w:pPr>
        <w:pStyle w:val="Prrafodelista"/>
        <w:numPr>
          <w:ilvl w:val="0"/>
          <w:numId w:val="2"/>
        </w:numPr>
        <w:tabs>
          <w:tab w:val="left" w:pos="820"/>
        </w:tabs>
        <w:rPr>
          <w:b/>
        </w:rPr>
      </w:pPr>
      <w:r>
        <w:rPr>
          <w:b/>
        </w:rPr>
        <w:t>Idea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matriz</w:t>
      </w:r>
    </w:p>
    <w:p w:rsidR="00845A91" w:rsidRDefault="00845A91">
      <w:pPr>
        <w:pStyle w:val="Textoindependiente"/>
        <w:spacing w:before="10"/>
        <w:jc w:val="left"/>
        <w:rPr>
          <w:b/>
          <w:sz w:val="20"/>
        </w:rPr>
      </w:pPr>
    </w:p>
    <w:p w:rsidR="00845A91" w:rsidRDefault="00A643CD">
      <w:pPr>
        <w:pStyle w:val="Textoindependiente"/>
        <w:spacing w:line="276" w:lineRule="auto"/>
        <w:ind w:left="100" w:right="116"/>
      </w:pPr>
      <w:r>
        <w:t>Modificar la ley N°19.327 de derechos y deberes en los espectáculos de fútbol profesional para aumentar las multas aplicables ante infracciones administrativas a la legislac</w:t>
      </w:r>
      <w:r>
        <w:t>ión aplicable en materia de derechos 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asistentes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espectáculos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fútbol</w:t>
      </w:r>
      <w:r>
        <w:rPr>
          <w:spacing w:val="-3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y de deberes de organizadores, asociaciones y dirigentes de fútbol profesional, que se</w:t>
      </w:r>
      <w:r>
        <w:rPr>
          <w:spacing w:val="40"/>
        </w:rPr>
        <w:t xml:space="preserve"> </w:t>
      </w:r>
      <w:r>
        <w:t>constaten en el marco de eventos organizados por estos últimos.</w:t>
      </w:r>
    </w:p>
    <w:p w:rsidR="00845A91" w:rsidRDefault="00A643CD">
      <w:pPr>
        <w:pStyle w:val="Prrafodelista"/>
        <w:numPr>
          <w:ilvl w:val="0"/>
          <w:numId w:val="2"/>
        </w:numPr>
        <w:tabs>
          <w:tab w:val="left" w:pos="820"/>
        </w:tabs>
        <w:rPr>
          <w:b/>
        </w:rPr>
      </w:pPr>
      <w:r>
        <w:rPr>
          <w:b/>
          <w:spacing w:val="-2"/>
        </w:rPr>
        <w:t>Contenido</w:t>
      </w:r>
    </w:p>
    <w:p w:rsidR="00845A91" w:rsidRDefault="00845A91">
      <w:pPr>
        <w:pStyle w:val="Textoindependiente"/>
        <w:spacing w:before="10"/>
        <w:jc w:val="left"/>
        <w:rPr>
          <w:b/>
          <w:sz w:val="20"/>
        </w:rPr>
      </w:pPr>
    </w:p>
    <w:p w:rsidR="00845A91" w:rsidRDefault="00A643CD">
      <w:pPr>
        <w:pStyle w:val="Textoindependiente"/>
        <w:spacing w:line="276" w:lineRule="auto"/>
        <w:ind w:left="100" w:right="116"/>
      </w:pPr>
      <w:r>
        <w:t>El presente proyecto de ley busca reforzar el rol disuasorio de las sanciones</w:t>
      </w:r>
      <w:r>
        <w:rPr>
          <w:spacing w:val="-3"/>
        </w:rPr>
        <w:t xml:space="preserve"> </w:t>
      </w:r>
      <w:r>
        <w:t xml:space="preserve">administrativas </w:t>
      </w:r>
      <w:r>
        <w:t>que la ley N°19.327 contempla aumentando los</w:t>
      </w:r>
      <w:r>
        <w:rPr>
          <w:spacing w:val="-3"/>
        </w:rPr>
        <w:t xml:space="preserve"> </w:t>
      </w:r>
      <w:r>
        <w:t>rangos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exponen</w:t>
      </w:r>
      <w:r>
        <w:rPr>
          <w:spacing w:val="-3"/>
        </w:rPr>
        <w:t xml:space="preserve"> </w:t>
      </w:r>
      <w:r>
        <w:t>las organizaciones</w:t>
      </w:r>
      <w:r>
        <w:rPr>
          <w:spacing w:val="-5"/>
        </w:rPr>
        <w:t xml:space="preserve"> </w:t>
      </w:r>
      <w:r>
        <w:t>deportivas</w:t>
      </w:r>
      <w:r>
        <w:rPr>
          <w:spacing w:val="-5"/>
        </w:rPr>
        <w:t xml:space="preserve"> </w:t>
      </w:r>
      <w:r>
        <w:t>profesionales,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representantes</w:t>
      </w:r>
      <w:r>
        <w:rPr>
          <w:spacing w:val="-5"/>
        </w:rPr>
        <w:t xml:space="preserve"> </w:t>
      </w:r>
      <w:r>
        <w:t>legales,</w:t>
      </w:r>
      <w:r>
        <w:rPr>
          <w:spacing w:val="-5"/>
        </w:rPr>
        <w:t xml:space="preserve"> </w:t>
      </w:r>
      <w:r>
        <w:t>dirigentes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asociaciones de fútbol profesional según las infracciones administrativas de que se</w:t>
      </w:r>
      <w:r>
        <w:t xml:space="preserve"> trate.</w:t>
      </w:r>
    </w:p>
    <w:p w:rsidR="00845A91" w:rsidRDefault="00A643CD">
      <w:pPr>
        <w:pStyle w:val="Textoindependiente"/>
        <w:spacing w:before="200" w:line="276" w:lineRule="auto"/>
        <w:ind w:left="100" w:right="113"/>
      </w:pPr>
      <w:r>
        <w:t>Mediante un artículo único se proponen modificaciones en los artículos 18 y 25 de la ley N°19.327. En el caso del artículo 18, resulta relevante su modificación toda vez que dicha norma</w:t>
      </w:r>
      <w:r>
        <w:rPr>
          <w:spacing w:val="-4"/>
        </w:rPr>
        <w:t xml:space="preserve"> </w:t>
      </w:r>
      <w:r>
        <w:t>sanciona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multa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negligencia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descuido</w:t>
      </w:r>
      <w:r>
        <w:rPr>
          <w:spacing w:val="-4"/>
        </w:rPr>
        <w:t xml:space="preserve"> </w:t>
      </w:r>
      <w:r>
        <w:t>culpable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</w:t>
      </w:r>
      <w:r>
        <w:t>epresentantes</w:t>
      </w:r>
      <w:r>
        <w:rPr>
          <w:spacing w:val="-4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de los clubes que participen de un espectáculo deportivo en la medida en que tan actitud contribuya a la comisión de los delitos que la ley contempla en sus artículos 12, 13 y 14.</w:t>
      </w:r>
    </w:p>
    <w:p w:rsidR="00845A91" w:rsidRDefault="00A643CD">
      <w:pPr>
        <w:pStyle w:val="Textoindependiente"/>
        <w:spacing w:before="200" w:line="276" w:lineRule="auto"/>
        <w:ind w:left="100" w:right="114"/>
      </w:pPr>
      <w:r>
        <w:t>En adición a lo anterior, se proponen modificaciones a</w:t>
      </w:r>
      <w:r>
        <w:t>l artículo 25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sentidos. Por un lado, se busca reestructurar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rangos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multas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contempla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primero</w:t>
      </w:r>
      <w:r>
        <w:rPr>
          <w:spacing w:val="-3"/>
        </w:rPr>
        <w:t xml:space="preserve"> </w:t>
      </w:r>
      <w:r>
        <w:t>del</w:t>
      </w:r>
    </w:p>
    <w:p w:rsidR="00845A91" w:rsidRDefault="00A643CD">
      <w:pPr>
        <w:pStyle w:val="Textoindependiente"/>
        <w:spacing w:before="8"/>
        <w:jc w:val="left"/>
        <w:rPr>
          <w:sz w:val="16"/>
        </w:rPr>
      </w:pPr>
      <w:r>
        <w:pict>
          <v:shape id="docshape4" o:spid="_x0000_s1026" style="position:absolute;margin-left:1in;margin-top:10.75pt;width:2in;height:.1pt;z-index:-15724032;mso-wrap-distance-left:0;mso-wrap-distance-right:0;mso-position-horizontal-relative:page" coordorigin="1440,215" coordsize="2880,0" path="m1440,215r2880,e" filled="f">
            <v:path arrowok="t"/>
            <w10:wrap type="topAndBottom" anchorx="page"/>
          </v:shape>
        </w:pict>
      </w:r>
    </w:p>
    <w:p w:rsidR="00845A91" w:rsidRDefault="00A643CD">
      <w:pPr>
        <w:spacing w:before="104"/>
        <w:ind w:left="100" w:right="123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Cáceres Marcela. Ley de violencia en los estadios N°19.327. Aspectos principales y evaluación de la norma. Asesoría Técnica Parlamentaria de la Biblioteca del Congreso Nacional de Chile. Junio de 2022, p. 10.</w:t>
      </w:r>
    </w:p>
    <w:p w:rsidR="00845A91" w:rsidRDefault="00A643CD">
      <w:pPr>
        <w:ind w:left="10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5"/>
          <w:sz w:val="20"/>
        </w:rPr>
        <w:t xml:space="preserve"> </w:t>
      </w:r>
      <w:r>
        <w:rPr>
          <w:sz w:val="20"/>
        </w:rPr>
        <w:t>Ídem,</w:t>
      </w:r>
      <w:r>
        <w:rPr>
          <w:spacing w:val="-5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11.</w:t>
      </w:r>
    </w:p>
    <w:p w:rsidR="00845A91" w:rsidRDefault="00845A91">
      <w:pPr>
        <w:jc w:val="both"/>
        <w:rPr>
          <w:sz w:val="20"/>
        </w:rPr>
        <w:sectPr w:rsidR="00845A91">
          <w:pgSz w:w="11920" w:h="16840"/>
          <w:pgMar w:top="1360" w:right="1340" w:bottom="1000" w:left="1340" w:header="0" w:footer="802" w:gutter="0"/>
          <w:cols w:space="720"/>
        </w:sectPr>
      </w:pPr>
    </w:p>
    <w:p w:rsidR="00845A91" w:rsidRDefault="00A643CD">
      <w:pPr>
        <w:pStyle w:val="Textoindependiente"/>
        <w:spacing w:before="80" w:line="276" w:lineRule="auto"/>
        <w:ind w:left="100" w:right="124"/>
      </w:pPr>
      <w:r>
        <w:t xml:space="preserve">artículo 25 de la ley en sus numerales 1, 2, 3 y 4 para graduar de mejor manera la diferenciación de las sanciones de acuerdo a su gravedad y el tipo de espectáculo en el cual suceden, según las categorías de espectáculos de fútbol que establece la ley su </w:t>
      </w:r>
      <w:r>
        <w:t>reglamento.</w:t>
      </w:r>
    </w:p>
    <w:p w:rsidR="00845A91" w:rsidRDefault="00A643CD">
      <w:pPr>
        <w:pStyle w:val="Textoindependiente"/>
        <w:spacing w:before="200" w:line="276" w:lineRule="auto"/>
        <w:ind w:left="100" w:right="115"/>
      </w:pPr>
      <w:r>
        <w:t>Por otro y en el</w:t>
      </w:r>
      <w:r>
        <w:rPr>
          <w:spacing w:val="-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sentido,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reestructurar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procedencia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que se establecen en el inciso tercero de dicha norma, fundamentalmente para sistematizarlas y en particular elevar la sanción ante la infracción de la obl</w:t>
      </w:r>
      <w:r>
        <w:t>igación contenida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 xml:space="preserve">del artículo 29, relativa al deber de la entidad superior del fútbol profesional de remitir a la Subsecretaría de Prevención del Delito del Ministerio del Interior y Seguridad Pública las decisiones de los organizadores de </w:t>
      </w:r>
      <w:r>
        <w:t>espectáculos deportivos de fútbol profesional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 con el ejercicio del derecho de admisión. Esto último, dada la importancia de propiciar una mayor coordinación y organización entre las distintas actorías de este ámbito.</w:t>
      </w:r>
    </w:p>
    <w:p w:rsidR="00845A91" w:rsidRDefault="00A643CD">
      <w:pPr>
        <w:pStyle w:val="Textoindependiente"/>
        <w:spacing w:before="200" w:line="276" w:lineRule="auto"/>
        <w:ind w:left="100" w:right="126"/>
      </w:pPr>
      <w:r>
        <w:t>En razón de la</w:t>
      </w:r>
      <w:r>
        <w:rPr>
          <w:spacing w:val="-3"/>
        </w:rPr>
        <w:t xml:space="preserve"> </w:t>
      </w:r>
      <w:r>
        <w:t>finalidad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proyecto,</w:t>
      </w:r>
      <w:r>
        <w:rPr>
          <w:spacing w:val="-3"/>
        </w:rPr>
        <w:t xml:space="preserve"> </w:t>
      </w:r>
      <w:r>
        <w:t>solicito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remiti</w:t>
      </w:r>
      <w:r>
        <w:t>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de Deportes y Recreación.</w:t>
      </w:r>
    </w:p>
    <w:p w:rsidR="00845A91" w:rsidRDefault="00A643CD">
      <w:pPr>
        <w:pStyle w:val="Textoindependiente"/>
        <w:spacing w:before="200"/>
        <w:ind w:left="100"/>
      </w:pP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razones</w:t>
      </w:r>
      <w:r>
        <w:rPr>
          <w:spacing w:val="-6"/>
        </w:rPr>
        <w:t xml:space="preserve"> </w:t>
      </w:r>
      <w:r>
        <w:t>anteriormente</w:t>
      </w:r>
      <w:r>
        <w:rPr>
          <w:spacing w:val="-6"/>
        </w:rPr>
        <w:t xml:space="preserve"> </w:t>
      </w:r>
      <w:r>
        <w:t>expuestas,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2"/>
        </w:rPr>
        <w:t>siguiente:</w:t>
      </w:r>
    </w:p>
    <w:p w:rsidR="00845A91" w:rsidRDefault="00845A91">
      <w:pPr>
        <w:pStyle w:val="Textoindependiente"/>
        <w:jc w:val="left"/>
        <w:rPr>
          <w:sz w:val="24"/>
        </w:rPr>
      </w:pPr>
    </w:p>
    <w:p w:rsidR="00845A91" w:rsidRDefault="00845A91">
      <w:pPr>
        <w:pStyle w:val="Textoindependiente"/>
        <w:jc w:val="left"/>
        <w:rPr>
          <w:sz w:val="24"/>
        </w:rPr>
      </w:pPr>
    </w:p>
    <w:p w:rsidR="00845A91" w:rsidRDefault="00A643CD">
      <w:pPr>
        <w:pStyle w:val="Textoindependiente"/>
        <w:spacing w:before="179"/>
        <w:ind w:left="3349" w:right="3361"/>
        <w:jc w:val="center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LEY:</w:t>
      </w:r>
    </w:p>
    <w:p w:rsidR="00845A91" w:rsidRDefault="00845A91">
      <w:pPr>
        <w:pStyle w:val="Textoindependiente"/>
        <w:jc w:val="left"/>
        <w:rPr>
          <w:sz w:val="24"/>
        </w:rPr>
      </w:pPr>
    </w:p>
    <w:p w:rsidR="00845A91" w:rsidRDefault="00845A91">
      <w:pPr>
        <w:pStyle w:val="Textoindependiente"/>
        <w:jc w:val="left"/>
        <w:rPr>
          <w:sz w:val="24"/>
        </w:rPr>
      </w:pPr>
    </w:p>
    <w:p w:rsidR="00845A91" w:rsidRDefault="00A643CD">
      <w:pPr>
        <w:pStyle w:val="Textoindependiente"/>
        <w:spacing w:before="180" w:line="276" w:lineRule="auto"/>
        <w:ind w:left="100" w:right="124"/>
      </w:pPr>
      <w:r>
        <w:t>Artículo único: Introdúcense las siguientes modificaciones en la ley N°19.327 de derechos y deberes en los espectáculos de fú</w:t>
      </w:r>
      <w:r>
        <w:t>tbol profesional:</w:t>
      </w:r>
    </w:p>
    <w:p w:rsidR="00845A91" w:rsidRDefault="00A643CD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115"/>
        <w:jc w:val="both"/>
      </w:pPr>
      <w:r>
        <w:t>Reemplácese en el inciso primero de su artículo 18 la frase</w:t>
      </w:r>
      <w:r>
        <w:rPr>
          <w:spacing w:val="-3"/>
        </w:rPr>
        <w:t xml:space="preserve"> </w:t>
      </w:r>
      <w:r>
        <w:t>“cien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trescientas”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expresión “doscientas a cuatrocientas cincuenta”.</w:t>
      </w:r>
    </w:p>
    <w:p w:rsidR="00845A91" w:rsidRDefault="00A643CD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117"/>
        <w:jc w:val="both"/>
      </w:pPr>
      <w:r>
        <w:t>Sustitúyase el numeral 1) del inciso primero de su artículo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siguiente:</w:t>
      </w:r>
      <w:r>
        <w:rPr>
          <w:spacing w:val="-3"/>
        </w:rPr>
        <w:t xml:space="preserve"> </w:t>
      </w:r>
      <w:r>
        <w:t>“1)</w:t>
      </w:r>
      <w:r>
        <w:rPr>
          <w:spacing w:val="-3"/>
        </w:rPr>
        <w:t xml:space="preserve"> </w:t>
      </w:r>
      <w:r>
        <w:t>En espectáculos</w:t>
      </w:r>
      <w:r>
        <w:t xml:space="preserve"> categoría A, las contravenciones menos graves serán sancionadas con multa de 50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tributarias</w:t>
      </w:r>
      <w:r>
        <w:rPr>
          <w:spacing w:val="-3"/>
        </w:rPr>
        <w:t xml:space="preserve"> </w:t>
      </w:r>
      <w:r>
        <w:t>mensuales;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graves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501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 xml:space="preserve">unidades tributarias mensuales, y las gravísimas de 1001 a 1500 unidades tributarias </w:t>
      </w:r>
      <w:r>
        <w:rPr>
          <w:spacing w:val="-2"/>
        </w:rPr>
        <w:t>mensuales.”</w:t>
      </w:r>
    </w:p>
    <w:p w:rsidR="00845A91" w:rsidRDefault="00A643CD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117"/>
        <w:jc w:val="both"/>
      </w:pPr>
      <w:r>
        <w:t>Sustitúyase el numeral 2) del inciso</w:t>
      </w:r>
      <w:r>
        <w:rPr>
          <w:spacing w:val="-3"/>
        </w:rPr>
        <w:t xml:space="preserve"> </w:t>
      </w:r>
      <w:r>
        <w:t>primero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siguiente:</w:t>
      </w:r>
      <w:r>
        <w:rPr>
          <w:spacing w:val="-3"/>
        </w:rPr>
        <w:t xml:space="preserve"> </w:t>
      </w:r>
      <w:r>
        <w:t>“2)</w:t>
      </w:r>
      <w:r>
        <w:rPr>
          <w:spacing w:val="-3"/>
        </w:rPr>
        <w:t xml:space="preserve"> </w:t>
      </w:r>
      <w:r>
        <w:t>En espectáculos categoría B, las contravenciones menos graves serán sancio</w:t>
      </w:r>
      <w:r>
        <w:t>nadas con multa de 40 a 250 unidades tributarias mensuales; las graves de 251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unidades tributarias mensuales, y las gravísimas de 501 a 750 unidades tributarias mensuales.”</w:t>
      </w:r>
    </w:p>
    <w:p w:rsidR="00845A91" w:rsidRDefault="00A643CD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116"/>
        <w:jc w:val="both"/>
      </w:pPr>
      <w:r>
        <w:t>Sustitúyase el numeral 3) del inciso primero de su artículo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siguiente:”3)</w:t>
      </w:r>
      <w:r>
        <w:rPr>
          <w:spacing w:val="-3"/>
        </w:rPr>
        <w:t xml:space="preserve"> </w:t>
      </w:r>
      <w:r>
        <w:t>En espectáculos categoría C, las contravenciones menos graves serán sancionadas con multa de 20 a 50 unidades tributarias mensuales; las graves de 51 a 100 unidades tributa</w:t>
      </w:r>
      <w:r>
        <w:t>rias mensuales, y las gravísimas de 100 a 200 unidades tributarias mensuales.</w:t>
      </w:r>
    </w:p>
    <w:p w:rsidR="00845A91" w:rsidRDefault="00A643CD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115"/>
        <w:jc w:val="both"/>
      </w:pPr>
      <w:r>
        <w:t>Sustitúyase el numeral 4) del inciso primero de su artículo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siguiente:”4)</w:t>
      </w:r>
      <w:r>
        <w:rPr>
          <w:spacing w:val="-3"/>
        </w:rPr>
        <w:t xml:space="preserve"> </w:t>
      </w:r>
      <w:r>
        <w:t>En espectáculos categoría D, las contravenciones menos graves serán sancionadas con multa de 2</w:t>
      </w:r>
      <w:r>
        <w:t xml:space="preserve"> a 7 unidades tributarias mensuales; las graves de 8 a 15 unidades tributarias mensuales, y las gravísimas de 16 a 25 unidades tributarias mensuales.</w:t>
      </w:r>
    </w:p>
    <w:p w:rsidR="00845A91" w:rsidRDefault="00845A91">
      <w:pPr>
        <w:spacing w:line="276" w:lineRule="auto"/>
        <w:jc w:val="both"/>
        <w:sectPr w:rsidR="00845A91">
          <w:pgSz w:w="11920" w:h="16840"/>
          <w:pgMar w:top="1360" w:right="1340" w:bottom="1000" w:left="1340" w:header="0" w:footer="802" w:gutter="0"/>
          <w:cols w:space="720"/>
        </w:sectPr>
      </w:pPr>
    </w:p>
    <w:p w:rsidR="00845A91" w:rsidRDefault="00A643CD">
      <w:pPr>
        <w:pStyle w:val="Prrafodelista"/>
        <w:numPr>
          <w:ilvl w:val="0"/>
          <w:numId w:val="1"/>
        </w:numPr>
        <w:tabs>
          <w:tab w:val="left" w:pos="820"/>
        </w:tabs>
        <w:spacing w:before="80" w:line="276" w:lineRule="auto"/>
        <w:ind w:right="114"/>
        <w:jc w:val="both"/>
      </w:pPr>
      <w:r>
        <w:t>Reemplácese el inciso tercero 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siguiente:</w:t>
      </w:r>
      <w:r>
        <w:rPr>
          <w:spacing w:val="-3"/>
        </w:rPr>
        <w:t xml:space="preserve"> </w:t>
      </w:r>
      <w:r>
        <w:t>“Las</w:t>
      </w:r>
      <w:r>
        <w:rPr>
          <w:spacing w:val="-3"/>
        </w:rPr>
        <w:t xml:space="preserve"> </w:t>
      </w:r>
      <w:r>
        <w:t>infracciones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 dispuesto en la letra f) del artículo 3º, en el inciso segundo del artículo 9º y en el artículo 20 serán sancionadas con multa de 50 a 150</w:t>
      </w:r>
      <w:r>
        <w:rPr>
          <w:spacing w:val="-3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tributarias</w:t>
      </w:r>
      <w:r>
        <w:rPr>
          <w:spacing w:val="-3"/>
        </w:rPr>
        <w:t xml:space="preserve"> </w:t>
      </w:r>
      <w:r>
        <w:t>mensuales</w:t>
      </w:r>
      <w:r>
        <w:rPr>
          <w:spacing w:val="4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contravenciones a lo establecido en la letra d) del artículo 29, en el inciso</w:t>
      </w:r>
      <w:r>
        <w:t xml:space="preserve"> final del artículo 3º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primero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9º,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unidades tributarias mensuales.</w:t>
      </w:r>
    </w:p>
    <w:p w:rsidR="00845A91" w:rsidRDefault="00845A91">
      <w:pPr>
        <w:pStyle w:val="Textoindependiente"/>
        <w:jc w:val="left"/>
        <w:rPr>
          <w:sz w:val="24"/>
        </w:rPr>
      </w:pPr>
    </w:p>
    <w:p w:rsidR="00845A91" w:rsidRDefault="00845A91">
      <w:pPr>
        <w:pStyle w:val="Textoindependiente"/>
        <w:jc w:val="left"/>
        <w:rPr>
          <w:sz w:val="24"/>
        </w:rPr>
      </w:pPr>
    </w:p>
    <w:p w:rsidR="00845A91" w:rsidRDefault="00845A91">
      <w:pPr>
        <w:pStyle w:val="Textoindependiente"/>
        <w:jc w:val="left"/>
        <w:rPr>
          <w:sz w:val="24"/>
        </w:rPr>
      </w:pPr>
    </w:p>
    <w:p w:rsidR="00845A91" w:rsidRDefault="00845A91">
      <w:pPr>
        <w:pStyle w:val="Textoindependiente"/>
        <w:jc w:val="left"/>
        <w:rPr>
          <w:sz w:val="24"/>
        </w:rPr>
      </w:pPr>
    </w:p>
    <w:p w:rsidR="00845A91" w:rsidRDefault="00845A91">
      <w:pPr>
        <w:pStyle w:val="Textoindependiente"/>
        <w:jc w:val="left"/>
        <w:rPr>
          <w:sz w:val="24"/>
        </w:rPr>
      </w:pPr>
    </w:p>
    <w:p w:rsidR="00845A91" w:rsidRDefault="00845A91">
      <w:pPr>
        <w:pStyle w:val="Textoindependiente"/>
        <w:spacing w:before="3"/>
        <w:jc w:val="left"/>
        <w:rPr>
          <w:sz w:val="26"/>
        </w:rPr>
      </w:pPr>
    </w:p>
    <w:p w:rsidR="00845A91" w:rsidRDefault="00A643CD">
      <w:pPr>
        <w:ind w:left="3349" w:right="3361"/>
        <w:jc w:val="center"/>
        <w:rPr>
          <w:b/>
        </w:rPr>
      </w:pPr>
      <w:r>
        <w:rPr>
          <w:b/>
        </w:rPr>
        <w:t>Lorena</w:t>
      </w:r>
      <w:r>
        <w:rPr>
          <w:b/>
          <w:spacing w:val="-6"/>
        </w:rPr>
        <w:t xml:space="preserve"> </w:t>
      </w:r>
      <w:r>
        <w:rPr>
          <w:b/>
        </w:rPr>
        <w:t>Fries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Monleón</w:t>
      </w:r>
    </w:p>
    <w:p w:rsidR="00845A91" w:rsidRDefault="00845A91">
      <w:pPr>
        <w:pStyle w:val="Textoindependiente"/>
        <w:spacing w:before="10"/>
        <w:jc w:val="left"/>
        <w:rPr>
          <w:b/>
          <w:sz w:val="20"/>
        </w:rPr>
      </w:pPr>
    </w:p>
    <w:p w:rsidR="00845A91" w:rsidRDefault="00A643CD">
      <w:pPr>
        <w:ind w:left="3315"/>
        <w:rPr>
          <w:b/>
        </w:rPr>
      </w:pPr>
      <w:r>
        <w:rPr>
          <w:b/>
        </w:rPr>
        <w:t>H.</w:t>
      </w:r>
      <w:r>
        <w:rPr>
          <w:b/>
          <w:spacing w:val="-6"/>
        </w:rPr>
        <w:t xml:space="preserve"> </w:t>
      </w:r>
      <w:r>
        <w:rPr>
          <w:b/>
        </w:rPr>
        <w:t>Diputada</w:t>
      </w:r>
      <w:r>
        <w:rPr>
          <w:b/>
          <w:spacing w:val="-6"/>
        </w:rPr>
        <w:t xml:space="preserve"> </w:t>
      </w:r>
      <w:r>
        <w:rPr>
          <w:b/>
        </w:rPr>
        <w:t>distrito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10</w:t>
      </w:r>
    </w:p>
    <w:sectPr w:rsidR="00845A91">
      <w:pgSz w:w="11920" w:h="16840"/>
      <w:pgMar w:top="1360" w:right="1340" w:bottom="1000" w:left="1340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3CD" w:rsidRDefault="00A643CD">
      <w:r>
        <w:separator/>
      </w:r>
    </w:p>
  </w:endnote>
  <w:endnote w:type="continuationSeparator" w:id="0">
    <w:p w:rsidR="00A643CD" w:rsidRDefault="00A6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5A91" w:rsidRDefault="00A643CD">
    <w:pPr>
      <w:pStyle w:val="Textoindependiente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4.15pt;margin-top:790.9pt;width:13.15pt;height:14.5pt;z-index:-251658752;mso-position-horizontal-relative:page;mso-position-vertical-relative:page" filled="f" stroked="f">
          <v:textbox inset="0,0,0,0">
            <w:txbxContent>
              <w:p w:rsidR="00845A91" w:rsidRDefault="00A643CD">
                <w:pPr>
                  <w:pStyle w:val="Textoindependiente"/>
                  <w:spacing w:before="2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3CD" w:rsidRDefault="00A643CD">
      <w:r>
        <w:separator/>
      </w:r>
    </w:p>
  </w:footnote>
  <w:footnote w:type="continuationSeparator" w:id="0">
    <w:p w:rsidR="00A643CD" w:rsidRDefault="00A6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CDD"/>
    <w:multiLevelType w:val="hybridMultilevel"/>
    <w:tmpl w:val="32346CBC"/>
    <w:lvl w:ilvl="0" w:tplc="FC304070">
      <w:start w:val="1"/>
      <w:numFmt w:val="decimal"/>
      <w:lvlText w:val="%1."/>
      <w:lvlJc w:val="left"/>
      <w:pPr>
        <w:ind w:left="82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346C43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0594544C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81F6414A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09A66CF8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F32A1E32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E90C20B2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B860AD50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5702794C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4E44821"/>
    <w:multiLevelType w:val="hybridMultilevel"/>
    <w:tmpl w:val="CC601442"/>
    <w:lvl w:ilvl="0" w:tplc="975417B4">
      <w:start w:val="1"/>
      <w:numFmt w:val="decimal"/>
      <w:lvlText w:val="%1."/>
      <w:lvlJc w:val="left"/>
      <w:pPr>
        <w:ind w:left="820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0AC3B2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AF9EBA42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1862B06C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C6006E68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0414C0F0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3808E5B8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5C1C3088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1D164C34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A91"/>
    <w:rsid w:val="00752AC7"/>
    <w:rsid w:val="00845A91"/>
    <w:rsid w:val="00A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856BFCF-C254-4DF4-B469-D5F93581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basedOn w:val="Normal"/>
    <w:uiPriority w:val="1"/>
    <w:qFormat/>
    <w:pPr>
      <w:spacing w:before="200"/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ercera.com/el-deportivo/noticia/oficial-el-clasico-universitario-fue-suspendido-por-los-graves-incidentes-en-concepcion/TG7W36SIPJBOFCKLZMZHRIEHRE/" TargetMode="External"/><Relationship Id="rId13" Type="http://schemas.openxmlformats.org/officeDocument/2006/relationships/hyperlink" Target="https://www.t13.cl/noticia/deportest13/suspenden-clasico-universitario-delegado-confirma-cuatro-arbitro-otras-personas-30-4-2023" TargetMode="External"/><Relationship Id="rId18" Type="http://schemas.openxmlformats.org/officeDocument/2006/relationships/hyperlink" Target="https://www.biobiochile.cl/noticias/deportes/futbol/colo-colo/2023/04/20/estos-no-son-hinchas-colo-colo-difunde-fotos-de-barras-que-pelearon-en-pedrero-y-anuncia-querellas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spn.cl/futbol/chile/nota/_/id/11853556/superclasico-universidad-de-chile-colo-colo-incidentes-castigo-sancion-tribunal-disciplin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t13.cl/noticia/deportest13/suspenden-clasico-universitario-delegado-confirma-cuatro-arbitro-otras-personas-30-4-2023" TargetMode="External"/><Relationship Id="rId17" Type="http://schemas.openxmlformats.org/officeDocument/2006/relationships/hyperlink" Target="https://www.biobiochile.cl/noticias/deportes/futbol/colo-colo/2023/04/20/estos-no-son-hinchas-colo-colo-difunde-fotos-de-barras-que-pelearon-en-pedrero-y-anuncia-querellas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airelibre.cl/noticias/deportes/copa-libertadores/colo-colo/informe-de-la-conmebol-consigno-bengalas-invasion-y-peleas-en-el-colo/2023-04-25/173436.html" TargetMode="External"/><Relationship Id="rId20" Type="http://schemas.openxmlformats.org/officeDocument/2006/relationships/hyperlink" Target="https://www.observador.cl/barra-de-coquimbo-unido-trato-de-asaltar-botilleria-en-el-melon-tras-visitar-estadio-de-la-caler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obiochile.cl/noticias/nacional/region-del-bio-bio/2023/04/30/clasico-universitario-termina-con-7-detenidos-tras-incidentes-que-obligaron-a-suspender-el-partido.s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lairelibre.cl/noticias/deportes/copa-libertadores/colo-colo/informe-de-la-conmebol-consigno-bengalas-invasion-y-peleas-en-el-colo/2023-04-25/17343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iobiochile.cl/noticias/nacional/region-del-bio-bio/2023/04/30/clasico-universitario-termina-con-7-detenidos-tras-incidentes-que-obligaron-a-suspender-el-partido.shtml" TargetMode="External"/><Relationship Id="rId19" Type="http://schemas.openxmlformats.org/officeDocument/2006/relationships/hyperlink" Target="https://www.observador.cl/barra-de-coquimbo-unido-trato-de-asaltar-botilleria-en-el-melon-tras-visitar-estadio-de-la-cale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ercera.com/el-deportivo/noticia/oficial-el-clasico-universitario-fue-suspendido-por-los-graves-incidentes-en-concepcion/TG7W36SIPJBOFCKLZMZHRIEHRE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espn.cl/futbol/chile/nota/_/id/11853556/superclasico-universidad-de-chile-colo-colo-incidentes-castigo-sancion-tribunal-discipl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2423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multas organizadores espect fútbol 1.0</dc:title>
  <dc:creator>Guillermo Diaz Vallejos</dc:creator>
  <cp:lastModifiedBy>Guillermo Diaz Vallejos</cp:lastModifiedBy>
  <cp:revision>1</cp:revision>
  <dcterms:created xsi:type="dcterms:W3CDTF">2023-05-09T21:00:00Z</dcterms:created>
  <dcterms:modified xsi:type="dcterms:W3CDTF">2023-05-10T20:35:00Z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</Properties>
</file>