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F1E" w:rsidRDefault="004A4F1E">
      <w:pPr>
        <w:pStyle w:val="Textoindependiente"/>
        <w:spacing w:before="8"/>
        <w:rPr>
          <w:rFonts w:ascii="Times New Roman"/>
          <w:sz w:val="28"/>
        </w:rPr>
      </w:pPr>
    </w:p>
    <w:p w:rsidR="004A4F1E" w:rsidRDefault="001F7960">
      <w:pPr>
        <w:pStyle w:val="Ttulo1"/>
        <w:spacing w:before="24" w:line="256" w:lineRule="auto"/>
        <w:ind w:right="123"/>
        <w:jc w:val="both"/>
      </w:pPr>
      <w:r>
        <w:t>PROYECTO DE LEY QUE MODIFICA DIVERSOS CUERPOS LEGALES PARA ESTABLECER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RESERVA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DATOS</w:t>
      </w:r>
      <w:r>
        <w:rPr>
          <w:spacing w:val="-15"/>
        </w:rPr>
        <w:t xml:space="preserve"> </w:t>
      </w:r>
      <w:r>
        <w:t>PERSONALES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VÍCTIMAS</w:t>
      </w:r>
      <w:r>
        <w:rPr>
          <w:spacing w:val="-11"/>
        </w:rPr>
        <w:t xml:space="preserve"> </w:t>
      </w:r>
      <w:r>
        <w:t>EN PROCESOS DE VIOLENCIA INTRAFAMILIAR ANTE TRIBUNALES DE FAMILIA Y JUZGADOS DE GARANTÍA</w:t>
      </w:r>
    </w:p>
    <w:p w:rsidR="004A4F1E" w:rsidRDefault="004A4F1E">
      <w:pPr>
        <w:pStyle w:val="Textoindependiente"/>
        <w:rPr>
          <w:b/>
        </w:rPr>
      </w:pPr>
    </w:p>
    <w:p w:rsidR="004A4F1E" w:rsidRDefault="004A4F1E">
      <w:pPr>
        <w:pStyle w:val="Textoindependiente"/>
        <w:spacing w:before="12"/>
        <w:rPr>
          <w:b/>
          <w:sz w:val="25"/>
        </w:rPr>
      </w:pPr>
    </w:p>
    <w:p w:rsidR="004A4F1E" w:rsidRDefault="001F7960">
      <w:pPr>
        <w:spacing w:before="1"/>
        <w:ind w:left="119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4A4F1E" w:rsidRDefault="001F7960">
      <w:pPr>
        <w:pStyle w:val="Textoindependiente"/>
        <w:spacing w:before="190" w:line="259" w:lineRule="auto"/>
        <w:ind w:left="119" w:right="121"/>
        <w:jc w:val="both"/>
      </w:pPr>
      <w:r>
        <w:t>La</w:t>
      </w:r>
      <w:r>
        <w:rPr>
          <w:spacing w:val="-8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intrafamiliar</w:t>
      </w:r>
      <w:r>
        <w:rPr>
          <w:spacing w:val="-7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grave</w:t>
      </w:r>
      <w:r>
        <w:rPr>
          <w:spacing w:val="-8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afecta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muchas</w:t>
      </w:r>
      <w:r>
        <w:rPr>
          <w:spacing w:val="-9"/>
        </w:rPr>
        <w:t xml:space="preserve"> </w:t>
      </w:r>
      <w:r>
        <w:t>personas en Chile; siendo las mujeres las principales víctimas de este tipo d</w:t>
      </w:r>
      <w:r>
        <w:t>e agresiones. Según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estadísticas</w:t>
      </w:r>
      <w:r>
        <w:rPr>
          <w:spacing w:val="-15"/>
        </w:rPr>
        <w:t xml:space="preserve"> </w:t>
      </w:r>
      <w:r>
        <w:t>disponibles,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violencia</w:t>
      </w:r>
      <w:r>
        <w:rPr>
          <w:spacing w:val="-15"/>
        </w:rPr>
        <w:t xml:space="preserve"> </w:t>
      </w:r>
      <w:r>
        <w:t>intrafamiliar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formas</w:t>
      </w:r>
      <w:r>
        <w:rPr>
          <w:spacing w:val="-15"/>
        </w:rPr>
        <w:t xml:space="preserve"> </w:t>
      </w:r>
      <w:r>
        <w:t>más comunes de violencia en el país, y puede ocurrir en diversos tipos de relaciones, como la violencia entre parejas, la violencia hacia niños, niñas y adole</w:t>
      </w:r>
      <w:r>
        <w:t>scentes, y la violencia hacia personas mayores.</w:t>
      </w:r>
    </w:p>
    <w:p w:rsidR="004A4F1E" w:rsidRDefault="001F7960">
      <w:pPr>
        <w:pStyle w:val="Textoindependiente"/>
        <w:spacing w:before="158" w:line="259" w:lineRule="auto"/>
        <w:ind w:left="119" w:right="112"/>
        <w:jc w:val="both"/>
      </w:pPr>
      <w:r>
        <w:t>Las estadísticas de violencia intrafamiliar en Chile varían según las fuentes y la definición de violencia utilizada, pero en general se puede observar que es un problema extendido en</w:t>
      </w:r>
      <w:r>
        <w:rPr>
          <w:spacing w:val="-1"/>
        </w:rPr>
        <w:t xml:space="preserve"> </w:t>
      </w:r>
      <w:r>
        <w:t>la sociedad chilena. Según datos del Ministerio de la Mujer y la Equidad de Género de Chile, en el año 2020 se registraron un total de 156.252 denuncias de violencia intrafamiliar en el país, lo que representa un aumento del 11% en comparación con el año a</w:t>
      </w:r>
      <w:r>
        <w:t>nterior.</w:t>
      </w:r>
    </w:p>
    <w:p w:rsidR="004A4F1E" w:rsidRDefault="001F7960">
      <w:pPr>
        <w:pStyle w:val="Textoindependiente"/>
        <w:spacing w:before="164" w:line="259" w:lineRule="auto"/>
        <w:ind w:left="119" w:right="113"/>
        <w:jc w:val="both"/>
      </w:pPr>
      <w:r>
        <w:t>Es importante tener en cuenta que la violencia intrafamiliar a menudo está subrreportada, ya que muchas víctimas pueden tener miedo de denunciar a sus agresores debido a diversas razones, como el temor a represalias, la dependencia económica o emo</w:t>
      </w:r>
      <w:r>
        <w:t>cional del agresor, o la falta de confianza en el sistema judicial. Además, la violencia intrafamiliar puede ser un problema oculto, ya que ocurre dentro del ámbito privado del hogar y puede no ser evidente para otras personas.</w:t>
      </w:r>
    </w:p>
    <w:p w:rsidR="004A4F1E" w:rsidRDefault="001F7960">
      <w:pPr>
        <w:pStyle w:val="Textoindependiente"/>
        <w:spacing w:before="158" w:line="259" w:lineRule="auto"/>
        <w:ind w:left="119" w:right="115"/>
        <w:jc w:val="both"/>
      </w:pPr>
      <w:r>
        <w:t>En</w:t>
      </w:r>
      <w:r>
        <w:rPr>
          <w:spacing w:val="-15"/>
        </w:rPr>
        <w:t xml:space="preserve"> </w:t>
      </w:r>
      <w:r>
        <w:t>cuanto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flujo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denunc</w:t>
      </w:r>
      <w:r>
        <w:t>ias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tribunales</w:t>
      </w:r>
      <w:r>
        <w:rPr>
          <w:spacing w:val="-15"/>
        </w:rPr>
        <w:t xml:space="preserve"> </w:t>
      </w:r>
      <w:r>
        <w:t>penales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familia,</w:t>
      </w:r>
      <w:r>
        <w:rPr>
          <w:spacing w:val="-15"/>
        </w:rPr>
        <w:t xml:space="preserve"> </w:t>
      </w:r>
      <w:r>
        <w:t>existen</w:t>
      </w:r>
      <w:r>
        <w:rPr>
          <w:spacing w:val="-15"/>
        </w:rPr>
        <w:t xml:space="preserve"> </w:t>
      </w:r>
      <w:r>
        <w:t>diferencias en el proceso</w:t>
      </w:r>
      <w:r>
        <w:rPr>
          <w:spacing w:val="-2"/>
        </w:rPr>
        <w:t xml:space="preserve"> </w:t>
      </w:r>
      <w:r>
        <w:t>legal dependiendo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naturaleza de</w:t>
      </w:r>
      <w:r>
        <w:rPr>
          <w:spacing w:val="-5"/>
        </w:rPr>
        <w:t xml:space="preserve"> </w:t>
      </w:r>
      <w:r>
        <w:t>la relación entre</w:t>
      </w:r>
      <w:r>
        <w:rPr>
          <w:spacing w:val="-5"/>
        </w:rPr>
        <w:t xml:space="preserve"> </w:t>
      </w:r>
      <w:r>
        <w:t>la víctima y el agresor.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general,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denuncias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violencia</w:t>
      </w:r>
      <w:r>
        <w:rPr>
          <w:spacing w:val="-15"/>
        </w:rPr>
        <w:t xml:space="preserve"> </w:t>
      </w:r>
      <w:r>
        <w:t>intrafamiliar</w:t>
      </w:r>
      <w:r>
        <w:rPr>
          <w:spacing w:val="-10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presentadas en los tribunales penales</w:t>
      </w:r>
      <w:r>
        <w:t>, donde se tramitan como delitos, o en los tribunales de familia, donde se abordan en el marco del derecho de familia.</w:t>
      </w:r>
    </w:p>
    <w:p w:rsidR="004A4F1E" w:rsidRDefault="004A4F1E">
      <w:pPr>
        <w:spacing w:line="259" w:lineRule="auto"/>
        <w:jc w:val="both"/>
        <w:sectPr w:rsidR="004A4F1E">
          <w:headerReference w:type="default" r:id="rId7"/>
          <w:type w:val="continuous"/>
          <w:pgSz w:w="12240" w:h="15840"/>
          <w:pgMar w:top="2440" w:right="1580" w:bottom="280" w:left="1580" w:header="824" w:footer="0" w:gutter="0"/>
          <w:pgNumType w:start="1"/>
          <w:cols w:space="720"/>
        </w:sectPr>
      </w:pPr>
    </w:p>
    <w:p w:rsidR="004A4F1E" w:rsidRDefault="004A4F1E">
      <w:pPr>
        <w:pStyle w:val="Textoindependiente"/>
        <w:spacing w:before="6"/>
      </w:pPr>
    </w:p>
    <w:p w:rsidR="004A4F1E" w:rsidRDefault="001F7960">
      <w:pPr>
        <w:pStyle w:val="Textoindependiente"/>
        <w:spacing w:before="24" w:line="259" w:lineRule="auto"/>
        <w:ind w:left="119" w:right="118"/>
        <w:jc w:val="both"/>
      </w:pPr>
      <w:r>
        <w:t>En los tribunales penales, las denuncias de violencia intrafamiliar son investigadas por el Ministerio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y pueden</w:t>
      </w:r>
      <w:r>
        <w:rPr>
          <w:spacing w:val="-5"/>
        </w:rPr>
        <w:t xml:space="preserve"> </w:t>
      </w:r>
      <w:r>
        <w:t>llevar 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imposición</w:t>
      </w:r>
      <w:r>
        <w:rPr>
          <w:spacing w:val="-1"/>
        </w:rPr>
        <w:t xml:space="preserve"> </w:t>
      </w:r>
      <w:r>
        <w:t>de medidas</w:t>
      </w:r>
      <w:r>
        <w:rPr>
          <w:spacing w:val="-1"/>
        </w:rPr>
        <w:t xml:space="preserve"> </w:t>
      </w:r>
      <w:r>
        <w:t>de protección para la víctima, así como a la sanción del agresor. Sin embargo, las estadísticas indican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largo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complejo,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garantiza</w:t>
      </w:r>
      <w:r>
        <w:rPr>
          <w:spacing w:val="-11"/>
        </w:rPr>
        <w:t xml:space="preserve"> </w:t>
      </w:r>
      <w:r>
        <w:t>una protección efectiva para las víctimas.</w:t>
      </w:r>
    </w:p>
    <w:p w:rsidR="004A4F1E" w:rsidRDefault="001F7960">
      <w:pPr>
        <w:pStyle w:val="Textoindependiente"/>
        <w:spacing w:before="158" w:line="259" w:lineRule="auto"/>
        <w:ind w:left="119" w:right="112"/>
        <w:jc w:val="both"/>
      </w:pPr>
      <w:r>
        <w:t>Por otro lado, en los tribunales de f</w:t>
      </w:r>
      <w:r>
        <w:t>amilia, las denuncias de violencia intrafamiliar pueden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presentadas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marco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divorcio,</w:t>
      </w:r>
      <w:r>
        <w:rPr>
          <w:spacing w:val="-9"/>
        </w:rPr>
        <w:t xml:space="preserve"> </w:t>
      </w:r>
      <w:r>
        <w:t>separación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hecho,</w:t>
      </w:r>
      <w:r>
        <w:rPr>
          <w:spacing w:val="-5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protección,</w:t>
      </w:r>
      <w:r>
        <w:rPr>
          <w:spacing w:val="-1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otros.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casos, se</w:t>
      </w:r>
      <w:r>
        <w:rPr>
          <w:spacing w:val="-6"/>
        </w:rPr>
        <w:t xml:space="preserve"> </w:t>
      </w:r>
      <w:r>
        <w:t>busca</w:t>
      </w:r>
      <w:r>
        <w:rPr>
          <w:spacing w:val="-1"/>
        </w:rPr>
        <w:t xml:space="preserve"> </w:t>
      </w:r>
      <w:r>
        <w:t>proteger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víctima 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hijos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hijas</w:t>
      </w:r>
      <w:r>
        <w:rPr>
          <w:spacing w:val="-15"/>
        </w:rPr>
        <w:t xml:space="preserve"> </w:t>
      </w:r>
      <w:r>
        <w:t>involucrados,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establecer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seguridad,</w:t>
      </w:r>
      <w:r>
        <w:rPr>
          <w:spacing w:val="-15"/>
        </w:rPr>
        <w:t xml:space="preserve"> </w:t>
      </w:r>
      <w:r>
        <w:t>como la prohibición de acercarse al domicilio o lugar de trabajo de la víctima, o la asignación de la tuición de los hijos e hijas.</w:t>
      </w:r>
    </w:p>
    <w:p w:rsidR="004A4F1E" w:rsidRDefault="001F7960">
      <w:pPr>
        <w:pStyle w:val="Textoindependiente"/>
        <w:spacing w:before="158" w:line="259" w:lineRule="auto"/>
        <w:ind w:left="119" w:right="118"/>
        <w:jc w:val="both"/>
      </w:pPr>
      <w:r>
        <w:t>Además,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procesos</w:t>
      </w:r>
      <w:r>
        <w:rPr>
          <w:spacing w:val="-15"/>
        </w:rPr>
        <w:t xml:space="preserve"> </w:t>
      </w:r>
      <w:r>
        <w:t>mencionados,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establecen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cautelares,</w:t>
      </w:r>
      <w:r>
        <w:rPr>
          <w:spacing w:val="-15"/>
        </w:rPr>
        <w:t xml:space="preserve"> </w:t>
      </w:r>
      <w:r>
        <w:t>que son aquellas órdenes judiciales destinadas a proteger a las víctimas de violencia intrafamiliar, estas pueden ser decretadas de</w:t>
      </w:r>
      <w:r>
        <w:rPr>
          <w:spacing w:val="-1"/>
        </w:rPr>
        <w:t xml:space="preserve"> </w:t>
      </w:r>
      <w:r>
        <w:t>oficio o a petición de parte, y pueden incluir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prohibición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acercarse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víctima,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prohibición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</w:t>
      </w:r>
      <w:r>
        <w:t>nicarse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 víctima, o la salida del hogar o lugar de trabajo del agresor, entre otras.</w:t>
      </w:r>
    </w:p>
    <w:p w:rsidR="004A4F1E" w:rsidRDefault="001F7960">
      <w:pPr>
        <w:pStyle w:val="Textoindependiente"/>
        <w:spacing w:before="158" w:line="259" w:lineRule="auto"/>
        <w:ind w:left="119" w:right="114"/>
        <w:jc w:val="both"/>
      </w:pPr>
      <w:r>
        <w:t>Sin embargo, a pesar de la imposición de medidas cautelares, en ocasiones los agresores las infringen, lo que pone en riesgo la seguridad y bienestar de las víctimas</w:t>
      </w:r>
      <w:r>
        <w:t>. El quebrantamiento de medidas cautelares puede ocurrir de diversas formas, como el incumplimiento de las restricciones impuestas, la reiteración de la violencia hacia la víctima, o la intimidación y hostigamiento hacia la víctima.</w:t>
      </w:r>
    </w:p>
    <w:p w:rsidR="004A4F1E" w:rsidRDefault="001F7960">
      <w:pPr>
        <w:pStyle w:val="Textoindependiente"/>
        <w:spacing w:before="163" w:line="259" w:lineRule="auto"/>
        <w:ind w:left="119" w:right="120"/>
        <w:jc w:val="both"/>
      </w:pPr>
      <w:r>
        <w:t>Dicho quebrantamiento d</w:t>
      </w:r>
      <w:r>
        <w:t>e las medidas en causas de violencia intrafamiliar es un problema</w:t>
      </w:r>
      <w:r>
        <w:rPr>
          <w:spacing w:val="-6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evidencia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necesidad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 víctimas, casos como lo ocurrido en la Comuna de Parral, donde tuvo lugar el femicidio</w:t>
      </w:r>
      <w:r>
        <w:rPr>
          <w:spacing w:val="-15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51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va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cuya</w:t>
      </w:r>
      <w:r>
        <w:rPr>
          <w:spacing w:val="-15"/>
        </w:rPr>
        <w:t xml:space="preserve"> </w:t>
      </w:r>
      <w:r>
        <w:t>víctima</w:t>
      </w:r>
      <w:r>
        <w:rPr>
          <w:spacing w:val="-15"/>
        </w:rPr>
        <w:t xml:space="preserve"> </w:t>
      </w:r>
      <w:r>
        <w:t>corresponde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mujer de</w:t>
      </w:r>
      <w:r>
        <w:rPr>
          <w:spacing w:val="-5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asesinada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pareja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Subprefecto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Brigada de Homic</w:t>
      </w:r>
      <w:r>
        <w:t>idio de</w:t>
      </w:r>
      <w:r>
        <w:rPr>
          <w:spacing w:val="-1"/>
        </w:rPr>
        <w:t xml:space="preserve"> </w:t>
      </w:r>
      <w:r>
        <w:t>Linares existían antecedentes de denuncias anteriores por hechos de violencia</w:t>
      </w:r>
      <w:r>
        <w:rPr>
          <w:position w:val="7"/>
          <w:sz w:val="14"/>
        </w:rPr>
        <w:t>1</w:t>
      </w:r>
      <w:r>
        <w:t>.</w:t>
      </w:r>
    </w:p>
    <w:p w:rsidR="004A4F1E" w:rsidRDefault="004A4F1E">
      <w:pPr>
        <w:pStyle w:val="Textoindependiente"/>
        <w:rPr>
          <w:sz w:val="20"/>
        </w:rPr>
      </w:pPr>
    </w:p>
    <w:p w:rsidR="004A4F1E" w:rsidRDefault="001F7960">
      <w:pPr>
        <w:pStyle w:val="Textoindependiente"/>
        <w:spacing w:before="2"/>
        <w:rPr>
          <w:sz w:val="21"/>
        </w:rPr>
      </w:pPr>
      <w:r>
        <w:pict>
          <v:rect id="docshape1" o:spid="_x0000_s1027" style="position:absolute;margin-left:85pt;margin-top:15.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A4F1E" w:rsidRDefault="001F7960">
      <w:pPr>
        <w:tabs>
          <w:tab w:val="left" w:pos="2809"/>
        </w:tabs>
        <w:spacing w:before="101"/>
        <w:ind w:left="119" w:right="116"/>
        <w:rPr>
          <w:rFonts w:ascii="Times New Roman"/>
        </w:rPr>
      </w:pPr>
      <w:r>
        <w:rPr>
          <w:rFonts w:ascii="Times New Roman"/>
          <w:vertAlign w:val="superscript"/>
        </w:rPr>
        <w:t>1</w:t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</w:rPr>
        <w:t>Noticia</w:t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</w:rPr>
        <w:t>disponible</w:t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</w:rPr>
        <w:t>en:</w:t>
      </w:r>
      <w:r>
        <w:rPr>
          <w:rFonts w:ascii="Times New Roman"/>
        </w:rPr>
        <w:tab/>
      </w:r>
      <w:hyperlink r:id="rId8">
        <w:r>
          <w:rPr>
            <w:rFonts w:ascii="Times New Roman"/>
            <w:color w:val="0462C1"/>
            <w:spacing w:val="-2"/>
            <w:u w:val="single" w:color="0462C1"/>
          </w:rPr>
          <w:t>https://www.meganoticias.cl/nacional/410364-femicidio-parral-autos-</w:t>
        </w:r>
      </w:hyperlink>
      <w:r>
        <w:rPr>
          <w:rFonts w:ascii="Times New Roman"/>
          <w:color w:val="0462C1"/>
          <w:spacing w:val="-2"/>
        </w:rPr>
        <w:t xml:space="preserve"> </w:t>
      </w:r>
      <w:hyperlink r:id="rId9">
        <w:r>
          <w:rPr>
            <w:rFonts w:ascii="Times New Roman"/>
            <w:color w:val="0462C1"/>
            <w:spacing w:val="-2"/>
            <w:u w:val="single" w:color="0462C1"/>
          </w:rPr>
          <w:t>confeso-funcionario-de-gendarmeria-hija-de-4-anos-02-04-2023.html</w:t>
        </w:r>
      </w:hyperlink>
    </w:p>
    <w:p w:rsidR="004A4F1E" w:rsidRDefault="004A4F1E">
      <w:pPr>
        <w:rPr>
          <w:rFonts w:ascii="Times New Roman"/>
        </w:rPr>
        <w:sectPr w:rsidR="004A4F1E">
          <w:pgSz w:w="12240" w:h="15840"/>
          <w:pgMar w:top="2440" w:right="1580" w:bottom="280" w:left="1580" w:header="824" w:footer="0" w:gutter="0"/>
          <w:cols w:space="720"/>
        </w:sectPr>
      </w:pPr>
    </w:p>
    <w:p w:rsidR="004A4F1E" w:rsidRDefault="004A4F1E">
      <w:pPr>
        <w:pStyle w:val="Textoindependiente"/>
        <w:spacing w:before="8"/>
        <w:rPr>
          <w:rFonts w:ascii="Times New Roman"/>
          <w:sz w:val="28"/>
        </w:rPr>
      </w:pPr>
    </w:p>
    <w:p w:rsidR="004A4F1E" w:rsidRDefault="001F7960">
      <w:pPr>
        <w:pStyle w:val="Textoindependiente"/>
        <w:spacing w:before="24" w:line="259" w:lineRule="auto"/>
        <w:ind w:left="119" w:right="113"/>
        <w:jc w:val="both"/>
        <w:rPr>
          <w:sz w:val="14"/>
        </w:rPr>
      </w:pPr>
      <w:r>
        <w:t>Otro caso que deja en evidencia la poca efectividad de las me</w:t>
      </w:r>
      <w:r>
        <w:t>didas cautelares y su implementación fue a propósito de un femicidio frustrado, ocurrido en enero del presente año en la Región de la Araucanía, en donde se logró acreditar que el victimario,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imputado, concurrió</w:t>
      </w:r>
      <w:r>
        <w:rPr>
          <w:spacing w:val="-4"/>
        </w:rPr>
        <w:t xml:space="preserve"> </w:t>
      </w:r>
      <w:r>
        <w:t>al domicilio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exconviviente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do</w:t>
      </w:r>
      <w:r>
        <w:t>s</w:t>
      </w:r>
      <w:r>
        <w:rPr>
          <w:spacing w:val="-3"/>
        </w:rPr>
        <w:t xml:space="preserve"> </w:t>
      </w:r>
      <w:r>
        <w:t>hijas. En ese instante y luego de que se le negará la entrada, agredió a la víctima con un bate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béisbol</w:t>
      </w:r>
      <w:r>
        <w:rPr>
          <w:spacing w:val="-4"/>
        </w:rPr>
        <w:t xml:space="preserve"> </w:t>
      </w:r>
      <w:r>
        <w:t>metálico. Sin</w:t>
      </w:r>
      <w:r>
        <w:rPr>
          <w:spacing w:val="-2"/>
        </w:rPr>
        <w:t xml:space="preserve"> </w:t>
      </w:r>
      <w:r>
        <w:t>embargo, los</w:t>
      </w:r>
      <w:r>
        <w:rPr>
          <w:spacing w:val="-2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detuvieron</w:t>
      </w:r>
      <w:r>
        <w:rPr>
          <w:spacing w:val="-2"/>
        </w:rPr>
        <w:t xml:space="preserve"> </w:t>
      </w:r>
      <w:r>
        <w:t>ahí, pues</w:t>
      </w:r>
      <w:r>
        <w:rPr>
          <w:spacing w:val="-2"/>
        </w:rPr>
        <w:t xml:space="preserve"> </w:t>
      </w:r>
      <w:r>
        <w:t>treinta días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tarde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mientras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Policía</w:t>
      </w:r>
      <w:r>
        <w:rPr>
          <w:spacing w:val="-5"/>
        </w:rPr>
        <w:t xml:space="preserve"> </w:t>
      </w:r>
      <w:r>
        <w:t>buscaba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imputado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efectiva una</w:t>
      </w:r>
      <w:r>
        <w:rPr>
          <w:spacing w:val="-6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detención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individuo</w:t>
      </w:r>
      <w:r>
        <w:rPr>
          <w:spacing w:val="-7"/>
        </w:rPr>
        <w:t xml:space="preserve"> </w:t>
      </w:r>
      <w:r>
        <w:t>ataco</w:t>
      </w:r>
      <w:r>
        <w:rPr>
          <w:spacing w:val="-7"/>
        </w:rPr>
        <w:t xml:space="preserve"> </w:t>
      </w:r>
      <w:r>
        <w:t>nuevamente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víctima;</w:t>
      </w:r>
      <w:r>
        <w:rPr>
          <w:spacing w:val="-3"/>
        </w:rPr>
        <w:t xml:space="preserve"> </w:t>
      </w:r>
      <w:r>
        <w:t>momentos</w:t>
      </w:r>
      <w:r>
        <w:rPr>
          <w:spacing w:val="-7"/>
        </w:rPr>
        <w:t xml:space="preserve"> </w:t>
      </w:r>
      <w:r>
        <w:t xml:space="preserve">en que ingresó violentamente a la casa, lugar donde la mujer dormía con sus hijas, la hirió con un cuchillo en la cara, dorso y extremidades inferiores, situación </w:t>
      </w:r>
      <w:r>
        <w:t>que, si bien no culmino con el fallecimiento de la víctima, la posibilidad de represalias de los</w:t>
      </w:r>
      <w:r>
        <w:rPr>
          <w:spacing w:val="-6"/>
        </w:rPr>
        <w:t xml:space="preserve"> </w:t>
      </w:r>
      <w:r>
        <w:t>agresores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mínimas,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urge</w:t>
      </w:r>
      <w:r>
        <w:rPr>
          <w:spacing w:val="-14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resguarden</w:t>
      </w:r>
      <w:r>
        <w:rPr>
          <w:spacing w:val="-15"/>
        </w:rPr>
        <w:t xml:space="preserve"> </w:t>
      </w:r>
      <w:r>
        <w:t xml:space="preserve">los datos personales de las víctimas de violencia intrafamiliar. </w:t>
      </w:r>
      <w:r>
        <w:rPr>
          <w:position w:val="7"/>
          <w:sz w:val="14"/>
        </w:rPr>
        <w:t>2</w:t>
      </w:r>
    </w:p>
    <w:p w:rsidR="004A4F1E" w:rsidRDefault="001F7960">
      <w:pPr>
        <w:pStyle w:val="Textoindependiente"/>
        <w:spacing w:before="154" w:line="259" w:lineRule="auto"/>
        <w:ind w:left="119" w:right="116"/>
        <w:jc w:val="both"/>
      </w:pPr>
      <w:r>
        <w:t>Lo anterior, deja entrever que las víctimas de violencia intrafamiliar pueden enfrentar múltiples barreras para acceder a la protección y apoyo necesarios como el temor a represalias por pa</w:t>
      </w:r>
      <w:r>
        <w:t>rte del agresor, la falta de recursos económicos o de apoyo social, y la dependencia emocional del agresor, entre otros factores.</w:t>
      </w:r>
    </w:p>
    <w:p w:rsidR="004A4F1E" w:rsidRDefault="001F7960">
      <w:pPr>
        <w:pStyle w:val="Textoindependiente"/>
        <w:spacing w:before="162" w:line="259" w:lineRule="auto"/>
        <w:ind w:left="119" w:right="120"/>
        <w:jc w:val="both"/>
      </w:pPr>
      <w:r>
        <w:t>Es</w:t>
      </w:r>
      <w:r>
        <w:rPr>
          <w:spacing w:val="-3"/>
        </w:rPr>
        <w:t xml:space="preserve"> </w:t>
      </w:r>
      <w:r>
        <w:t>fundamental que</w:t>
      </w:r>
      <w:r>
        <w:rPr>
          <w:spacing w:val="-1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cautelares</w:t>
      </w:r>
      <w:r>
        <w:rPr>
          <w:spacing w:val="-8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implementadas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monitoreadas</w:t>
      </w:r>
      <w:r>
        <w:rPr>
          <w:spacing w:val="-8"/>
        </w:rPr>
        <w:t xml:space="preserve"> </w:t>
      </w:r>
      <w:r>
        <w:t>de manera efectiva para garantizar la seguridad de</w:t>
      </w:r>
      <w:r>
        <w:t xml:space="preserve"> las víctimas de violencia intrafamiliar en Chile, además de establecer otros mecanismos de protección a las víctimas. Esto implica una acción conjunta de las autoridades judiciales, fiscales, policiales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actores</w:t>
      </w:r>
      <w:r>
        <w:rPr>
          <w:spacing w:val="-2"/>
        </w:rPr>
        <w:t xml:space="preserve"> </w:t>
      </w:r>
      <w:r>
        <w:t>involucrados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proceso, así como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sensibilización</w:t>
      </w:r>
      <w:r>
        <w:rPr>
          <w:spacing w:val="-2"/>
        </w:rPr>
        <w:t xml:space="preserve"> </w:t>
      </w:r>
      <w:r>
        <w:t>y capacitación adecuada en violencia de género y violencia intrafamiliar.</w:t>
      </w:r>
    </w:p>
    <w:p w:rsidR="004A4F1E" w:rsidRDefault="001F7960">
      <w:pPr>
        <w:pStyle w:val="Textoindependiente"/>
        <w:spacing w:before="159" w:line="259" w:lineRule="auto"/>
        <w:ind w:left="119" w:right="116"/>
        <w:jc w:val="both"/>
      </w:pPr>
      <w:r>
        <w:t>En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aspecto,</w:t>
      </w:r>
      <w:r>
        <w:rPr>
          <w:spacing w:val="-6"/>
        </w:rPr>
        <w:t xml:space="preserve"> </w:t>
      </w:r>
      <w:r>
        <w:t>podemos</w:t>
      </w:r>
      <w:r>
        <w:rPr>
          <w:spacing w:val="-13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quebrantamiento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cautelares en causas de violencia intrafamiliar en Chile evidencia la necesidad de una mayor</w:t>
      </w:r>
      <w:r>
        <w:t xml:space="preserve"> protección de las víctimas y de un abordaje integral de la violencia de género en el sistema</w:t>
      </w:r>
      <w:r>
        <w:rPr>
          <w:spacing w:val="-2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general.</w:t>
      </w:r>
      <w:r>
        <w:rPr>
          <w:spacing w:val="-4"/>
        </w:rPr>
        <w:t xml:space="preserve"> </w:t>
      </w:r>
      <w:r>
        <w:t>Por esta</w:t>
      </w:r>
      <w:r>
        <w:rPr>
          <w:spacing w:val="-1"/>
        </w:rPr>
        <w:t xml:space="preserve"> </w:t>
      </w:r>
      <w:r>
        <w:t>razón,</w:t>
      </w:r>
      <w:r>
        <w:rPr>
          <w:spacing w:val="-4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adoptar medidas</w:t>
      </w:r>
      <w:r>
        <w:rPr>
          <w:spacing w:val="1"/>
        </w:rPr>
        <w:t xml:space="preserve"> </w:t>
      </w:r>
      <w:r>
        <w:t>efectivas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prevenir la</w:t>
      </w:r>
      <w:r>
        <w:rPr>
          <w:spacing w:val="4"/>
        </w:rPr>
        <w:t xml:space="preserve"> </w:t>
      </w:r>
      <w:r>
        <w:t>violencia,</w:t>
      </w:r>
      <w:r>
        <w:rPr>
          <w:spacing w:val="2"/>
        </w:rPr>
        <w:t xml:space="preserve"> </w:t>
      </w:r>
      <w:r>
        <w:t>sancionar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agresores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garantizar</w:t>
      </w:r>
    </w:p>
    <w:p w:rsidR="004A4F1E" w:rsidRDefault="004A4F1E">
      <w:pPr>
        <w:pStyle w:val="Textoindependiente"/>
        <w:rPr>
          <w:sz w:val="20"/>
        </w:rPr>
      </w:pPr>
    </w:p>
    <w:p w:rsidR="004A4F1E" w:rsidRDefault="001F7960">
      <w:pPr>
        <w:pStyle w:val="Textoindependiente"/>
        <w:spacing w:before="7"/>
        <w:rPr>
          <w:sz w:val="18"/>
        </w:rPr>
      </w:pPr>
      <w:r>
        <w:pict>
          <v:rect id="docshape2" o:spid="_x0000_s1026" style="position:absolute;margin-left:85pt;margin-top:13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A4F1E" w:rsidRDefault="001F7960">
      <w:pPr>
        <w:tabs>
          <w:tab w:val="left" w:pos="446"/>
          <w:tab w:val="left" w:pos="1343"/>
          <w:tab w:val="left" w:pos="2513"/>
          <w:tab w:val="left" w:pos="3034"/>
        </w:tabs>
        <w:spacing w:before="101" w:line="259" w:lineRule="auto"/>
        <w:ind w:left="119" w:right="120"/>
        <w:rPr>
          <w:rFonts w:ascii="Times New Roman"/>
        </w:rPr>
      </w:pPr>
      <w:r>
        <w:rPr>
          <w:rFonts w:ascii="Times New Roman"/>
          <w:spacing w:val="-10"/>
          <w:vertAlign w:val="superscript"/>
        </w:rPr>
        <w:t>2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Noticia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disponible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en:</w:t>
      </w:r>
      <w:r>
        <w:rPr>
          <w:rFonts w:ascii="Times New Roman"/>
        </w:rPr>
        <w:tab/>
      </w:r>
      <w:hyperlink r:id="rId10">
        <w:r>
          <w:rPr>
            <w:rFonts w:ascii="Times New Roman"/>
            <w:color w:val="0462C1"/>
            <w:spacing w:val="-2"/>
            <w:u w:val="single" w:color="0462C1"/>
          </w:rPr>
          <w:t>https://cooperativa.cl/noticias/pais/regio</w:t>
        </w:r>
        <w:r>
          <w:rPr>
            <w:rFonts w:ascii="Times New Roman"/>
            <w:color w:val="0462C1"/>
            <w:spacing w:val="-2"/>
            <w:u w:val="single" w:color="0462C1"/>
          </w:rPr>
          <w:t>n-de-la-araucania/autor-de-</w:t>
        </w:r>
      </w:hyperlink>
      <w:r>
        <w:rPr>
          <w:rFonts w:ascii="Times New Roman"/>
          <w:color w:val="0462C1"/>
          <w:spacing w:val="-2"/>
        </w:rPr>
        <w:t xml:space="preserve"> </w:t>
      </w:r>
      <w:hyperlink r:id="rId11">
        <w:r>
          <w:rPr>
            <w:rFonts w:ascii="Times New Roman"/>
            <w:color w:val="0462C1"/>
            <w:spacing w:val="-2"/>
            <w:u w:val="single" w:color="0462C1"/>
          </w:rPr>
          <w:t>femicidio-frustrado-en-angol-fue-condenado-a-penas-qu</w:t>
        </w:r>
        <w:r>
          <w:rPr>
            <w:rFonts w:ascii="Times New Roman"/>
            <w:color w:val="0462C1"/>
            <w:spacing w:val="-2"/>
            <w:u w:val="single" w:color="0462C1"/>
          </w:rPr>
          <w:t>e-suman-25/2023-01-25/224503.html</w:t>
        </w:r>
      </w:hyperlink>
    </w:p>
    <w:p w:rsidR="004A4F1E" w:rsidRDefault="004A4F1E">
      <w:pPr>
        <w:spacing w:line="259" w:lineRule="auto"/>
        <w:rPr>
          <w:rFonts w:ascii="Times New Roman"/>
        </w:rPr>
        <w:sectPr w:rsidR="004A4F1E">
          <w:pgSz w:w="12240" w:h="15840"/>
          <w:pgMar w:top="2440" w:right="1580" w:bottom="280" w:left="1580" w:header="824" w:footer="0" w:gutter="0"/>
          <w:cols w:space="720"/>
        </w:sectPr>
      </w:pPr>
    </w:p>
    <w:p w:rsidR="004A4F1E" w:rsidRDefault="004A4F1E">
      <w:pPr>
        <w:pStyle w:val="Textoindependiente"/>
        <w:spacing w:before="8"/>
        <w:rPr>
          <w:rFonts w:ascii="Times New Roman"/>
          <w:sz w:val="28"/>
        </w:rPr>
      </w:pPr>
    </w:p>
    <w:p w:rsidR="004A4F1E" w:rsidRDefault="001F7960">
      <w:pPr>
        <w:pStyle w:val="Textoindependiente"/>
        <w:spacing w:before="24" w:line="252" w:lineRule="auto"/>
        <w:ind w:left="119"/>
      </w:pPr>
      <w:r>
        <w:t>la seguridad y bienestar de las víctimas, como es el resguardo y reserva de ciertos datos personales sensibles como lo es la dirección de la víctima.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9"/>
        <w:rPr>
          <w:sz w:val="26"/>
        </w:rPr>
      </w:pPr>
    </w:p>
    <w:p w:rsidR="004A4F1E" w:rsidRDefault="001F7960">
      <w:pPr>
        <w:pStyle w:val="Ttulo1"/>
      </w:pPr>
      <w:r>
        <w:t>IDEA</w:t>
      </w:r>
      <w:r>
        <w:rPr>
          <w:spacing w:val="-2"/>
        </w:rPr>
        <w:t xml:space="preserve"> MATRIZ.</w:t>
      </w:r>
    </w:p>
    <w:p w:rsidR="004A4F1E" w:rsidRDefault="001F7960">
      <w:pPr>
        <w:pStyle w:val="Textoindependiente"/>
        <w:spacing w:before="190" w:line="256" w:lineRule="auto"/>
        <w:ind w:left="825" w:right="121"/>
        <w:jc w:val="both"/>
      </w:pPr>
      <w:r>
        <w:t>Modificar la Ley de Violencia Intrafamiliar y los procedimientos ante los Tribunales de Familia y Tribunales con competencia en lo Penal para resguardar a las víctimas de Violencia Intrafamiliar, al establecer la reserva en todo el proceso de su domicilio,</w:t>
      </w:r>
      <w:r>
        <w:t xml:space="preserve"> lugar de trabajo o estudio de la víctima.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13"/>
        <w:rPr>
          <w:sz w:val="25"/>
        </w:rPr>
      </w:pPr>
    </w:p>
    <w:p w:rsidR="004A4F1E" w:rsidRDefault="001F7960">
      <w:pPr>
        <w:ind w:left="3393" w:right="3393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4A4F1E" w:rsidRDefault="004A4F1E">
      <w:pPr>
        <w:pStyle w:val="Textoindependiente"/>
        <w:rPr>
          <w:b/>
          <w:sz w:val="20"/>
        </w:rPr>
      </w:pPr>
    </w:p>
    <w:p w:rsidR="004A4F1E" w:rsidRDefault="004A4F1E">
      <w:pPr>
        <w:pStyle w:val="Textoindependiente"/>
        <w:rPr>
          <w:b/>
          <w:sz w:val="20"/>
        </w:rPr>
      </w:pPr>
    </w:p>
    <w:p w:rsidR="004A4F1E" w:rsidRDefault="001F7960">
      <w:pPr>
        <w:pStyle w:val="Textoindependiente"/>
        <w:spacing w:before="164" w:line="252" w:lineRule="auto"/>
        <w:ind w:left="119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PRIMERO.</w:t>
      </w:r>
      <w:r>
        <w:rPr>
          <w:b/>
          <w:spacing w:val="36"/>
        </w:rPr>
        <w:t xml:space="preserve"> </w:t>
      </w:r>
      <w:r>
        <w:rPr>
          <w:b/>
        </w:rPr>
        <w:t>-</w:t>
      </w:r>
      <w:r>
        <w:rPr>
          <w:b/>
          <w:spacing w:val="34"/>
        </w:rPr>
        <w:t xml:space="preserve"> </w:t>
      </w:r>
      <w:r>
        <w:t>Modifíquese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Ley</w:t>
      </w:r>
      <w:r>
        <w:rPr>
          <w:spacing w:val="38"/>
        </w:rPr>
        <w:t xml:space="preserve"> </w:t>
      </w:r>
      <w:r>
        <w:t>N°20.066,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establece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de Violencia Intrafamiliar en el siguiente sentido:</w:t>
      </w:r>
    </w:p>
    <w:p w:rsidR="004A4F1E" w:rsidRDefault="001F7960">
      <w:pPr>
        <w:pStyle w:val="Prrafodelista"/>
        <w:numPr>
          <w:ilvl w:val="0"/>
          <w:numId w:val="3"/>
        </w:numPr>
        <w:tabs>
          <w:tab w:val="left" w:pos="841"/>
        </w:tabs>
        <w:spacing w:before="175"/>
        <w:ind w:hanging="361"/>
        <w:rPr>
          <w:sz w:val="24"/>
        </w:rPr>
      </w:pPr>
      <w:r>
        <w:rPr>
          <w:sz w:val="24"/>
        </w:rPr>
        <w:t>Introdúzcase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7"/>
          <w:sz w:val="24"/>
        </w:rPr>
        <w:t xml:space="preserve"> </w:t>
      </w:r>
      <w:r>
        <w:rPr>
          <w:sz w:val="24"/>
        </w:rPr>
        <w:t>7 un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nuevo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siguiente </w:t>
      </w:r>
      <w:r>
        <w:rPr>
          <w:spacing w:val="-2"/>
          <w:sz w:val="24"/>
        </w:rPr>
        <w:t>tenor:</w:t>
      </w:r>
    </w:p>
    <w:p w:rsidR="004A4F1E" w:rsidRDefault="001F7960">
      <w:pPr>
        <w:pStyle w:val="Textoindependiente"/>
        <w:spacing w:before="190" w:line="259" w:lineRule="auto"/>
        <w:ind w:left="840" w:right="117"/>
        <w:jc w:val="both"/>
      </w:pPr>
      <w:r>
        <w:t>“Respecto de las denuncias a que se refiere la presente ley y presumiéndose por parte del Tribunal el riesgo inminente que se refieren los incisos precedentes,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reserva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domicilio,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lugar</w:t>
      </w:r>
      <w:r>
        <w:rPr>
          <w:spacing w:val="-11"/>
        </w:rPr>
        <w:t xml:space="preserve"> </w:t>
      </w:r>
      <w:r>
        <w:t>de trabajo o est</w:t>
      </w:r>
      <w:r>
        <w:t>udio de la víctima en todas las actuaciones que se realicen y en los registros informáticos a que tenga acceso la parte denunciada.”.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5"/>
        <w:rPr>
          <w:sz w:val="25"/>
        </w:rPr>
      </w:pPr>
    </w:p>
    <w:p w:rsidR="004A4F1E" w:rsidRDefault="001F7960">
      <w:pPr>
        <w:pStyle w:val="Prrafodelista"/>
        <w:numPr>
          <w:ilvl w:val="0"/>
          <w:numId w:val="3"/>
        </w:numPr>
        <w:tabs>
          <w:tab w:val="left" w:pos="841"/>
        </w:tabs>
        <w:spacing w:line="256" w:lineRule="auto"/>
        <w:ind w:right="121"/>
        <w:jc w:val="both"/>
        <w:rPr>
          <w:sz w:val="24"/>
        </w:rPr>
      </w:pPr>
      <w:r>
        <w:rPr>
          <w:sz w:val="24"/>
        </w:rPr>
        <w:t>Introdúzcase en su Artículo 15 luego del punto y final, que pasa a ser punto y aparte, un inciso final nuevo del siguien</w:t>
      </w:r>
      <w:r>
        <w:rPr>
          <w:sz w:val="24"/>
        </w:rPr>
        <w:t>te tenor:</w:t>
      </w:r>
    </w:p>
    <w:p w:rsidR="004A4F1E" w:rsidRDefault="001F7960">
      <w:pPr>
        <w:pStyle w:val="Textoindependiente"/>
        <w:spacing w:before="167" w:line="259" w:lineRule="auto"/>
        <w:ind w:left="825" w:right="127"/>
        <w:jc w:val="both"/>
      </w:pPr>
      <w:r>
        <w:t>“De la misma forma señalada en el inciso anterior y hasta la conclusión del proceso,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reserva</w:t>
      </w:r>
      <w:r>
        <w:rPr>
          <w:spacing w:val="-8"/>
        </w:rPr>
        <w:t xml:space="preserve"> </w:t>
      </w:r>
      <w:r>
        <w:t>de los antecedentes señalados en el inciso final del Artículo 7 de esta ley.”.</w:t>
      </w:r>
    </w:p>
    <w:p w:rsidR="004A4F1E" w:rsidRDefault="004A4F1E">
      <w:pPr>
        <w:spacing w:line="259" w:lineRule="auto"/>
        <w:jc w:val="both"/>
        <w:sectPr w:rsidR="004A4F1E">
          <w:pgSz w:w="12240" w:h="15840"/>
          <w:pgMar w:top="2440" w:right="1580" w:bottom="280" w:left="1580" w:header="824" w:footer="0" w:gutter="0"/>
          <w:cols w:space="720"/>
        </w:sectPr>
      </w:pPr>
    </w:p>
    <w:p w:rsidR="004A4F1E" w:rsidRDefault="004A4F1E">
      <w:pPr>
        <w:pStyle w:val="Textoindependiente"/>
        <w:spacing w:before="6"/>
      </w:pPr>
    </w:p>
    <w:p w:rsidR="004A4F1E" w:rsidRDefault="001F7960">
      <w:pPr>
        <w:pStyle w:val="Textoindependiente"/>
        <w:spacing w:before="24" w:line="252" w:lineRule="auto"/>
        <w:ind w:left="119"/>
      </w:pPr>
      <w:r>
        <w:rPr>
          <w:b/>
        </w:rPr>
        <w:t>ARTÍCULO</w:t>
      </w:r>
      <w:r>
        <w:rPr>
          <w:b/>
          <w:spacing w:val="33"/>
        </w:rPr>
        <w:t xml:space="preserve"> </w:t>
      </w:r>
      <w:r>
        <w:rPr>
          <w:b/>
        </w:rPr>
        <w:t>SEGUNDO.</w:t>
      </w:r>
      <w:r>
        <w:rPr>
          <w:b/>
          <w:spacing w:val="30"/>
        </w:rPr>
        <w:t xml:space="preserve"> </w:t>
      </w:r>
      <w:r>
        <w:rPr>
          <w:b/>
        </w:rPr>
        <w:t xml:space="preserve">- </w:t>
      </w:r>
      <w:r>
        <w:t>Modifíquese la</w:t>
      </w:r>
      <w:r>
        <w:rPr>
          <w:spacing w:val="28"/>
        </w:rPr>
        <w:t xml:space="preserve"> </w:t>
      </w:r>
      <w:r>
        <w:t>Ley N°19.696 que establece</w:t>
      </w:r>
      <w:r>
        <w:rPr>
          <w:spacing w:val="31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Código Procesal Penal en el siguiente sentido:</w:t>
      </w:r>
    </w:p>
    <w:p w:rsidR="004A4F1E" w:rsidRDefault="001F7960">
      <w:pPr>
        <w:pStyle w:val="Prrafodelista"/>
        <w:numPr>
          <w:ilvl w:val="0"/>
          <w:numId w:val="2"/>
        </w:numPr>
        <w:tabs>
          <w:tab w:val="left" w:pos="841"/>
        </w:tabs>
        <w:spacing w:before="175"/>
        <w:ind w:hanging="361"/>
        <w:rPr>
          <w:sz w:val="24"/>
        </w:rPr>
      </w:pPr>
      <w:r>
        <w:rPr>
          <w:sz w:val="24"/>
        </w:rPr>
        <w:t>Incorpórese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nuevo:</w:t>
      </w:r>
    </w:p>
    <w:p w:rsidR="004A4F1E" w:rsidRDefault="001F7960">
      <w:pPr>
        <w:pStyle w:val="Textoindependiente"/>
        <w:spacing w:before="190" w:line="256" w:lineRule="auto"/>
        <w:ind w:left="825" w:right="117"/>
        <w:jc w:val="both"/>
      </w:pPr>
      <w:r>
        <w:t>“Respecto de las causas reguladas por la Ley N°20.066, la notificación a que se refiere este artículo deberá mantener reserva de los elementos señalados en el inciso final del Artículo 7 del mencionado cuerpo legal, sin que de</w:t>
      </w:r>
      <w:r>
        <w:t xml:space="preserve"> ello se deduzca la afectación de los derechos del denunciado.”.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12"/>
        <w:rPr>
          <w:sz w:val="25"/>
        </w:rPr>
      </w:pPr>
    </w:p>
    <w:p w:rsidR="004A4F1E" w:rsidRDefault="001F7960">
      <w:pPr>
        <w:pStyle w:val="Prrafodelista"/>
        <w:numPr>
          <w:ilvl w:val="0"/>
          <w:numId w:val="2"/>
        </w:numPr>
        <w:tabs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Agréguese en</w:t>
      </w:r>
      <w:r>
        <w:rPr>
          <w:spacing w:val="-5"/>
          <w:sz w:val="24"/>
        </w:rPr>
        <w:t xml:space="preserve"> </w:t>
      </w:r>
      <w:r>
        <w:rPr>
          <w:sz w:val="24"/>
        </w:rPr>
        <w:t>su Artículo</w:t>
      </w:r>
      <w:r>
        <w:rPr>
          <w:spacing w:val="-7"/>
          <w:sz w:val="24"/>
        </w:rPr>
        <w:t xml:space="preserve"> </w:t>
      </w:r>
      <w:r>
        <w:rPr>
          <w:sz w:val="24"/>
        </w:rPr>
        <w:t>113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4A4F1E" w:rsidRDefault="001F7960">
      <w:pPr>
        <w:pStyle w:val="Textoindependiente"/>
        <w:spacing w:before="190" w:line="259" w:lineRule="auto"/>
        <w:ind w:left="825" w:right="129"/>
        <w:jc w:val="both"/>
      </w:pPr>
      <w:r>
        <w:t>“Respecto del requisito señalado en el literal b) del presente artículo, y para los procesos regulados por la Ley N°20.066,</w:t>
      </w:r>
      <w:r>
        <w:t xml:space="preserve"> el Tribunal deberá mantener la reserva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domicilio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actuaciones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realicen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registros informáticos a que tenga acceso la parte denunciada.”.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9"/>
        <w:rPr>
          <w:sz w:val="25"/>
        </w:rPr>
      </w:pPr>
    </w:p>
    <w:p w:rsidR="004A4F1E" w:rsidRDefault="001F7960">
      <w:pPr>
        <w:pStyle w:val="Prrafodelista"/>
        <w:numPr>
          <w:ilvl w:val="0"/>
          <w:numId w:val="2"/>
        </w:numPr>
        <w:tabs>
          <w:tab w:val="left" w:pos="841"/>
        </w:tabs>
        <w:spacing w:line="256" w:lineRule="auto"/>
        <w:ind w:right="126"/>
        <w:jc w:val="both"/>
        <w:rPr>
          <w:sz w:val="24"/>
        </w:rPr>
      </w:pPr>
      <w:r>
        <w:rPr>
          <w:sz w:val="24"/>
        </w:rPr>
        <w:t>Intercálese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174,</w:t>
      </w:r>
      <w:r>
        <w:rPr>
          <w:spacing w:val="-5"/>
          <w:sz w:val="24"/>
        </w:rPr>
        <w:t xml:space="preserve"> </w:t>
      </w:r>
      <w:r>
        <w:rPr>
          <w:sz w:val="24"/>
        </w:rPr>
        <w:t>luego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primero,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segundo nuevo, pasando el actual segundo a ser tercero, del siguiente tenor:</w:t>
      </w:r>
    </w:p>
    <w:p w:rsidR="004A4F1E" w:rsidRDefault="001F7960">
      <w:pPr>
        <w:pStyle w:val="Textoindependiente"/>
        <w:spacing w:before="167" w:line="256" w:lineRule="auto"/>
        <w:ind w:left="825" w:right="114"/>
        <w:jc w:val="both"/>
      </w:pPr>
      <w:r>
        <w:t>“Respecto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denuncias</w:t>
      </w:r>
      <w:r>
        <w:rPr>
          <w:spacing w:val="-15"/>
        </w:rPr>
        <w:t xml:space="preserve"> </w:t>
      </w:r>
      <w:r>
        <w:t>recibidas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causas</w:t>
      </w:r>
      <w:r>
        <w:rPr>
          <w:spacing w:val="-11"/>
        </w:rPr>
        <w:t xml:space="preserve"> </w:t>
      </w:r>
      <w:r>
        <w:t>reguladas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virtud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 N°20.066, el funcionario y las instituciones señaladas en el inciso final del artículo anterior deberán mantener la reserva indicada en el inciso final del artículo 113 de esta ley.”.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9"/>
        <w:rPr>
          <w:sz w:val="26"/>
        </w:rPr>
      </w:pPr>
    </w:p>
    <w:p w:rsidR="004A4F1E" w:rsidRDefault="001F7960">
      <w:pPr>
        <w:pStyle w:val="Textoindependiente"/>
        <w:spacing w:line="252" w:lineRule="auto"/>
        <w:ind w:left="119"/>
      </w:pPr>
      <w:r>
        <w:rPr>
          <w:b/>
        </w:rPr>
        <w:t>ARTÍCULO</w:t>
      </w:r>
      <w:r>
        <w:rPr>
          <w:b/>
          <w:spacing w:val="-15"/>
        </w:rPr>
        <w:t xml:space="preserve"> </w:t>
      </w:r>
      <w:r>
        <w:rPr>
          <w:b/>
        </w:rPr>
        <w:t>TERCERO.</w:t>
      </w:r>
      <w:r>
        <w:rPr>
          <w:b/>
          <w:spacing w:val="-15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t>Establézcase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modificaciones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N°1552, del Código de Procedimiento Civil:</w:t>
      </w:r>
    </w:p>
    <w:p w:rsidR="004A4F1E" w:rsidRDefault="001F7960">
      <w:pPr>
        <w:pStyle w:val="Prrafodelista"/>
        <w:numPr>
          <w:ilvl w:val="0"/>
          <w:numId w:val="1"/>
        </w:numPr>
        <w:tabs>
          <w:tab w:val="left" w:pos="841"/>
        </w:tabs>
        <w:spacing w:before="180" w:line="256" w:lineRule="auto"/>
        <w:ind w:right="120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40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inciso</w:t>
      </w:r>
      <w:r>
        <w:rPr>
          <w:spacing w:val="-12"/>
          <w:sz w:val="24"/>
        </w:rPr>
        <w:t xml:space="preserve"> </w:t>
      </w:r>
      <w:r>
        <w:rPr>
          <w:sz w:val="24"/>
        </w:rPr>
        <w:t>segundo</w:t>
      </w:r>
      <w:r>
        <w:rPr>
          <w:spacing w:val="-12"/>
          <w:sz w:val="24"/>
        </w:rPr>
        <w:t xml:space="preserve"> </w:t>
      </w:r>
      <w:r>
        <w:rPr>
          <w:sz w:val="24"/>
        </w:rPr>
        <w:t>nuevo,</w:t>
      </w:r>
      <w:r>
        <w:rPr>
          <w:spacing w:val="-10"/>
          <w:sz w:val="24"/>
        </w:rPr>
        <w:t xml:space="preserve"> </w:t>
      </w:r>
      <w:r>
        <w:rPr>
          <w:sz w:val="24"/>
        </w:rPr>
        <w:t>pasando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actual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ser tercero, del siguiente tenor:</w:t>
      </w:r>
    </w:p>
    <w:p w:rsidR="004A4F1E" w:rsidRDefault="004A4F1E">
      <w:pPr>
        <w:spacing w:line="256" w:lineRule="auto"/>
        <w:jc w:val="both"/>
        <w:rPr>
          <w:sz w:val="24"/>
        </w:rPr>
        <w:sectPr w:rsidR="004A4F1E">
          <w:pgSz w:w="12240" w:h="15840"/>
          <w:pgMar w:top="2440" w:right="1580" w:bottom="280" w:left="1580" w:header="824" w:footer="0" w:gutter="0"/>
          <w:cols w:space="720"/>
        </w:sectPr>
      </w:pPr>
    </w:p>
    <w:p w:rsidR="004A4F1E" w:rsidRDefault="004A4F1E">
      <w:pPr>
        <w:pStyle w:val="Textoindependiente"/>
        <w:spacing w:before="6"/>
      </w:pPr>
    </w:p>
    <w:p w:rsidR="004A4F1E" w:rsidRDefault="001F7960">
      <w:pPr>
        <w:pStyle w:val="Textoindependiente"/>
        <w:spacing w:before="24" w:line="256" w:lineRule="auto"/>
        <w:ind w:left="825" w:right="116"/>
        <w:jc w:val="both"/>
      </w:pPr>
      <w:r>
        <w:t>“Tratándose de causas reguladas por la Ley N°20.066, la solicitud a</w:t>
      </w:r>
      <w:r>
        <w:t xml:space="preserve"> que se refiere el inciso anterior deberá mantener reserva del domicilio de la parte demandante sin que ello afecte de forma alguna los derechos del </w:t>
      </w:r>
      <w:r>
        <w:rPr>
          <w:spacing w:val="-2"/>
        </w:rPr>
        <w:t>demandado.”.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13"/>
        <w:rPr>
          <w:sz w:val="25"/>
        </w:rPr>
      </w:pPr>
    </w:p>
    <w:p w:rsidR="004A4F1E" w:rsidRDefault="001F7960">
      <w:pPr>
        <w:pStyle w:val="Prrafodelista"/>
        <w:numPr>
          <w:ilvl w:val="0"/>
          <w:numId w:val="1"/>
        </w:numPr>
        <w:tabs>
          <w:tab w:val="left" w:pos="841"/>
        </w:tabs>
        <w:ind w:left="825" w:hanging="346"/>
        <w:rPr>
          <w:sz w:val="24"/>
        </w:rPr>
      </w:pPr>
      <w:r>
        <w:rPr>
          <w:sz w:val="24"/>
        </w:rPr>
        <w:t>Incorpórese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11"/>
          <w:sz w:val="24"/>
        </w:rPr>
        <w:t xml:space="preserve"> </w:t>
      </w:r>
      <w:r>
        <w:rPr>
          <w:sz w:val="24"/>
        </w:rPr>
        <w:t>254</w:t>
      </w:r>
      <w:r>
        <w:rPr>
          <w:spacing w:val="-10"/>
          <w:sz w:val="24"/>
        </w:rPr>
        <w:t xml:space="preserve"> </w:t>
      </w:r>
      <w:r>
        <w:rPr>
          <w:sz w:val="24"/>
        </w:rPr>
        <w:t>(251)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inciso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8"/>
          <w:sz w:val="24"/>
        </w:rPr>
        <w:t xml:space="preserve"> </w:t>
      </w:r>
      <w:r>
        <w:rPr>
          <w:sz w:val="24"/>
        </w:rPr>
        <w:t>nuevo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4A4F1E" w:rsidRDefault="001F7960">
      <w:pPr>
        <w:pStyle w:val="Textoindependiente"/>
        <w:spacing w:before="190" w:line="259" w:lineRule="auto"/>
        <w:ind w:left="825" w:right="125"/>
        <w:jc w:val="both"/>
      </w:pPr>
      <w:r>
        <w:t>“Respecto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requisito</w:t>
      </w:r>
      <w:r>
        <w:rPr>
          <w:spacing w:val="-15"/>
        </w:rPr>
        <w:t xml:space="preserve"> </w:t>
      </w:r>
      <w:r>
        <w:t>señalado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numeral</w:t>
      </w:r>
      <w:r>
        <w:rPr>
          <w:spacing w:val="-15"/>
        </w:rPr>
        <w:t xml:space="preserve"> </w:t>
      </w:r>
      <w:r>
        <w:t>2)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artículo,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para los procesos regulados por la Ley N°20.066, el Tribunal deberá mantener la reserva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domicilio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actuaciones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realicen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 xml:space="preserve">registros informáticos a que </w:t>
      </w:r>
      <w:r>
        <w:t>tenga acceso la parte demandada.”.</w:t>
      </w:r>
    </w:p>
    <w:p w:rsidR="004A4F1E" w:rsidRDefault="004A4F1E">
      <w:pPr>
        <w:pStyle w:val="Textoindependiente"/>
      </w:pPr>
    </w:p>
    <w:p w:rsidR="004A4F1E" w:rsidRDefault="004A4F1E">
      <w:pPr>
        <w:pStyle w:val="Textoindependiente"/>
        <w:spacing w:before="9"/>
        <w:rPr>
          <w:sz w:val="25"/>
        </w:rPr>
      </w:pPr>
    </w:p>
    <w:p w:rsidR="004A4F1E" w:rsidRDefault="001F7960">
      <w:pPr>
        <w:pStyle w:val="Textoindependiente"/>
        <w:spacing w:before="1" w:line="259" w:lineRule="auto"/>
        <w:ind w:left="119" w:right="112"/>
        <w:jc w:val="both"/>
      </w:pPr>
      <w:r>
        <w:rPr>
          <w:b/>
        </w:rPr>
        <w:t xml:space="preserve">ARTÍCULO CUARTO.- </w:t>
      </w:r>
      <w:r>
        <w:t>El funcionario que publique, exponga, difunda o diera a cualquier título la información personal regulada en el presente cuerpo legal será condenado a la pena de presidio menor en sus grados mínimo a medio y la inhabilidad temporal de desempeñar cargos púb</w:t>
      </w:r>
      <w:r>
        <w:t xml:space="preserve">licos por el tiempo que dure su </w:t>
      </w:r>
      <w:r>
        <w:rPr>
          <w:spacing w:val="-2"/>
        </w:rPr>
        <w:t>condena.</w:t>
      </w: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rPr>
          <w:sz w:val="20"/>
        </w:rPr>
      </w:pPr>
    </w:p>
    <w:p w:rsidR="004A4F1E" w:rsidRDefault="004A4F1E">
      <w:pPr>
        <w:pStyle w:val="Textoindependiente"/>
        <w:spacing w:before="13"/>
        <w:rPr>
          <w:sz w:val="17"/>
        </w:rPr>
      </w:pPr>
    </w:p>
    <w:tbl>
      <w:tblPr>
        <w:tblStyle w:val="TableNormal"/>
        <w:tblW w:w="0" w:type="auto"/>
        <w:tblInd w:w="2809" w:type="dxa"/>
        <w:tblLayout w:type="fixed"/>
        <w:tblLook w:val="01E0" w:firstRow="1" w:lastRow="1" w:firstColumn="1" w:lastColumn="1" w:noHBand="0" w:noVBand="0"/>
      </w:tblPr>
      <w:tblGrid>
        <w:gridCol w:w="3467"/>
      </w:tblGrid>
      <w:tr w:rsidR="004A4F1E">
        <w:trPr>
          <w:trHeight w:val="285"/>
        </w:trPr>
        <w:tc>
          <w:tcPr>
            <w:tcW w:w="3467" w:type="dxa"/>
          </w:tcPr>
          <w:p w:rsidR="004A4F1E" w:rsidRDefault="001F796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JORGE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SAFFIRIO </w:t>
            </w:r>
            <w:r>
              <w:rPr>
                <w:b/>
                <w:spacing w:val="-2"/>
                <w:sz w:val="24"/>
              </w:rPr>
              <w:t>ESPINOZA</w:t>
            </w:r>
          </w:p>
        </w:tc>
      </w:tr>
      <w:tr w:rsidR="004A4F1E">
        <w:trPr>
          <w:trHeight w:val="285"/>
        </w:trPr>
        <w:tc>
          <w:tcPr>
            <w:tcW w:w="3467" w:type="dxa"/>
          </w:tcPr>
          <w:p w:rsidR="004A4F1E" w:rsidRDefault="001F79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Diputado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República</w:t>
            </w:r>
          </w:p>
        </w:tc>
      </w:tr>
    </w:tbl>
    <w:p w:rsidR="001F7960" w:rsidRDefault="001F7960"/>
    <w:sectPr w:rsidR="001F7960">
      <w:pgSz w:w="12240" w:h="15840"/>
      <w:pgMar w:top="2440" w:right="1580" w:bottom="280" w:left="1580" w:header="8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960" w:rsidRDefault="001F7960">
      <w:r>
        <w:separator/>
      </w:r>
    </w:p>
  </w:endnote>
  <w:endnote w:type="continuationSeparator" w:id="0">
    <w:p w:rsidR="001F7960" w:rsidRDefault="001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960" w:rsidRDefault="001F7960">
      <w:r>
        <w:separator/>
      </w:r>
    </w:p>
  </w:footnote>
  <w:footnote w:type="continuationSeparator" w:id="0">
    <w:p w:rsidR="001F7960" w:rsidRDefault="001F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F1E" w:rsidRDefault="001F796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3356767</wp:posOffset>
          </wp:positionH>
          <wp:positionV relativeFrom="page">
            <wp:posOffset>523035</wp:posOffset>
          </wp:positionV>
          <wp:extent cx="1063449" cy="10281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3449" cy="1028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CFA"/>
    <w:multiLevelType w:val="hybridMultilevel"/>
    <w:tmpl w:val="FD10FAFC"/>
    <w:lvl w:ilvl="0" w:tplc="41665578">
      <w:start w:val="1"/>
      <w:numFmt w:val="decimal"/>
      <w:lvlText w:val="%1."/>
      <w:lvlJc w:val="left"/>
      <w:pPr>
        <w:ind w:left="84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F44B896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0428BAA6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F466707E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1AD83FAC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19BECE1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716007CC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5A3ADDA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A2CE4510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02A0F8A"/>
    <w:multiLevelType w:val="hybridMultilevel"/>
    <w:tmpl w:val="B9EE8D2C"/>
    <w:lvl w:ilvl="0" w:tplc="5CF6D160">
      <w:start w:val="1"/>
      <w:numFmt w:val="decimal"/>
      <w:lvlText w:val="%1."/>
      <w:lvlJc w:val="left"/>
      <w:pPr>
        <w:ind w:left="84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DCA4252C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834212E6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54989FF6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503455B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65804B0C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9644350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E6BECC5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75B66274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D5A39EB"/>
    <w:multiLevelType w:val="hybridMultilevel"/>
    <w:tmpl w:val="563492A4"/>
    <w:lvl w:ilvl="0" w:tplc="0C70A5E6">
      <w:start w:val="1"/>
      <w:numFmt w:val="decimal"/>
      <w:lvlText w:val="%1."/>
      <w:lvlJc w:val="left"/>
      <w:pPr>
        <w:ind w:left="84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6E250AC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3BD0132A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B32AF272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87B00886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4738BB4A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B6F426B8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D72E8D10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2C7E387E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F1E"/>
    <w:rsid w:val="001F7960"/>
    <w:rsid w:val="004A4F1E"/>
    <w:rsid w:val="00D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E6489E-C428-4056-B128-8885E10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2" w:righ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noticias.cl/nacional/410364-femicidio-parral-autos-confeso-funcionario-de-gendarmeria-hija-de-4-anos-02-04-202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operativa.cl/noticias/pais/region-de-la-araucania/autor-de-femicidio-frustrado-en-angol-fue-condenado-a-penas-que-suman-25/2023-01-25/22450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operativa.cl/noticias/pais/region-de-la-araucania/autor-de-femicidio-frustrado-en-angol-fue-condenado-a-penas-que-suman-25/2023-01-25/2245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ganoticias.cl/nacional/410364-femicidio-parral-autos-confeso-funcionario-de-gendarmeria-hija-de-4-anos-02-04-202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1738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Carvajal</dc:creator>
  <cp:lastModifiedBy>Guillermo Diaz Vallejos</cp:lastModifiedBy>
  <cp:revision>1</cp:revision>
  <dcterms:created xsi:type="dcterms:W3CDTF">2023-04-17T13:38:00Z</dcterms:created>
  <dcterms:modified xsi:type="dcterms:W3CDTF">2023-04-26T16:16:00Z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para Microsoft 365</vt:lpwstr>
  </property>
</Properties>
</file>