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42C6" w:rsidRDefault="00FE6C4A">
      <w:pPr>
        <w:tabs>
          <w:tab w:val="left" w:pos="7675"/>
        </w:tabs>
        <w:ind w:left="13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17841" cy="10178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841" cy="101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42"/>
          <w:sz w:val="20"/>
        </w:rPr>
        <w:drawing>
          <wp:inline distT="0" distB="0" distL="0" distR="0">
            <wp:extent cx="923925" cy="9144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42C6" w:rsidRDefault="00ED42C6">
      <w:pPr>
        <w:pStyle w:val="Textoindependiente"/>
        <w:spacing w:before="9"/>
        <w:rPr>
          <w:rFonts w:ascii="Times New Roman"/>
          <w:sz w:val="28"/>
        </w:rPr>
      </w:pPr>
    </w:p>
    <w:p w:rsidR="00ED42C6" w:rsidRDefault="00FE6C4A">
      <w:pPr>
        <w:pStyle w:val="Ttulo1"/>
        <w:spacing w:before="100" w:line="360" w:lineRule="auto"/>
        <w:ind w:right="218"/>
        <w:jc w:val="center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PROHÍBE</w:t>
      </w:r>
      <w:r>
        <w:rPr>
          <w:spacing w:val="-5"/>
        </w:rPr>
        <w:t xml:space="preserve"> </w:t>
      </w:r>
      <w:r>
        <w:t>CONDICIONAR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RENDICIÓN</w:t>
      </w:r>
      <w:r>
        <w:rPr>
          <w:spacing w:val="-5"/>
        </w:rPr>
        <w:t xml:space="preserve"> </w:t>
      </w:r>
      <w:r>
        <w:t>DE EVALUACIONES Y LA ENTREGA DE TÍTULOS AL PAGO DE DEUDAS ARANCELARIAS CONTRAÍDAS CON LAS INSTITUCIONES DE EDUCACIÓN SUPERIOR</w:t>
      </w:r>
    </w:p>
    <w:p w:rsidR="00ED42C6" w:rsidRDefault="00ED42C6">
      <w:pPr>
        <w:pStyle w:val="Textoindependiente"/>
        <w:rPr>
          <w:b/>
          <w:sz w:val="36"/>
        </w:rPr>
      </w:pPr>
    </w:p>
    <w:p w:rsidR="00ED42C6" w:rsidRDefault="00FE6C4A">
      <w:pPr>
        <w:ind w:left="100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ED42C6" w:rsidRDefault="00ED42C6">
      <w:pPr>
        <w:pStyle w:val="Textoindependiente"/>
        <w:rPr>
          <w:b/>
          <w:sz w:val="26"/>
        </w:rPr>
      </w:pPr>
    </w:p>
    <w:p w:rsidR="00ED42C6" w:rsidRDefault="00ED42C6">
      <w:pPr>
        <w:pStyle w:val="Textoindependiente"/>
        <w:rPr>
          <w:b/>
          <w:sz w:val="22"/>
        </w:rPr>
      </w:pPr>
    </w:p>
    <w:p w:rsidR="00ED42C6" w:rsidRDefault="00FE6C4A">
      <w:pPr>
        <w:pStyle w:val="Textoindependiente"/>
        <w:spacing w:line="360" w:lineRule="auto"/>
        <w:ind w:left="100" w:right="116"/>
        <w:jc w:val="both"/>
      </w:pPr>
      <w:r>
        <w:t>En el último tiempo hemos asistido a un conjunto de decisiones judiciales cuyo razonamiento amenaza con ser problem</w:t>
      </w:r>
      <w:r>
        <w:t>ático para los estudiantes de la educación superior</w:t>
      </w:r>
      <w:r>
        <w:rPr>
          <w:spacing w:val="40"/>
        </w:rPr>
        <w:t xml:space="preserve"> </w:t>
      </w:r>
      <w:r>
        <w:t>de nuestro país. Nos referimos a la situación de alumnos y alumnas a las que se les niega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títulos,</w:t>
      </w:r>
      <w:r>
        <w:rPr>
          <w:spacing w:val="-3"/>
        </w:rPr>
        <w:t xml:space="preserve"> </w:t>
      </w:r>
      <w:r>
        <w:t>diplomas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certificaciones</w:t>
      </w:r>
      <w:r>
        <w:rPr>
          <w:spacing w:val="-3"/>
        </w:rPr>
        <w:t xml:space="preserve"> </w:t>
      </w:r>
      <w:r>
        <w:t>académicas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 xml:space="preserve">parte de las Instituciones de Educación Superior </w:t>
      </w:r>
      <w:r>
        <w:t>(IES) puesto que mantienen deudas de arancel con éstas al momento de titularse.</w:t>
      </w:r>
    </w:p>
    <w:p w:rsidR="00ED42C6" w:rsidRDefault="00ED42C6">
      <w:pPr>
        <w:pStyle w:val="Textoindependiente"/>
        <w:rPr>
          <w:sz w:val="36"/>
        </w:rPr>
      </w:pPr>
    </w:p>
    <w:p w:rsidR="00ED42C6" w:rsidRDefault="00FE6C4A">
      <w:pPr>
        <w:pStyle w:val="Textoindependiente"/>
        <w:spacing w:line="360" w:lineRule="auto"/>
        <w:ind w:left="100" w:right="114"/>
        <w:jc w:val="both"/>
      </w:pPr>
      <w:r>
        <w:t>Si bien los casos analizados tienen un resultado positivo para los afectados, por cuanto se resuelve la imposibilidad de condicionar la entrega de títulos por parte de las IES</w:t>
      </w:r>
      <w:r>
        <w:t>, es el razonamiento que ofrecen nuestros tribunales el problemático, pues</w:t>
      </w:r>
      <w:r>
        <w:rPr>
          <w:spacing w:val="-2"/>
        </w:rPr>
        <w:t xml:space="preserve"> </w:t>
      </w:r>
      <w:r>
        <w:t>se sostiene que la prohibición de retener títulos, diplomas o certificaciones por deudas arancelarias sólo opera respecto de casos anteriores 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entrada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2018 de la Ley 21.091. Esta postura anticipa el juicio</w:t>
      </w:r>
      <w:r>
        <w:rPr>
          <w:spacing w:val="-2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hacemos</w:t>
      </w:r>
      <w:r>
        <w:rPr>
          <w:spacing w:val="-2"/>
        </w:rPr>
        <w:t xml:space="preserve"> </w:t>
      </w:r>
      <w:r>
        <w:t>nada,</w:t>
      </w:r>
      <w:r>
        <w:rPr>
          <w:spacing w:val="-2"/>
        </w:rPr>
        <w:t xml:space="preserve"> </w:t>
      </w:r>
      <w:r>
        <w:t>tendrán</w:t>
      </w:r>
      <w:r>
        <w:rPr>
          <w:spacing w:val="-2"/>
        </w:rPr>
        <w:t xml:space="preserve"> </w:t>
      </w:r>
      <w:r>
        <w:t xml:space="preserve">los tribunales para quienes hayan iniciado sus estudios después del año 2018: las IES tendrán la facultad de retener sus títulos si mantienen deudas de arancel con la </w:t>
      </w:r>
      <w:r>
        <w:rPr>
          <w:spacing w:val="-2"/>
        </w:rPr>
        <w:t>i</w:t>
      </w:r>
      <w:r>
        <w:rPr>
          <w:spacing w:val="-2"/>
        </w:rPr>
        <w:t>nstitución.</w:t>
      </w:r>
    </w:p>
    <w:p w:rsidR="00ED42C6" w:rsidRDefault="00ED42C6">
      <w:pPr>
        <w:pStyle w:val="Textoindependiente"/>
        <w:rPr>
          <w:sz w:val="36"/>
        </w:rPr>
      </w:pPr>
    </w:p>
    <w:p w:rsidR="00ED42C6" w:rsidRDefault="00FE6C4A">
      <w:pPr>
        <w:pStyle w:val="Textoindependiente"/>
        <w:spacing w:line="360" w:lineRule="auto"/>
        <w:ind w:left="100" w:right="114"/>
        <w:jc w:val="both"/>
      </w:pPr>
      <w:r>
        <w:t>A</w:t>
      </w:r>
      <w:r>
        <w:rPr>
          <w:spacing w:val="40"/>
        </w:rPr>
        <w:t xml:space="preserve"> </w:t>
      </w:r>
      <w:r>
        <w:t>su turno, la regla actual también incluye otro aspecto que nos parece apropiado revisar: también permite condicionar la rendición de</w:t>
      </w:r>
      <w:r>
        <w:rPr>
          <w:spacing w:val="-3"/>
        </w:rPr>
        <w:t xml:space="preserve"> </w:t>
      </w:r>
      <w:r>
        <w:t>evaluaciones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pago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deudas arancelarias. Pero para una mejor comprensión del asunto, es necesaria una br</w:t>
      </w:r>
      <w:r>
        <w:t>eve contextualización normativa.</w:t>
      </w:r>
    </w:p>
    <w:p w:rsidR="00ED42C6" w:rsidRDefault="00ED42C6">
      <w:pPr>
        <w:spacing w:line="360" w:lineRule="auto"/>
        <w:jc w:val="both"/>
        <w:sectPr w:rsidR="00ED42C6">
          <w:type w:val="continuous"/>
          <w:pgSz w:w="11920" w:h="16840"/>
          <w:pgMar w:top="1620" w:right="1340" w:bottom="280" w:left="1340" w:header="720" w:footer="720" w:gutter="0"/>
          <w:cols w:space="720"/>
        </w:sectPr>
      </w:pPr>
    </w:p>
    <w:p w:rsidR="00ED42C6" w:rsidRDefault="00FE6C4A">
      <w:pPr>
        <w:pStyle w:val="Ttulo1"/>
        <w:numPr>
          <w:ilvl w:val="0"/>
          <w:numId w:val="1"/>
        </w:numPr>
        <w:tabs>
          <w:tab w:val="left" w:pos="347"/>
        </w:tabs>
        <w:spacing w:before="80"/>
      </w:pPr>
      <w:r>
        <w:lastRenderedPageBreak/>
        <w:t xml:space="preserve">Situación antes de la ley 21.091 (mayo de </w:t>
      </w:r>
      <w:r>
        <w:rPr>
          <w:spacing w:val="-2"/>
        </w:rPr>
        <w:t>2018)</w:t>
      </w:r>
    </w:p>
    <w:p w:rsidR="00ED42C6" w:rsidRDefault="00ED42C6">
      <w:pPr>
        <w:pStyle w:val="Textoindependiente"/>
        <w:spacing w:before="1"/>
        <w:rPr>
          <w:b/>
          <w:sz w:val="33"/>
        </w:rPr>
      </w:pPr>
    </w:p>
    <w:p w:rsidR="00ED42C6" w:rsidRDefault="00FE6C4A">
      <w:pPr>
        <w:pStyle w:val="Textoindependiente"/>
        <w:spacing w:line="360" w:lineRule="auto"/>
        <w:ind w:left="100" w:right="117"/>
        <w:jc w:val="both"/>
      </w:pPr>
      <w:r>
        <w:t>La situación no estaba resuelta en ley o reglamento alguno, por lo que estudiantes que veían retenidos sus documentos académicos por tener deuda de arancel co</w:t>
      </w:r>
      <w:r>
        <w:t>n la IES, recurrían a tribunales vía acción de protección, alegando vulneración de las garantías de igualdad ante la ley y derecho de propiedad, en relación al derecho a</w:t>
      </w:r>
      <w:r>
        <w:rPr>
          <w:spacing w:val="-2"/>
        </w:rPr>
        <w:t xml:space="preserve"> </w:t>
      </w:r>
      <w:r>
        <w:t>la educación, y a la Ley General de Educación. Algunos presentaban reclamos a la Divis</w:t>
      </w:r>
      <w:r>
        <w:t>ión de Educación Superior del Mineduc,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atribuciones,</w:t>
      </w:r>
      <w:r>
        <w:rPr>
          <w:spacing w:val="-3"/>
        </w:rPr>
        <w:t xml:space="preserve"> </w:t>
      </w:r>
      <w:r>
        <w:t>hacía</w:t>
      </w:r>
      <w:r>
        <w:rPr>
          <w:spacing w:val="-3"/>
        </w:rPr>
        <w:t xml:space="preserve"> </w:t>
      </w:r>
      <w:r>
        <w:t>presente a la IES el criterio jurisprudencial para solicitar que entregase los documentos.</w:t>
      </w:r>
    </w:p>
    <w:p w:rsidR="00ED42C6" w:rsidRDefault="00ED42C6">
      <w:pPr>
        <w:pStyle w:val="Textoindependiente"/>
        <w:spacing w:before="1"/>
        <w:rPr>
          <w:sz w:val="21"/>
        </w:rPr>
      </w:pPr>
    </w:p>
    <w:p w:rsidR="00ED42C6" w:rsidRDefault="00FE6C4A">
      <w:pPr>
        <w:pStyle w:val="Textoindependiente"/>
        <w:spacing w:line="360" w:lineRule="auto"/>
        <w:ind w:left="100" w:right="119"/>
        <w:jc w:val="both"/>
      </w:pPr>
      <w:r>
        <w:t>De esta forma, la jurisprudencia resultó ser unánime y contundente en torno a resolver que la retención de los documentos</w:t>
      </w:r>
      <w:r>
        <w:rPr>
          <w:spacing w:val="-3"/>
        </w:rPr>
        <w:t xml:space="preserve"> </w:t>
      </w:r>
      <w:r>
        <w:t>era</w:t>
      </w:r>
      <w:r>
        <w:rPr>
          <w:spacing w:val="-3"/>
        </w:rPr>
        <w:t xml:space="preserve"> </w:t>
      </w:r>
      <w:r>
        <w:t>ilegal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arbitraria,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manera</w:t>
      </w:r>
      <w:r>
        <w:rPr>
          <w:spacing w:val="-3"/>
        </w:rPr>
        <w:t xml:space="preserve"> </w:t>
      </w:r>
      <w:r>
        <w:t>que muchas instituciones derechamente cambiaron sus políticas o bien se allanaban tan pronto er</w:t>
      </w:r>
      <w:r>
        <w:t>an notificadas del recurso.</w:t>
      </w:r>
    </w:p>
    <w:p w:rsidR="00ED42C6" w:rsidRDefault="00ED42C6">
      <w:pPr>
        <w:pStyle w:val="Textoindependiente"/>
        <w:rPr>
          <w:sz w:val="26"/>
        </w:rPr>
      </w:pPr>
    </w:p>
    <w:p w:rsidR="00ED42C6" w:rsidRDefault="00ED42C6">
      <w:pPr>
        <w:pStyle w:val="Textoindependiente"/>
        <w:rPr>
          <w:sz w:val="26"/>
        </w:rPr>
      </w:pPr>
    </w:p>
    <w:p w:rsidR="00ED42C6" w:rsidRDefault="00ED42C6">
      <w:pPr>
        <w:pStyle w:val="Textoindependiente"/>
        <w:spacing w:before="3"/>
        <w:rPr>
          <w:sz w:val="26"/>
        </w:rPr>
      </w:pPr>
    </w:p>
    <w:p w:rsidR="00ED42C6" w:rsidRDefault="00FE6C4A">
      <w:pPr>
        <w:pStyle w:val="Ttulo1"/>
        <w:numPr>
          <w:ilvl w:val="0"/>
          <w:numId w:val="1"/>
        </w:numPr>
        <w:tabs>
          <w:tab w:val="left" w:pos="454"/>
        </w:tabs>
        <w:ind w:left="453" w:hanging="354"/>
      </w:pPr>
      <w:r>
        <w:t xml:space="preserve">Ley 21.091 sobre Educación de 29 de mayo de </w:t>
      </w:r>
      <w:r>
        <w:rPr>
          <w:spacing w:val="-4"/>
        </w:rPr>
        <w:t>2018</w:t>
      </w:r>
    </w:p>
    <w:p w:rsidR="00ED42C6" w:rsidRDefault="00ED42C6">
      <w:pPr>
        <w:pStyle w:val="Textoindependiente"/>
        <w:spacing w:before="1"/>
        <w:rPr>
          <w:b/>
          <w:sz w:val="33"/>
        </w:rPr>
      </w:pPr>
    </w:p>
    <w:p w:rsidR="00ED42C6" w:rsidRDefault="00FE6C4A">
      <w:pPr>
        <w:pStyle w:val="Textoindependiente"/>
        <w:spacing w:before="1" w:line="360" w:lineRule="auto"/>
        <w:ind w:left="100" w:right="112"/>
        <w:jc w:val="both"/>
      </w:pPr>
      <w:r>
        <w:t xml:space="preserve">En 2018 se publicó la Ley 21.091 sobre Educación Superior, que vino a regular </w:t>
      </w:r>
      <w:r>
        <w:t>sus objetivos, principios, subsistemas técnico y profesional, modernizó el sistema de aseguramiento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calidad,</w:t>
      </w:r>
      <w:r>
        <w:rPr>
          <w:spacing w:val="-3"/>
        </w:rPr>
        <w:t xml:space="preserve"> </w:t>
      </w:r>
      <w:r>
        <w:t>creó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superintendencia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subsecretaría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 superior,</w:t>
      </w:r>
      <w:r>
        <w:rPr>
          <w:spacing w:val="-3"/>
        </w:rPr>
        <w:t xml:space="preserve"> </w:t>
      </w:r>
      <w:r>
        <w:t>reguló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operaciones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relacionadas,</w:t>
      </w:r>
      <w:r>
        <w:rPr>
          <w:spacing w:val="-3"/>
        </w:rPr>
        <w:t xml:space="preserve"> </w:t>
      </w:r>
      <w:r>
        <w:t>reguló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gratuidad,</w:t>
      </w:r>
      <w:r>
        <w:rPr>
          <w:spacing w:val="-3"/>
        </w:rPr>
        <w:t xml:space="preserve"> </w:t>
      </w:r>
      <w:r>
        <w:t>ent</w:t>
      </w:r>
      <w:r>
        <w:t>re otras materias.</w:t>
      </w:r>
    </w:p>
    <w:p w:rsidR="00ED42C6" w:rsidRDefault="00ED42C6">
      <w:pPr>
        <w:pStyle w:val="Textoindependiente"/>
        <w:spacing w:before="1"/>
        <w:rPr>
          <w:sz w:val="21"/>
        </w:rPr>
      </w:pPr>
    </w:p>
    <w:p w:rsidR="00ED42C6" w:rsidRDefault="00FE6C4A">
      <w:pPr>
        <w:pStyle w:val="Textoindependiente"/>
        <w:spacing w:line="360" w:lineRule="auto"/>
        <w:ind w:left="100" w:right="119"/>
        <w:jc w:val="both"/>
      </w:pPr>
      <w:r>
        <w:t>En el contexto de las facultades de la Superintendencia de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Superior,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párrafo sobre “Infracciones y Sanciones”, se encuentra la siguiente disposición:</w:t>
      </w:r>
    </w:p>
    <w:p w:rsidR="00ED42C6" w:rsidRDefault="00ED42C6">
      <w:pPr>
        <w:pStyle w:val="Textoindependiente"/>
        <w:spacing w:before="1"/>
        <w:rPr>
          <w:sz w:val="21"/>
        </w:rPr>
      </w:pPr>
    </w:p>
    <w:p w:rsidR="00ED42C6" w:rsidRDefault="00FE6C4A">
      <w:pPr>
        <w:ind w:left="100"/>
        <w:jc w:val="both"/>
        <w:rPr>
          <w:i/>
          <w:sz w:val="24"/>
        </w:rPr>
      </w:pPr>
      <w:r>
        <w:rPr>
          <w:i/>
          <w:sz w:val="24"/>
        </w:rPr>
        <w:t xml:space="preserve">Art. 55.- Son infracciones </w:t>
      </w:r>
      <w:r>
        <w:rPr>
          <w:i/>
          <w:spacing w:val="-2"/>
          <w:sz w:val="24"/>
        </w:rPr>
        <w:t>graves:</w:t>
      </w:r>
    </w:p>
    <w:p w:rsidR="00ED42C6" w:rsidRDefault="00ED42C6">
      <w:pPr>
        <w:pStyle w:val="Textoindependiente"/>
        <w:rPr>
          <w:i/>
          <w:sz w:val="26"/>
        </w:rPr>
      </w:pPr>
    </w:p>
    <w:p w:rsidR="00ED42C6" w:rsidRDefault="00ED42C6">
      <w:pPr>
        <w:pStyle w:val="Textoindependiente"/>
        <w:rPr>
          <w:i/>
          <w:sz w:val="22"/>
        </w:rPr>
      </w:pPr>
    </w:p>
    <w:p w:rsidR="00ED42C6" w:rsidRDefault="00FE6C4A">
      <w:pPr>
        <w:spacing w:line="360" w:lineRule="auto"/>
        <w:ind w:left="100" w:right="117"/>
        <w:jc w:val="both"/>
        <w:rPr>
          <w:i/>
          <w:sz w:val="24"/>
        </w:rPr>
      </w:pPr>
      <w:r>
        <w:rPr>
          <w:i/>
          <w:sz w:val="24"/>
        </w:rPr>
        <w:t>e) Condicionar la rendición de e</w:t>
      </w:r>
      <w:r>
        <w:rPr>
          <w:i/>
          <w:sz w:val="24"/>
        </w:rPr>
        <w:t>xámenes u otras evaluaciones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otorgamiento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 títulos, diplomas o certificaciones a exigencias pecuniarias, distintas al pago de aranceles previamente establecidos por la institución de educación superior en su reglamentación e informados a los estudia</w:t>
      </w:r>
      <w:r>
        <w:rPr>
          <w:i/>
          <w:sz w:val="24"/>
        </w:rPr>
        <w:t>ntes al momento 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suscribir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contrato </w:t>
      </w:r>
      <w:r>
        <w:rPr>
          <w:i/>
          <w:spacing w:val="-2"/>
          <w:sz w:val="24"/>
        </w:rPr>
        <w:t>respectivo.</w:t>
      </w:r>
    </w:p>
    <w:p w:rsidR="00ED42C6" w:rsidRDefault="00ED42C6">
      <w:pPr>
        <w:spacing w:line="360" w:lineRule="auto"/>
        <w:jc w:val="both"/>
        <w:rPr>
          <w:sz w:val="24"/>
        </w:rPr>
        <w:sectPr w:rsidR="00ED42C6">
          <w:pgSz w:w="11920" w:h="16840"/>
          <w:pgMar w:top="1360" w:right="1340" w:bottom="280" w:left="1340" w:header="720" w:footer="720" w:gutter="0"/>
          <w:cols w:space="720"/>
        </w:sectPr>
      </w:pPr>
    </w:p>
    <w:p w:rsidR="00ED42C6" w:rsidRDefault="00FE6C4A">
      <w:pPr>
        <w:pStyle w:val="Ttulo1"/>
        <w:numPr>
          <w:ilvl w:val="0"/>
          <w:numId w:val="1"/>
        </w:numPr>
        <w:tabs>
          <w:tab w:val="left" w:pos="561"/>
        </w:tabs>
        <w:spacing w:before="80"/>
        <w:ind w:left="560" w:hanging="461"/>
      </w:pPr>
      <w:r>
        <w:lastRenderedPageBreak/>
        <w:t xml:space="preserve">¿Qué ha ocurrido en </w:t>
      </w:r>
      <w:r>
        <w:rPr>
          <w:spacing w:val="-2"/>
        </w:rPr>
        <w:t>tribunales?</w:t>
      </w:r>
    </w:p>
    <w:p w:rsidR="00ED42C6" w:rsidRDefault="00ED42C6">
      <w:pPr>
        <w:pStyle w:val="Textoindependiente"/>
        <w:spacing w:before="1"/>
        <w:rPr>
          <w:b/>
          <w:sz w:val="33"/>
        </w:rPr>
      </w:pPr>
    </w:p>
    <w:p w:rsidR="00ED42C6" w:rsidRDefault="00FE6C4A">
      <w:pPr>
        <w:pStyle w:val="Textoindependiente"/>
        <w:spacing w:line="360" w:lineRule="auto"/>
        <w:ind w:left="100" w:right="115"/>
        <w:jc w:val="both"/>
      </w:pPr>
      <w:r>
        <w:t xml:space="preserve">Desde la dictación de la ley, algunas Universidades han entendido que la </w:t>
      </w:r>
      <w:r>
        <w:t>voz “aranceles previamente establecidos” no está limitada a los aranceles referidos a los derechos o tasas de titulación (estampillas y otros), sino que incluye aquello que comúnmente se conoce por arancel, es decir, la mensualidad o costo anual del servic</w:t>
      </w:r>
      <w:r>
        <w:t>io educacional. Existen dos ejemplos bastante ilustrativos al respecto.</w:t>
      </w:r>
    </w:p>
    <w:p w:rsidR="00ED42C6" w:rsidRDefault="00ED42C6">
      <w:pPr>
        <w:pStyle w:val="Textoindependiente"/>
        <w:spacing w:before="1"/>
        <w:rPr>
          <w:sz w:val="21"/>
        </w:rPr>
      </w:pPr>
    </w:p>
    <w:p w:rsidR="00ED42C6" w:rsidRDefault="00FE6C4A">
      <w:pPr>
        <w:pStyle w:val="Textoindependiente"/>
        <w:spacing w:line="360" w:lineRule="auto"/>
        <w:ind w:left="100" w:right="113"/>
        <w:jc w:val="both"/>
      </w:pPr>
      <w:r>
        <w:t>En el caso de la Universidad Tecnológica Metropolitana (UTEM), un estudiante con deuda de arancel recurre en contra de la Universidad porque debido a la deuda, no quieren entregarle</w:t>
      </w:r>
      <w:r>
        <w:rPr>
          <w:spacing w:val="-3"/>
        </w:rPr>
        <w:t xml:space="preserve"> </w:t>
      </w:r>
      <w:r>
        <w:t>e</w:t>
      </w:r>
      <w:r>
        <w:t>l</w:t>
      </w:r>
      <w:r>
        <w:rPr>
          <w:spacing w:val="-3"/>
        </w:rPr>
        <w:t xml:space="preserve"> </w:t>
      </w:r>
      <w:r>
        <w:t>título.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primera</w:t>
      </w:r>
      <w:r>
        <w:rPr>
          <w:spacing w:val="-3"/>
        </w:rPr>
        <w:t xml:space="preserve"> </w:t>
      </w:r>
      <w:r>
        <w:t>instancia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Corte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Apelaciones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Santiago resolvió rechazar el recurso presentado por el estudiante, entre otras razones, por</w:t>
      </w:r>
      <w:r>
        <w:rPr>
          <w:spacing w:val="-2"/>
        </w:rPr>
        <w:t xml:space="preserve"> </w:t>
      </w:r>
      <w:r>
        <w:t>la aplicación del referido artículo</w:t>
      </w:r>
      <w:r>
        <w:rPr>
          <w:vertAlign w:val="superscript"/>
        </w:rPr>
        <w:t>1</w:t>
      </w:r>
      <w:r>
        <w:t>. Dicha sentencia fue apelada resolviendo la Corte Suprema</w:t>
      </w:r>
      <w:r>
        <w:rPr>
          <w:spacing w:val="26"/>
        </w:rPr>
        <w:t xml:space="preserve"> </w:t>
      </w:r>
      <w:r>
        <w:t>revertir</w:t>
      </w:r>
      <w:r>
        <w:rPr>
          <w:spacing w:val="26"/>
        </w:rPr>
        <w:t xml:space="preserve"> </w:t>
      </w:r>
      <w:r>
        <w:t>l</w:t>
      </w:r>
      <w:r>
        <w:t>a decisión y acoger el recurso de protección pero en razón de que la ley 21.091 entró en vigencia el 29 de mayo de 2018 sin establecer normas para su aplicación retroactiva</w:t>
      </w:r>
      <w:r>
        <w:rPr>
          <w:vertAlign w:val="superscript"/>
        </w:rPr>
        <w:t>2</w:t>
      </w:r>
      <w:r>
        <w:t xml:space="preserve">. Por lo tanto, dicha normativa solo puede entenderse incorporada en los contratos </w:t>
      </w:r>
      <w:r>
        <w:t>de prestación de servicios educacionales que sean pactados con posterioridad a esa fecha, esto es, a estudiantes que se matriculen en IES desde esa fecha.</w:t>
      </w:r>
    </w:p>
    <w:p w:rsidR="00ED42C6" w:rsidRDefault="00ED42C6">
      <w:pPr>
        <w:pStyle w:val="Textoindependiente"/>
        <w:spacing w:before="2"/>
        <w:rPr>
          <w:sz w:val="21"/>
        </w:rPr>
      </w:pPr>
    </w:p>
    <w:p w:rsidR="00ED42C6" w:rsidRDefault="00FE6C4A">
      <w:pPr>
        <w:pStyle w:val="Textoindependiente"/>
        <w:spacing w:line="360" w:lineRule="auto"/>
        <w:ind w:left="100" w:right="116"/>
        <w:jc w:val="both"/>
      </w:pPr>
      <w:r>
        <w:t xml:space="preserve">Por su parte, en el caso de la Universidad de Valparaíso (UV), recurrida por un egresado moroso, la </w:t>
      </w:r>
      <w:r>
        <w:t>Corte de Apelaciones de esa ciudad decidió acoger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en vista que el estudiante ingresó a la Universidad en 2010, no pudiendo aplicarse la normativa que comienza a regir desde el 29 de mayo de 2018</w:t>
      </w:r>
      <w:r>
        <w:rPr>
          <w:vertAlign w:val="superscript"/>
        </w:rPr>
        <w:t>3</w:t>
      </w:r>
      <w:r>
        <w:t>. La Corte Suprema confirmó la sentencia</w:t>
      </w:r>
      <w:r>
        <w:rPr>
          <w:vertAlign w:val="superscript"/>
        </w:rPr>
        <w:t>4</w:t>
      </w:r>
      <w:r>
        <w:t>.</w:t>
      </w:r>
    </w:p>
    <w:p w:rsidR="00ED42C6" w:rsidRDefault="00ED42C6">
      <w:pPr>
        <w:pStyle w:val="Textoindependiente"/>
        <w:spacing w:before="1"/>
        <w:rPr>
          <w:sz w:val="21"/>
        </w:rPr>
      </w:pPr>
    </w:p>
    <w:p w:rsidR="00ED42C6" w:rsidRDefault="00FE6C4A">
      <w:pPr>
        <w:pStyle w:val="Textoindependiente"/>
        <w:spacing w:line="360" w:lineRule="auto"/>
        <w:ind w:left="100" w:right="112"/>
        <w:jc w:val="both"/>
      </w:pPr>
      <w:r>
        <w:pict>
          <v:shape id="docshape1" o:spid="_x0000_s1027" style="position:absolute;left:0;text-align:left;margin-left:1in;margin-top:145.95pt;width:2in;height:.1pt;z-index:-15728640;mso-wrap-distance-left:0;mso-wrap-distance-right:0;mso-position-horizontal-relative:page" coordorigin="1440,2919" coordsize="2880,0" path="m1440,2919r2880,e" filled="f">
            <v:path arrowok="t"/>
            <w10:wrap type="topAndBottom" anchorx="page"/>
          </v:shape>
        </w:pict>
      </w:r>
      <w:r>
        <w:t xml:space="preserve">Como </w:t>
      </w:r>
      <w:r>
        <w:t>vemos, tanto la UTEM como la UV han argumentado que no han cometido ilegalidad al negar la entrega de la documentación académica, pues han actuado de conformidad a lo establecido en el artículo 55 letra e) de la ley de Educación</w:t>
      </w:r>
      <w:r>
        <w:rPr>
          <w:spacing w:val="40"/>
        </w:rPr>
        <w:t xml:space="preserve"> </w:t>
      </w:r>
      <w:r>
        <w:t xml:space="preserve">Superior. Y los tribunales </w:t>
      </w:r>
      <w:r>
        <w:t>superiores de justicia -incluida la apelación a la Corte Suprema- han resuelto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posible</w:t>
      </w:r>
      <w:r>
        <w:rPr>
          <w:spacing w:val="-3"/>
        </w:rPr>
        <w:t xml:space="preserve"> </w:t>
      </w:r>
      <w:r>
        <w:t>retener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título,</w:t>
      </w:r>
      <w:r>
        <w:rPr>
          <w:spacing w:val="-3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tratarse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una interpretación errada de la norma, sino porque ella solo puede aplicarse a quien se haya matriculado en IES con posterioridad a la dictación de la ley.</w:t>
      </w:r>
    </w:p>
    <w:p w:rsidR="00ED42C6" w:rsidRDefault="00FE6C4A">
      <w:pPr>
        <w:spacing w:before="105"/>
        <w:ind w:left="100"/>
        <w:rPr>
          <w:sz w:val="20"/>
        </w:rPr>
      </w:pPr>
      <w:r>
        <w:rPr>
          <w:rFonts w:ascii="Arial"/>
          <w:sz w:val="20"/>
          <w:vertAlign w:val="superscript"/>
        </w:rPr>
        <w:t>1</w:t>
      </w:r>
      <w:r>
        <w:rPr>
          <w:rFonts w:ascii="Arial"/>
          <w:spacing w:val="-7"/>
          <w:sz w:val="20"/>
        </w:rPr>
        <w:t xml:space="preserve"> </w:t>
      </w:r>
      <w:r>
        <w:rPr>
          <w:sz w:val="20"/>
        </w:rPr>
        <w:t>Rol</w:t>
      </w:r>
      <w:r>
        <w:rPr>
          <w:spacing w:val="-6"/>
          <w:sz w:val="20"/>
        </w:rPr>
        <w:t xml:space="preserve"> </w:t>
      </w:r>
      <w:r>
        <w:rPr>
          <w:sz w:val="20"/>
        </w:rPr>
        <w:t>36.001-2021</w:t>
      </w:r>
      <w:r>
        <w:rPr>
          <w:spacing w:val="-5"/>
          <w:sz w:val="20"/>
        </w:rPr>
        <w:t xml:space="preserve"> </w:t>
      </w:r>
      <w:r>
        <w:rPr>
          <w:sz w:val="20"/>
        </w:rPr>
        <w:t>Corte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Apelaciones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Santiago.</w:t>
      </w:r>
    </w:p>
    <w:p w:rsidR="00ED42C6" w:rsidRDefault="00FE6C4A">
      <w:pPr>
        <w:ind w:left="100"/>
        <w:rPr>
          <w:sz w:val="20"/>
        </w:rPr>
      </w:pPr>
      <w:r>
        <w:rPr>
          <w:rFonts w:ascii="Arial"/>
          <w:sz w:val="20"/>
          <w:vertAlign w:val="superscript"/>
        </w:rPr>
        <w:t>2</w:t>
      </w:r>
      <w:r>
        <w:rPr>
          <w:rFonts w:ascii="Arial"/>
          <w:spacing w:val="-7"/>
          <w:sz w:val="20"/>
        </w:rPr>
        <w:t xml:space="preserve"> </w:t>
      </w:r>
      <w:r>
        <w:rPr>
          <w:sz w:val="20"/>
        </w:rPr>
        <w:t>Rol</w:t>
      </w:r>
      <w:r>
        <w:rPr>
          <w:spacing w:val="-6"/>
          <w:sz w:val="20"/>
        </w:rPr>
        <w:t xml:space="preserve"> </w:t>
      </w:r>
      <w:r>
        <w:rPr>
          <w:sz w:val="20"/>
        </w:rPr>
        <w:t>8788-2022</w:t>
      </w:r>
      <w:r>
        <w:rPr>
          <w:spacing w:val="-6"/>
          <w:sz w:val="20"/>
        </w:rPr>
        <w:t xml:space="preserve"> </w:t>
      </w:r>
      <w:r>
        <w:rPr>
          <w:sz w:val="20"/>
        </w:rPr>
        <w:t>Corte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Suprema.</w:t>
      </w:r>
    </w:p>
    <w:p w:rsidR="00ED42C6" w:rsidRDefault="00FE6C4A">
      <w:pPr>
        <w:ind w:left="100"/>
        <w:rPr>
          <w:sz w:val="20"/>
        </w:rPr>
      </w:pP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pacing w:val="-7"/>
          <w:sz w:val="20"/>
        </w:rPr>
        <w:t xml:space="preserve"> </w:t>
      </w:r>
      <w:r>
        <w:rPr>
          <w:sz w:val="20"/>
        </w:rPr>
        <w:t>Rol</w:t>
      </w:r>
      <w:r>
        <w:rPr>
          <w:spacing w:val="-5"/>
          <w:sz w:val="20"/>
        </w:rPr>
        <w:t xml:space="preserve"> </w:t>
      </w:r>
      <w:r>
        <w:rPr>
          <w:sz w:val="20"/>
        </w:rPr>
        <w:t>43040-2021</w:t>
      </w:r>
      <w:r>
        <w:rPr>
          <w:spacing w:val="-6"/>
          <w:sz w:val="20"/>
        </w:rPr>
        <w:t xml:space="preserve"> </w:t>
      </w:r>
      <w:r>
        <w:rPr>
          <w:sz w:val="20"/>
        </w:rPr>
        <w:t>Corte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Apelaciones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Valparaíso.</w:t>
      </w:r>
    </w:p>
    <w:p w:rsidR="00ED42C6" w:rsidRDefault="00FE6C4A">
      <w:pPr>
        <w:spacing w:before="33"/>
        <w:ind w:left="100"/>
        <w:rPr>
          <w:sz w:val="20"/>
        </w:rPr>
      </w:pPr>
      <w:r>
        <w:rPr>
          <w:rFonts w:ascii="Arial"/>
          <w:sz w:val="20"/>
          <w:vertAlign w:val="superscript"/>
        </w:rPr>
        <w:t>4</w:t>
      </w:r>
      <w:r>
        <w:rPr>
          <w:rFonts w:ascii="Arial"/>
          <w:spacing w:val="-7"/>
          <w:sz w:val="20"/>
        </w:rPr>
        <w:t xml:space="preserve"> </w:t>
      </w:r>
      <w:r>
        <w:rPr>
          <w:sz w:val="20"/>
        </w:rPr>
        <w:t>Rol</w:t>
      </w:r>
      <w:r>
        <w:rPr>
          <w:spacing w:val="-6"/>
          <w:sz w:val="20"/>
        </w:rPr>
        <w:t xml:space="preserve"> </w:t>
      </w:r>
      <w:r>
        <w:rPr>
          <w:sz w:val="20"/>
        </w:rPr>
        <w:t>9215-2022</w:t>
      </w:r>
      <w:r>
        <w:rPr>
          <w:spacing w:val="-6"/>
          <w:sz w:val="20"/>
        </w:rPr>
        <w:t xml:space="preserve"> </w:t>
      </w:r>
      <w:r>
        <w:rPr>
          <w:sz w:val="20"/>
        </w:rPr>
        <w:t>Corte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Suprema.</w:t>
      </w:r>
    </w:p>
    <w:p w:rsidR="00ED42C6" w:rsidRDefault="00ED42C6">
      <w:pPr>
        <w:rPr>
          <w:sz w:val="20"/>
        </w:rPr>
        <w:sectPr w:rsidR="00ED42C6">
          <w:pgSz w:w="11920" w:h="16840"/>
          <w:pgMar w:top="1360" w:right="1340" w:bottom="280" w:left="1340" w:header="720" w:footer="720" w:gutter="0"/>
          <w:cols w:space="720"/>
        </w:sectPr>
      </w:pPr>
    </w:p>
    <w:p w:rsidR="00ED42C6" w:rsidRDefault="00FE6C4A">
      <w:pPr>
        <w:pStyle w:val="Textoindependiente"/>
        <w:spacing w:before="80" w:line="360" w:lineRule="auto"/>
        <w:ind w:left="100" w:right="113"/>
        <w:jc w:val="both"/>
      </w:pPr>
      <w:r>
        <w:t>En definitiva, se comienza a asentar el criterio jurisprudencial de que el sentido y alcance de la letra</w:t>
      </w:r>
      <w:r>
        <w:rPr>
          <w:spacing w:val="-3"/>
        </w:rPr>
        <w:t xml:space="preserve"> </w:t>
      </w:r>
      <w:r>
        <w:t>e)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55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21.091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que se pueda retener la entrega de certificación académica que permita la titulación de</w:t>
      </w:r>
      <w:r>
        <w:rPr>
          <w:spacing w:val="40"/>
        </w:rPr>
        <w:t xml:space="preserve"> </w:t>
      </w:r>
      <w:r>
        <w:t xml:space="preserve">los estudiantes, cuando éstos tengan deudas de arancel, entendido éste como aquel que se debe pagar para la prestación de los servicios educacionales, y no las tasas o </w:t>
      </w:r>
      <w:r>
        <w:t>derechos de titulación como tradicionalmente se había</w:t>
      </w:r>
      <w:r>
        <w:rPr>
          <w:spacing w:val="-3"/>
        </w:rPr>
        <w:t xml:space="preserve"> </w:t>
      </w:r>
      <w:r>
        <w:t>resuelto</w:t>
      </w:r>
      <w:r>
        <w:rPr>
          <w:spacing w:val="-3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ley.</w:t>
      </w:r>
      <w:r>
        <w:rPr>
          <w:spacing w:val="-3"/>
        </w:rPr>
        <w:t xml:space="preserve"> </w:t>
      </w:r>
      <w:r>
        <w:t>Basta esperar que se empiecen a titular aquellos estudiantes que se matricularon con posterioridad a la publicación de la Ley 21.091 para comenzar a percibir los efectos negati</w:t>
      </w:r>
      <w:r>
        <w:t>vos de la regulación.</w:t>
      </w:r>
    </w:p>
    <w:p w:rsidR="00ED42C6" w:rsidRDefault="00ED42C6">
      <w:pPr>
        <w:pStyle w:val="Textoindependiente"/>
        <w:rPr>
          <w:sz w:val="26"/>
        </w:rPr>
      </w:pPr>
    </w:p>
    <w:p w:rsidR="00ED42C6" w:rsidRDefault="00ED42C6">
      <w:pPr>
        <w:pStyle w:val="Textoindependiente"/>
        <w:rPr>
          <w:sz w:val="26"/>
        </w:rPr>
      </w:pPr>
    </w:p>
    <w:p w:rsidR="00ED42C6" w:rsidRDefault="00ED42C6">
      <w:pPr>
        <w:pStyle w:val="Textoindependiente"/>
        <w:spacing w:before="2"/>
        <w:rPr>
          <w:sz w:val="26"/>
        </w:rPr>
      </w:pPr>
    </w:p>
    <w:p w:rsidR="00ED42C6" w:rsidRDefault="00FE6C4A">
      <w:pPr>
        <w:pStyle w:val="Ttulo1"/>
        <w:numPr>
          <w:ilvl w:val="0"/>
          <w:numId w:val="1"/>
        </w:numPr>
        <w:tabs>
          <w:tab w:val="left" w:pos="530"/>
        </w:tabs>
        <w:ind w:left="529" w:hanging="430"/>
      </w:pPr>
      <w:r>
        <w:t xml:space="preserve">Justificación del </w:t>
      </w:r>
      <w:r>
        <w:rPr>
          <w:spacing w:val="-2"/>
        </w:rPr>
        <w:t>proyecto</w:t>
      </w:r>
    </w:p>
    <w:p w:rsidR="00ED42C6" w:rsidRDefault="00ED42C6">
      <w:pPr>
        <w:pStyle w:val="Textoindependiente"/>
        <w:spacing w:before="2"/>
        <w:rPr>
          <w:b/>
          <w:sz w:val="33"/>
        </w:rPr>
      </w:pPr>
    </w:p>
    <w:p w:rsidR="00ED42C6" w:rsidRDefault="00FE6C4A">
      <w:pPr>
        <w:pStyle w:val="Textoindependiente"/>
        <w:spacing w:line="360" w:lineRule="auto"/>
        <w:ind w:left="100" w:right="118"/>
        <w:jc w:val="both"/>
      </w:pPr>
      <w:r>
        <w:t>Si bien es la primera vez que se legisla sobre esta materia específica, no pareciera razonable pensar que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voluntad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legislador</w:t>
      </w:r>
      <w:r>
        <w:rPr>
          <w:spacing w:val="-3"/>
        </w:rPr>
        <w:t xml:space="preserve"> </w:t>
      </w:r>
      <w:r>
        <w:t>fuese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revertir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 había operado, vía jurisprudencial, en la resolución de estos casos.</w:t>
      </w:r>
    </w:p>
    <w:p w:rsidR="00ED42C6" w:rsidRDefault="00ED42C6">
      <w:pPr>
        <w:pStyle w:val="Textoindependiente"/>
        <w:rPr>
          <w:sz w:val="36"/>
        </w:rPr>
      </w:pPr>
    </w:p>
    <w:p w:rsidR="00ED42C6" w:rsidRDefault="00FE6C4A">
      <w:pPr>
        <w:pStyle w:val="Textoindependiente"/>
        <w:spacing w:line="360" w:lineRule="auto"/>
        <w:ind w:left="100" w:right="112"/>
        <w:jc w:val="both"/>
      </w:pPr>
      <w:r>
        <w:t>Y aún cuando se considerara que la intención del legislador fue cambiar el criterio,</w:t>
      </w:r>
      <w:r>
        <w:rPr>
          <w:spacing w:val="40"/>
        </w:rPr>
        <w:t xml:space="preserve"> </w:t>
      </w:r>
      <w:r>
        <w:t>no resultaría justo para el estudiante pues al cumplir con los requisitos académicos correspondien</w:t>
      </w:r>
      <w:r>
        <w:t>tes, ellos pasan a formar parte de su patrimonio inmaterial que no le puede ser enajenado o embargado 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ministerio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ley,</w:t>
      </w:r>
      <w:r>
        <w:rPr>
          <w:spacing w:val="-3"/>
        </w:rPr>
        <w:t xml:space="preserve"> </w:t>
      </w:r>
      <w:r>
        <w:t>correspondiéndole a la IES certificar aquello si la tasa fijada para el documento es pagada. El cumplimiento de requisit</w:t>
      </w:r>
      <w:r>
        <w:t>os académicos es necesariamente conducente a la certificación, pues esa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condición,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transacción</w:t>
      </w:r>
      <w:r>
        <w:rPr>
          <w:spacing w:val="-3"/>
        </w:rPr>
        <w:t xml:space="preserve"> </w:t>
      </w:r>
      <w:r>
        <w:t>monetaria,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completa su recorrido académico.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t>razón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estudiante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gratuidad</w:t>
      </w:r>
      <w:r>
        <w:rPr>
          <w:spacing w:val="-3"/>
        </w:rPr>
        <w:t xml:space="preserve"> </w:t>
      </w:r>
      <w:r>
        <w:t>no completa su proceso con la</w:t>
      </w:r>
      <w:r>
        <w:rPr>
          <w:spacing w:val="-3"/>
        </w:rPr>
        <w:t xml:space="preserve"> </w:t>
      </w:r>
      <w:r>
        <w:t>última</w:t>
      </w:r>
      <w:r>
        <w:rPr>
          <w:spacing w:val="-3"/>
        </w:rPr>
        <w:t xml:space="preserve"> </w:t>
      </w:r>
      <w:r>
        <w:t>transferencia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Ministerio, sino cuando cumple con los requisitos académicos.</w:t>
      </w:r>
    </w:p>
    <w:p w:rsidR="00ED42C6" w:rsidRDefault="00ED42C6">
      <w:pPr>
        <w:pStyle w:val="Textoindependiente"/>
        <w:rPr>
          <w:sz w:val="36"/>
        </w:rPr>
      </w:pPr>
    </w:p>
    <w:p w:rsidR="00ED42C6" w:rsidRDefault="00FE6C4A">
      <w:pPr>
        <w:pStyle w:val="Textoindependiente"/>
        <w:spacing w:line="360" w:lineRule="auto"/>
        <w:ind w:left="100" w:right="113"/>
        <w:jc w:val="both"/>
      </w:pPr>
      <w:r>
        <w:t>Enseguida, el ordenamiento jurídico pone a disposición de las IES un completo sistema de normas y procedimientos par</w:t>
      </w:r>
      <w:r>
        <w:t>a exigir en sede civil lo adeudado en razón</w:t>
      </w:r>
      <w:r>
        <w:rPr>
          <w:spacing w:val="40"/>
        </w:rPr>
        <w:t xml:space="preserve"> </w:t>
      </w:r>
      <w:r>
        <w:t>de una prestación de servicios. Ello implica que la norma contenida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letra</w:t>
      </w:r>
      <w:r>
        <w:rPr>
          <w:spacing w:val="-3"/>
        </w:rPr>
        <w:t xml:space="preserve"> </w:t>
      </w:r>
      <w:r>
        <w:t>e)</w:t>
      </w:r>
      <w:r>
        <w:rPr>
          <w:spacing w:val="-3"/>
        </w:rPr>
        <w:t xml:space="preserve"> </w:t>
      </w:r>
      <w:r>
        <w:t>del artículo 55 es una herramienta exagerada, que pone al estudiante en situación desproporcionadamente</w:t>
      </w:r>
      <w:r>
        <w:rPr>
          <w:spacing w:val="59"/>
        </w:rPr>
        <w:t xml:space="preserve"> </w:t>
      </w:r>
      <w:r>
        <w:t>desventajosa</w:t>
      </w:r>
      <w:r>
        <w:rPr>
          <w:spacing w:val="59"/>
        </w:rPr>
        <w:t xml:space="preserve"> </w:t>
      </w:r>
      <w:r>
        <w:t>contra</w:t>
      </w:r>
      <w:r>
        <w:rPr>
          <w:spacing w:val="59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IE</w:t>
      </w:r>
      <w:r>
        <w:t>S,</w:t>
      </w:r>
      <w:r>
        <w:rPr>
          <w:spacing w:val="59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términos</w:t>
      </w:r>
      <w:r>
        <w:rPr>
          <w:spacing w:val="44"/>
        </w:rPr>
        <w:t xml:space="preserve"> </w:t>
      </w:r>
      <w:r>
        <w:rPr>
          <w:spacing w:val="-2"/>
        </w:rPr>
        <w:t>prácticos</w:t>
      </w:r>
    </w:p>
    <w:p w:rsidR="00ED42C6" w:rsidRDefault="00ED42C6">
      <w:pPr>
        <w:spacing w:line="360" w:lineRule="auto"/>
        <w:jc w:val="both"/>
        <w:sectPr w:rsidR="00ED42C6">
          <w:pgSz w:w="11920" w:h="16840"/>
          <w:pgMar w:top="1360" w:right="1340" w:bottom="280" w:left="1340" w:header="720" w:footer="720" w:gutter="0"/>
          <w:cols w:space="720"/>
        </w:sectPr>
      </w:pPr>
    </w:p>
    <w:p w:rsidR="00ED42C6" w:rsidRDefault="00FE6C4A">
      <w:pPr>
        <w:pStyle w:val="Textoindependiente"/>
        <w:spacing w:before="80" w:line="360" w:lineRule="auto"/>
        <w:ind w:left="100" w:right="113"/>
        <w:jc w:val="both"/>
      </w:pPr>
      <w:r>
        <w:t>puede secuestrar o embargar su título hasta obtener la satisfacción de la deuda, de manera indefinida y por el solo ministerio de la ley.</w:t>
      </w:r>
    </w:p>
    <w:p w:rsidR="00ED42C6" w:rsidRDefault="00ED42C6">
      <w:pPr>
        <w:pStyle w:val="Textoindependiente"/>
        <w:rPr>
          <w:sz w:val="36"/>
        </w:rPr>
      </w:pPr>
    </w:p>
    <w:p w:rsidR="00ED42C6" w:rsidRDefault="00FE6C4A">
      <w:pPr>
        <w:pStyle w:val="Textoindependiente"/>
        <w:spacing w:line="360" w:lineRule="auto"/>
        <w:ind w:left="100" w:right="114"/>
        <w:jc w:val="both"/>
      </w:pPr>
      <w:r>
        <w:t>Además, otra legislación reciente y que da cuenta de la importancia que</w:t>
      </w:r>
      <w:r>
        <w:t xml:space="preserve"> le asigna el legislador a la certificación académica,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puede</w:t>
      </w:r>
      <w:r>
        <w:rPr>
          <w:spacing w:val="-3"/>
        </w:rPr>
        <w:t xml:space="preserve"> </w:t>
      </w:r>
      <w:r>
        <w:t>encontrar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Consumidor. Para el legislador resulta tan relevante que los estudiantes que cumplen con los requisitos académicos puedan obtener efectivamente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certificación,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 la ley 21.398 se modificó la Ley 19.496 sobre</w:t>
      </w:r>
      <w:r>
        <w:rPr>
          <w:spacing w:val="-2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consu</w:t>
      </w:r>
      <w:r>
        <w:t>midor para, entre otras cosas, establecer un régimen de gratuidad para la obtención de certificación académica bajo ciertas condiciones</w:t>
      </w:r>
      <w:r>
        <w:rPr>
          <w:vertAlign w:val="superscript"/>
        </w:rPr>
        <w:t>5</w:t>
      </w:r>
      <w:r>
        <w:t>. Por tanto, si la propia Ley del Consumidor fija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estándar,</w:t>
      </w:r>
      <w:r>
        <w:rPr>
          <w:spacing w:val="-3"/>
        </w:rPr>
        <w:t xml:space="preserve"> </w:t>
      </w:r>
      <w:r>
        <w:t>parece</w:t>
      </w:r>
      <w:r>
        <w:rPr>
          <w:spacing w:val="-3"/>
        </w:rPr>
        <w:t xml:space="preserve"> </w:t>
      </w:r>
      <w:r>
        <w:t>adecuado</w:t>
      </w:r>
      <w:r>
        <w:rPr>
          <w:spacing w:val="-3"/>
        </w:rPr>
        <w:t xml:space="preserve"> </w:t>
      </w:r>
      <w:r>
        <w:t>ajustar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</w:t>
      </w:r>
      <w:r>
        <w:rPr>
          <w:spacing w:val="-3"/>
        </w:rPr>
        <w:t xml:space="preserve"> </w:t>
      </w:r>
      <w:r>
        <w:t>Superior al</w:t>
      </w:r>
      <w:r>
        <w:t xml:space="preserve"> mismo estándar.</w:t>
      </w:r>
    </w:p>
    <w:p w:rsidR="00ED42C6" w:rsidRDefault="00ED42C6">
      <w:pPr>
        <w:pStyle w:val="Textoindependiente"/>
        <w:rPr>
          <w:sz w:val="36"/>
        </w:rPr>
      </w:pPr>
    </w:p>
    <w:p w:rsidR="00ED42C6" w:rsidRDefault="00FE6C4A">
      <w:pPr>
        <w:pStyle w:val="Textoindependiente"/>
        <w:spacing w:line="360" w:lineRule="auto"/>
        <w:ind w:left="100" w:right="113"/>
        <w:jc w:val="both"/>
      </w:pPr>
      <w:r>
        <w:t>Por último, y en línea con este último punto, tampoco nos hace sentido que las IES puedan condicionar la rendición de evaluaciones al pago de deudas arancelarias.</w:t>
      </w:r>
      <w:r>
        <w:rPr>
          <w:spacing w:val="-3"/>
        </w:rPr>
        <w:t xml:space="preserve"> </w:t>
      </w:r>
      <w:r>
        <w:t>No parece razonable que a un estudiante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firmó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respectivo</w:t>
      </w:r>
      <w:r>
        <w:t>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ya</w:t>
      </w:r>
      <w:r>
        <w:rPr>
          <w:spacing w:val="-2"/>
        </w:rPr>
        <w:t xml:space="preserve"> </w:t>
      </w:r>
      <w:r>
        <w:t>está matriculado, y que por lo tanto ya tiene el derecho de inscribir ramos y a cursar las asignaturas, se le impida rendir dichas evaluaciones. Ello probablemente acarrearía la repetición del año académico y por tanto un doble pago por las asigna</w:t>
      </w:r>
      <w:r>
        <w:t>turas que inscribió. Nos parece injusto que se perjudique el desempeño académico de un estudiante por mantener deudas arancelarias. Se trata, a nuestro juicio, de un incumplimiento contractual que no debe afectar la posibilidad del estudiante de rendir sus</w:t>
      </w:r>
      <w:r>
        <w:t xml:space="preserve"> evaluaciones y, de tener éxito, obtener su certificación.</w:t>
      </w:r>
    </w:p>
    <w:p w:rsidR="00ED42C6" w:rsidRDefault="00ED42C6">
      <w:pPr>
        <w:pStyle w:val="Textoindependiente"/>
        <w:rPr>
          <w:sz w:val="36"/>
        </w:rPr>
      </w:pPr>
    </w:p>
    <w:p w:rsidR="00ED42C6" w:rsidRDefault="00FE6C4A">
      <w:pPr>
        <w:pStyle w:val="Textoindependiente"/>
        <w:ind w:left="100"/>
        <w:jc w:val="both"/>
      </w:pPr>
      <w:r>
        <w:t xml:space="preserve">Por tanto, los Diputados y Diputadas firmantes proponemos el </w:t>
      </w:r>
      <w:r>
        <w:rPr>
          <w:spacing w:val="-2"/>
        </w:rPr>
        <w:t>siguiente:</w:t>
      </w:r>
    </w:p>
    <w:p w:rsidR="00ED42C6" w:rsidRDefault="00ED42C6">
      <w:pPr>
        <w:pStyle w:val="Textoindependiente"/>
        <w:rPr>
          <w:sz w:val="20"/>
        </w:rPr>
      </w:pPr>
    </w:p>
    <w:p w:rsidR="00ED42C6" w:rsidRDefault="00ED42C6">
      <w:pPr>
        <w:pStyle w:val="Textoindependiente"/>
        <w:rPr>
          <w:sz w:val="20"/>
        </w:rPr>
      </w:pPr>
    </w:p>
    <w:p w:rsidR="00ED42C6" w:rsidRDefault="00ED42C6">
      <w:pPr>
        <w:pStyle w:val="Textoindependiente"/>
        <w:rPr>
          <w:sz w:val="20"/>
        </w:rPr>
      </w:pPr>
    </w:p>
    <w:p w:rsidR="00ED42C6" w:rsidRDefault="00ED42C6">
      <w:pPr>
        <w:pStyle w:val="Textoindependiente"/>
        <w:rPr>
          <w:sz w:val="20"/>
        </w:rPr>
      </w:pPr>
    </w:p>
    <w:p w:rsidR="00ED42C6" w:rsidRDefault="00ED42C6">
      <w:pPr>
        <w:pStyle w:val="Textoindependiente"/>
        <w:rPr>
          <w:sz w:val="20"/>
        </w:rPr>
      </w:pPr>
    </w:p>
    <w:p w:rsidR="00ED42C6" w:rsidRDefault="00FE6C4A">
      <w:pPr>
        <w:pStyle w:val="Textoindependiente"/>
        <w:spacing w:before="8"/>
        <w:rPr>
          <w:sz w:val="21"/>
        </w:rPr>
      </w:pPr>
      <w:r>
        <w:pict>
          <v:shape id="docshape2" o:spid="_x0000_s1026" style="position:absolute;margin-left:1in;margin-top:13.6pt;width:2in;height:.1pt;z-index:-15728128;mso-wrap-distance-left:0;mso-wrap-distance-right:0;mso-position-horizontal-relative:page" coordorigin="1440,272" coordsize="2880,0" path="m1440,272r2880,e" filled="f">
            <v:path arrowok="t"/>
            <w10:wrap type="topAndBottom" anchorx="page"/>
          </v:shape>
        </w:pict>
      </w:r>
    </w:p>
    <w:p w:rsidR="00ED42C6" w:rsidRDefault="00FE6C4A">
      <w:pPr>
        <w:spacing w:before="100" w:line="276" w:lineRule="auto"/>
        <w:ind w:left="100" w:right="115"/>
        <w:jc w:val="both"/>
        <w:rPr>
          <w:i/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</w:rPr>
        <w:t xml:space="preserve"> </w:t>
      </w:r>
      <w:r>
        <w:rPr>
          <w:i/>
          <w:sz w:val="20"/>
        </w:rPr>
        <w:t>Art. 3 quáter.- Los establecimientos de educación superior,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institutos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profesionales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formación técnica deberán otorgar gratuitamente los certificados de estudios, de notas, de estado de deuda u otros análogos, a solicitud del alumno, exalumno o de aqu</w:t>
      </w:r>
      <w:r>
        <w:rPr>
          <w:i/>
          <w:sz w:val="20"/>
        </w:rPr>
        <w:t>el que haya suspendido sus estudios o se encuentre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moroso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respectiva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institución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educacional.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Dichos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certificados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podrán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solicitados hasta por dos veces en un an</w:t>
      </w:r>
      <w:r>
        <w:rPr>
          <w:rFonts w:ascii="Times New Roman" w:hAnsi="Times New Roman"/>
          <w:i/>
          <w:sz w:val="20"/>
        </w:rPr>
        <w:t>̃</w:t>
      </w:r>
      <w:r>
        <w:rPr>
          <w:i/>
          <w:sz w:val="20"/>
        </w:rPr>
        <w:t>o y deberán ser emitidos dentro del plazo de diez días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hábiles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contado desde la pres</w:t>
      </w:r>
      <w:r>
        <w:rPr>
          <w:i/>
          <w:sz w:val="20"/>
        </w:rPr>
        <w:t>entación de la respectiva solicitud.</w:t>
      </w:r>
    </w:p>
    <w:p w:rsidR="00ED42C6" w:rsidRDefault="00FE6C4A">
      <w:pPr>
        <w:spacing w:line="276" w:lineRule="auto"/>
        <w:ind w:left="100" w:right="112"/>
        <w:jc w:val="both"/>
        <w:rPr>
          <w:i/>
          <w:sz w:val="20"/>
        </w:rPr>
      </w:pPr>
      <w:r>
        <w:rPr>
          <w:i/>
          <w:sz w:val="20"/>
        </w:rPr>
        <w:t>La emisión de los mencionados certificados podrá ser realizada a través de medios electrónicos y deberá serlo en papel en los casos en que el establecimiento no cuente con medios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electrónicos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así sea solicitado expres</w:t>
      </w:r>
      <w:r>
        <w:rPr>
          <w:i/>
          <w:sz w:val="20"/>
        </w:rPr>
        <w:t>amente.</w:t>
      </w:r>
    </w:p>
    <w:p w:rsidR="00ED42C6" w:rsidRDefault="00ED42C6">
      <w:pPr>
        <w:spacing w:line="276" w:lineRule="auto"/>
        <w:jc w:val="both"/>
        <w:rPr>
          <w:sz w:val="20"/>
        </w:rPr>
        <w:sectPr w:rsidR="00ED42C6">
          <w:pgSz w:w="11920" w:h="16840"/>
          <w:pgMar w:top="1360" w:right="1340" w:bottom="280" w:left="1340" w:header="720" w:footer="720" w:gutter="0"/>
          <w:cols w:space="720"/>
        </w:sectPr>
      </w:pPr>
    </w:p>
    <w:p w:rsidR="00ED42C6" w:rsidRDefault="00FE6C4A">
      <w:pPr>
        <w:pStyle w:val="Ttulo1"/>
        <w:spacing w:before="80"/>
        <w:ind w:right="217"/>
        <w:jc w:val="center"/>
      </w:pPr>
      <w:r>
        <w:t xml:space="preserve">PROYECTO DE </w:t>
      </w:r>
      <w:r>
        <w:rPr>
          <w:spacing w:val="-5"/>
        </w:rPr>
        <w:t>LEY</w:t>
      </w:r>
    </w:p>
    <w:p w:rsidR="00ED42C6" w:rsidRDefault="00ED42C6">
      <w:pPr>
        <w:pStyle w:val="Textoindependiente"/>
        <w:rPr>
          <w:b/>
          <w:sz w:val="26"/>
        </w:rPr>
      </w:pPr>
    </w:p>
    <w:p w:rsidR="00ED42C6" w:rsidRDefault="00ED42C6">
      <w:pPr>
        <w:pStyle w:val="Textoindependiente"/>
        <w:rPr>
          <w:b/>
          <w:sz w:val="26"/>
        </w:rPr>
      </w:pPr>
    </w:p>
    <w:p w:rsidR="00ED42C6" w:rsidRDefault="00ED42C6">
      <w:pPr>
        <w:pStyle w:val="Textoindependiente"/>
        <w:rPr>
          <w:b/>
          <w:sz w:val="32"/>
        </w:rPr>
      </w:pPr>
    </w:p>
    <w:p w:rsidR="00ED42C6" w:rsidRDefault="00FE6C4A">
      <w:pPr>
        <w:pStyle w:val="Textoindependiente"/>
        <w:spacing w:line="360" w:lineRule="auto"/>
        <w:ind w:left="100" w:right="115"/>
        <w:jc w:val="both"/>
      </w:pPr>
      <w:r>
        <w:rPr>
          <w:b/>
        </w:rPr>
        <w:t xml:space="preserve">Artículo único: </w:t>
      </w:r>
      <w:r>
        <w:t>Reemplácese el literal e) del artículo 55 de la Ley 21.091 sobre Educación Superior por el siguiente:</w:t>
      </w:r>
    </w:p>
    <w:p w:rsidR="00ED42C6" w:rsidRDefault="00ED42C6">
      <w:pPr>
        <w:pStyle w:val="Textoindependiente"/>
        <w:rPr>
          <w:sz w:val="36"/>
        </w:rPr>
      </w:pPr>
    </w:p>
    <w:p w:rsidR="00ED42C6" w:rsidRDefault="00FE6C4A">
      <w:pPr>
        <w:pStyle w:val="Textoindependiente"/>
        <w:spacing w:line="360" w:lineRule="auto"/>
        <w:ind w:left="100" w:right="115"/>
        <w:jc w:val="both"/>
      </w:pPr>
      <w:r>
        <w:t>“e) Condicionar la rendición de exámenes u otras evaluaciones,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otorgamiento</w:t>
      </w:r>
      <w:r>
        <w:rPr>
          <w:spacing w:val="-3"/>
        </w:rPr>
        <w:t xml:space="preserve"> </w:t>
      </w:r>
      <w:r>
        <w:t>de títulos, diplomas y certificaciones, a exigencias pecuniarias por deudas de arancel, aun cuando ellas estén establecidas por la institución de educación superior en su regl</w:t>
      </w:r>
      <w:r>
        <w:t xml:space="preserve">amentación e informadas a los estudiantes al momento de suscribir el contrato </w:t>
      </w:r>
      <w:r>
        <w:rPr>
          <w:spacing w:val="-2"/>
        </w:rPr>
        <w:t>respectivo.”.</w:t>
      </w:r>
    </w:p>
    <w:p w:rsidR="00ED42C6" w:rsidRDefault="00ED42C6">
      <w:pPr>
        <w:pStyle w:val="Textoindependiente"/>
        <w:rPr>
          <w:sz w:val="20"/>
        </w:rPr>
      </w:pPr>
    </w:p>
    <w:p w:rsidR="00ED42C6" w:rsidRDefault="00ED42C6">
      <w:pPr>
        <w:pStyle w:val="Textoindependiente"/>
        <w:rPr>
          <w:sz w:val="20"/>
        </w:rPr>
      </w:pPr>
    </w:p>
    <w:p w:rsidR="00ED42C6" w:rsidRDefault="00FE6C4A">
      <w:pPr>
        <w:pStyle w:val="Textoindependiente"/>
        <w:spacing w:before="3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2506011</wp:posOffset>
            </wp:positionH>
            <wp:positionV relativeFrom="paragraph">
              <wp:posOffset>133064</wp:posOffset>
            </wp:positionV>
            <wp:extent cx="2501094" cy="22422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094" cy="224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42C6">
      <w:pgSz w:w="1192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22873"/>
    <w:multiLevelType w:val="hybridMultilevel"/>
    <w:tmpl w:val="0FD48F48"/>
    <w:lvl w:ilvl="0" w:tplc="5114FAC0">
      <w:start w:val="1"/>
      <w:numFmt w:val="upperRoman"/>
      <w:lvlText w:val="%1."/>
      <w:lvlJc w:val="left"/>
      <w:pPr>
        <w:ind w:left="346" w:hanging="247"/>
        <w:jc w:val="left"/>
      </w:pPr>
      <w:rPr>
        <w:rFonts w:ascii="Georgia" w:eastAsia="Georgia" w:hAnsi="Georgia" w:cs="Georgia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2F6C9D62">
      <w:numFmt w:val="bullet"/>
      <w:lvlText w:val="•"/>
      <w:lvlJc w:val="left"/>
      <w:pPr>
        <w:ind w:left="1230" w:hanging="247"/>
      </w:pPr>
      <w:rPr>
        <w:rFonts w:hint="default"/>
        <w:lang w:val="es-ES" w:eastAsia="en-US" w:bidi="ar-SA"/>
      </w:rPr>
    </w:lvl>
    <w:lvl w:ilvl="2" w:tplc="2452CC6A">
      <w:numFmt w:val="bullet"/>
      <w:lvlText w:val="•"/>
      <w:lvlJc w:val="left"/>
      <w:pPr>
        <w:ind w:left="2120" w:hanging="247"/>
      </w:pPr>
      <w:rPr>
        <w:rFonts w:hint="default"/>
        <w:lang w:val="es-ES" w:eastAsia="en-US" w:bidi="ar-SA"/>
      </w:rPr>
    </w:lvl>
    <w:lvl w:ilvl="3" w:tplc="A4A4BED6">
      <w:numFmt w:val="bullet"/>
      <w:lvlText w:val="•"/>
      <w:lvlJc w:val="left"/>
      <w:pPr>
        <w:ind w:left="3010" w:hanging="247"/>
      </w:pPr>
      <w:rPr>
        <w:rFonts w:hint="default"/>
        <w:lang w:val="es-ES" w:eastAsia="en-US" w:bidi="ar-SA"/>
      </w:rPr>
    </w:lvl>
    <w:lvl w:ilvl="4" w:tplc="9CD04F88">
      <w:numFmt w:val="bullet"/>
      <w:lvlText w:val="•"/>
      <w:lvlJc w:val="left"/>
      <w:pPr>
        <w:ind w:left="3900" w:hanging="247"/>
      </w:pPr>
      <w:rPr>
        <w:rFonts w:hint="default"/>
        <w:lang w:val="es-ES" w:eastAsia="en-US" w:bidi="ar-SA"/>
      </w:rPr>
    </w:lvl>
    <w:lvl w:ilvl="5" w:tplc="8F321696">
      <w:numFmt w:val="bullet"/>
      <w:lvlText w:val="•"/>
      <w:lvlJc w:val="left"/>
      <w:pPr>
        <w:ind w:left="4790" w:hanging="247"/>
      </w:pPr>
      <w:rPr>
        <w:rFonts w:hint="default"/>
        <w:lang w:val="es-ES" w:eastAsia="en-US" w:bidi="ar-SA"/>
      </w:rPr>
    </w:lvl>
    <w:lvl w:ilvl="6" w:tplc="FDD2ED90">
      <w:numFmt w:val="bullet"/>
      <w:lvlText w:val="•"/>
      <w:lvlJc w:val="left"/>
      <w:pPr>
        <w:ind w:left="5680" w:hanging="247"/>
      </w:pPr>
      <w:rPr>
        <w:rFonts w:hint="default"/>
        <w:lang w:val="es-ES" w:eastAsia="en-US" w:bidi="ar-SA"/>
      </w:rPr>
    </w:lvl>
    <w:lvl w:ilvl="7" w:tplc="2EA86168">
      <w:numFmt w:val="bullet"/>
      <w:lvlText w:val="•"/>
      <w:lvlJc w:val="left"/>
      <w:pPr>
        <w:ind w:left="6570" w:hanging="247"/>
      </w:pPr>
      <w:rPr>
        <w:rFonts w:hint="default"/>
        <w:lang w:val="es-ES" w:eastAsia="en-US" w:bidi="ar-SA"/>
      </w:rPr>
    </w:lvl>
    <w:lvl w:ilvl="8" w:tplc="632050F4">
      <w:numFmt w:val="bullet"/>
      <w:lvlText w:val="•"/>
      <w:lvlJc w:val="left"/>
      <w:pPr>
        <w:ind w:left="7460" w:hanging="24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42C6"/>
    <w:rsid w:val="00ED42C6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4B5A9C4-818F-42B6-97BE-7991B5E4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9"/>
    <w:qFormat/>
    <w:pPr>
      <w:ind w:left="20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346" w:hanging="4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1693</Words>
  <Characters>9312</Characters>
  <Application>Microsoft Office Word</Application>
  <DocSecurity>0</DocSecurity>
  <Lines>77</Lines>
  <Paragraphs>21</Paragraphs>
  <ScaleCrop>false</ScaleCrop>
  <Company/>
  <LinksUpToDate>false</LinksUpToDate>
  <CharactersWithSpaces>10984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Retención Títulos</dc:title>
  <dc:creator>Guillermo Diaz Vallejos</dc:creator>
  <cp:lastModifiedBy>Guillermo Diaz Vallejos</cp:lastModifiedBy>
  <cp:revision>1</cp:revision>
  <dcterms:created xsi:type="dcterms:W3CDTF">2023-04-04T20:12:00Z</dcterms:created>
  <dcterms:modified xsi:type="dcterms:W3CDTF">2023-04-17T23:05:00Z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m114 Google Docs Renderer</vt:lpwstr>
  </property>
</Properties>
</file>