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D54" w:rsidRDefault="004522C9">
      <w:pPr>
        <w:pStyle w:val="Textoindependiente"/>
        <w:ind w:left="3773"/>
        <w:jc w:val="left"/>
        <w:rPr>
          <w:rFonts w:ascii="Times New Roman"/>
          <w:sz w:val="20"/>
        </w:rPr>
      </w:pPr>
      <w:r>
        <w:rPr>
          <w:rFonts w:ascii="Times New Roman"/>
          <w:noProof/>
          <w:sz w:val="20"/>
        </w:rPr>
        <w:drawing>
          <wp:inline distT="0" distB="0" distL="0" distR="0">
            <wp:extent cx="1046358" cy="9944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6358" cy="994409"/>
                    </a:xfrm>
                    <a:prstGeom prst="rect">
                      <a:avLst/>
                    </a:prstGeom>
                  </pic:spPr>
                </pic:pic>
              </a:graphicData>
            </a:graphic>
          </wp:inline>
        </w:drawing>
      </w:r>
    </w:p>
    <w:p w:rsidR="007D3D54" w:rsidRDefault="007D3D54">
      <w:pPr>
        <w:pStyle w:val="Textoindependiente"/>
        <w:spacing w:before="10"/>
        <w:jc w:val="left"/>
        <w:rPr>
          <w:rFonts w:ascii="Times New Roman"/>
          <w:sz w:val="11"/>
        </w:rPr>
      </w:pPr>
    </w:p>
    <w:p w:rsidR="007D3D54" w:rsidRDefault="004522C9">
      <w:pPr>
        <w:pStyle w:val="Ttulo1"/>
        <w:spacing w:before="100"/>
        <w:ind w:right="131"/>
        <w:jc w:val="both"/>
      </w:pPr>
      <w:r>
        <w:t>PROYECTO DE LEY QUE INCORPORA UN MECANISMO DE VERIFICACIÓN AL PROCESO</w:t>
      </w:r>
      <w:r>
        <w:rPr>
          <w:spacing w:val="-13"/>
        </w:rPr>
        <w:t xml:space="preserve"> </w:t>
      </w:r>
      <w:r>
        <w:t>DE</w:t>
      </w:r>
      <w:r>
        <w:rPr>
          <w:spacing w:val="-13"/>
        </w:rPr>
        <w:t xml:space="preserve"> </w:t>
      </w:r>
      <w:r>
        <w:t>ADECUACIÓN</w:t>
      </w:r>
      <w:r>
        <w:rPr>
          <w:spacing w:val="-13"/>
        </w:rPr>
        <w:t xml:space="preserve"> </w:t>
      </w:r>
      <w:r>
        <w:t>DE</w:t>
      </w:r>
      <w:r>
        <w:rPr>
          <w:spacing w:val="-13"/>
        </w:rPr>
        <w:t xml:space="preserve"> </w:t>
      </w:r>
      <w:r>
        <w:t>LOS</w:t>
      </w:r>
      <w:r>
        <w:rPr>
          <w:spacing w:val="-13"/>
        </w:rPr>
        <w:t xml:space="preserve"> </w:t>
      </w:r>
      <w:r>
        <w:t>PRECIOS</w:t>
      </w:r>
      <w:r>
        <w:rPr>
          <w:spacing w:val="-13"/>
        </w:rPr>
        <w:t xml:space="preserve"> </w:t>
      </w:r>
      <w:r>
        <w:t>BASE</w:t>
      </w:r>
      <w:r>
        <w:rPr>
          <w:spacing w:val="-13"/>
        </w:rPr>
        <w:t xml:space="preserve"> </w:t>
      </w:r>
      <w:r>
        <w:t>DE</w:t>
      </w:r>
      <w:r>
        <w:rPr>
          <w:spacing w:val="-13"/>
        </w:rPr>
        <w:t xml:space="preserve"> </w:t>
      </w:r>
      <w:r>
        <w:t>LOS</w:t>
      </w:r>
      <w:r>
        <w:rPr>
          <w:spacing w:val="-13"/>
        </w:rPr>
        <w:t xml:space="preserve"> </w:t>
      </w:r>
      <w:r>
        <w:t>PLANES</w:t>
      </w:r>
      <w:r>
        <w:rPr>
          <w:spacing w:val="-13"/>
        </w:rPr>
        <w:t xml:space="preserve"> </w:t>
      </w:r>
      <w:r>
        <w:t>DE</w:t>
      </w:r>
      <w:r>
        <w:rPr>
          <w:spacing w:val="-13"/>
        </w:rPr>
        <w:t xml:space="preserve"> </w:t>
      </w:r>
      <w:r>
        <w:t>LAS</w:t>
      </w:r>
      <w:r>
        <w:rPr>
          <w:spacing w:val="-13"/>
        </w:rPr>
        <w:t xml:space="preserve"> </w:t>
      </w:r>
      <w:r>
        <w:t>ISAPRES A CARGO DE LA SUPERINTENDENCIA DE SALUD</w:t>
      </w:r>
    </w:p>
    <w:p w:rsidR="007D3D54" w:rsidRDefault="007D3D54">
      <w:pPr>
        <w:pStyle w:val="Textoindependiente"/>
        <w:jc w:val="left"/>
        <w:rPr>
          <w:b/>
          <w:sz w:val="20"/>
        </w:rPr>
      </w:pPr>
    </w:p>
    <w:p w:rsidR="007D3D54" w:rsidRDefault="004522C9">
      <w:pPr>
        <w:pStyle w:val="Textoindependiente"/>
        <w:spacing w:before="6"/>
        <w:jc w:val="left"/>
        <w:rPr>
          <w:b/>
          <w:sz w:val="17"/>
        </w:rPr>
      </w:pPr>
      <w:r>
        <w:pict>
          <v:rect id="docshape1" o:spid="_x0000_s1026" style="position:absolute;margin-left:83.75pt;margin-top:11.5pt;width:444.7pt;height:1.45pt;z-index:-251658240;mso-wrap-distance-left:0;mso-wrap-distance-right:0;mso-position-horizontal-relative:page" fillcolor="black" stroked="f">
            <w10:wrap type="topAndBottom" anchorx="page"/>
          </v:rect>
        </w:pict>
      </w:r>
    </w:p>
    <w:p w:rsidR="007D3D54" w:rsidRDefault="004522C9">
      <w:pPr>
        <w:spacing w:before="160"/>
        <w:ind w:left="144"/>
        <w:rPr>
          <w:b/>
          <w:sz w:val="24"/>
        </w:rPr>
      </w:pPr>
      <w:r>
        <w:rPr>
          <w:b/>
          <w:spacing w:val="-2"/>
          <w:sz w:val="24"/>
        </w:rPr>
        <w:t>CONSIDERANDOS:</w:t>
      </w:r>
    </w:p>
    <w:p w:rsidR="007D3D54" w:rsidRDefault="004522C9">
      <w:pPr>
        <w:pStyle w:val="Prrafodelista"/>
        <w:numPr>
          <w:ilvl w:val="0"/>
          <w:numId w:val="2"/>
        </w:numPr>
        <w:tabs>
          <w:tab w:val="left" w:pos="712"/>
        </w:tabs>
        <w:spacing w:before="161"/>
        <w:ind w:right="133"/>
        <w:jc w:val="both"/>
        <w:rPr>
          <w:sz w:val="24"/>
        </w:rPr>
      </w:pPr>
      <w:r>
        <w:rPr>
          <w:sz w:val="24"/>
        </w:rPr>
        <w:t>La Ley N° 21.350 promulgada en junio del año 2021 estableció un tope máximo para el proceso de adecuación de los precios base de los planes de las Isapres denominado Índice de Costos de la Salud (ICSA); que debe ser calculado por la Superintendencia</w:t>
      </w:r>
      <w:r>
        <w:rPr>
          <w:spacing w:val="-3"/>
          <w:sz w:val="24"/>
        </w:rPr>
        <w:t xml:space="preserve"> </w:t>
      </w:r>
      <w:r>
        <w:rPr>
          <w:sz w:val="24"/>
        </w:rPr>
        <w:t>de</w:t>
      </w:r>
      <w:r>
        <w:rPr>
          <w:spacing w:val="-3"/>
          <w:sz w:val="24"/>
        </w:rPr>
        <w:t xml:space="preserve"> </w:t>
      </w:r>
      <w:r>
        <w:rPr>
          <w:sz w:val="24"/>
        </w:rPr>
        <w:t>Sal</w:t>
      </w:r>
      <w:r>
        <w:rPr>
          <w:sz w:val="24"/>
        </w:rPr>
        <w:t>ud</w:t>
      </w:r>
      <w:r>
        <w:rPr>
          <w:spacing w:val="-3"/>
          <w:sz w:val="24"/>
        </w:rPr>
        <w:t xml:space="preserve"> </w:t>
      </w:r>
      <w:r>
        <w:rPr>
          <w:sz w:val="24"/>
        </w:rPr>
        <w:t>en</w:t>
      </w:r>
      <w:r>
        <w:rPr>
          <w:spacing w:val="-3"/>
          <w:sz w:val="24"/>
        </w:rPr>
        <w:t xml:space="preserve"> </w:t>
      </w:r>
      <w:r>
        <w:rPr>
          <w:sz w:val="24"/>
        </w:rPr>
        <w:t>base</w:t>
      </w:r>
      <w:r>
        <w:rPr>
          <w:spacing w:val="-3"/>
          <w:sz w:val="24"/>
        </w:rPr>
        <w:t xml:space="preserve"> </w:t>
      </w:r>
      <w:r>
        <w:rPr>
          <w:sz w:val="24"/>
        </w:rPr>
        <w:t>a</w:t>
      </w:r>
      <w:r>
        <w:rPr>
          <w:spacing w:val="-3"/>
          <w:sz w:val="24"/>
        </w:rPr>
        <w:t xml:space="preserve"> </w:t>
      </w:r>
      <w:r>
        <w:rPr>
          <w:sz w:val="24"/>
        </w:rPr>
        <w:t>múltiples</w:t>
      </w:r>
      <w:r>
        <w:rPr>
          <w:spacing w:val="-3"/>
          <w:sz w:val="24"/>
        </w:rPr>
        <w:t xml:space="preserve"> </w:t>
      </w:r>
      <w:r>
        <w:rPr>
          <w:sz w:val="24"/>
        </w:rPr>
        <w:t>datos</w:t>
      </w:r>
      <w:r>
        <w:rPr>
          <w:spacing w:val="-3"/>
          <w:sz w:val="24"/>
        </w:rPr>
        <w:t xml:space="preserve"> </w:t>
      </w:r>
      <w:r>
        <w:rPr>
          <w:sz w:val="24"/>
        </w:rPr>
        <w:t>y</w:t>
      </w:r>
      <w:r>
        <w:rPr>
          <w:spacing w:val="-3"/>
          <w:sz w:val="24"/>
        </w:rPr>
        <w:t xml:space="preserve"> </w:t>
      </w:r>
      <w:r>
        <w:rPr>
          <w:sz w:val="24"/>
        </w:rPr>
        <w:t>publicado</w:t>
      </w:r>
      <w:r>
        <w:rPr>
          <w:spacing w:val="-3"/>
          <w:sz w:val="24"/>
        </w:rPr>
        <w:t xml:space="preserve"> </w:t>
      </w:r>
      <w:r>
        <w:rPr>
          <w:sz w:val="24"/>
        </w:rPr>
        <w:t>los</w:t>
      </w:r>
      <w:r>
        <w:rPr>
          <w:spacing w:val="-3"/>
          <w:sz w:val="24"/>
        </w:rPr>
        <w:t xml:space="preserve"> </w:t>
      </w:r>
      <w:r>
        <w:rPr>
          <w:sz w:val="24"/>
        </w:rPr>
        <w:t>primeros</w:t>
      </w:r>
      <w:r>
        <w:rPr>
          <w:spacing w:val="-3"/>
          <w:sz w:val="24"/>
        </w:rPr>
        <w:t xml:space="preserve"> </w:t>
      </w:r>
      <w:r>
        <w:rPr>
          <w:sz w:val="24"/>
        </w:rPr>
        <w:t>10 días de marzo de cada año. El objetivo inicial de esta ley era resolver las controversias</w:t>
      </w:r>
      <w:r>
        <w:rPr>
          <w:spacing w:val="-12"/>
          <w:sz w:val="24"/>
        </w:rPr>
        <w:t xml:space="preserve"> </w:t>
      </w:r>
      <w:r>
        <w:rPr>
          <w:sz w:val="24"/>
        </w:rPr>
        <w:t>entre</w:t>
      </w:r>
      <w:r>
        <w:rPr>
          <w:spacing w:val="-12"/>
          <w:sz w:val="24"/>
        </w:rPr>
        <w:t xml:space="preserve"> </w:t>
      </w:r>
      <w:r>
        <w:rPr>
          <w:sz w:val="24"/>
        </w:rPr>
        <w:t>los</w:t>
      </w:r>
      <w:r>
        <w:rPr>
          <w:spacing w:val="-12"/>
          <w:sz w:val="24"/>
        </w:rPr>
        <w:t xml:space="preserve"> </w:t>
      </w:r>
      <w:r>
        <w:rPr>
          <w:sz w:val="24"/>
        </w:rPr>
        <w:t>afiliados</w:t>
      </w:r>
      <w:r>
        <w:rPr>
          <w:spacing w:val="-12"/>
          <w:sz w:val="24"/>
        </w:rPr>
        <w:t xml:space="preserve"> </w:t>
      </w:r>
      <w:r>
        <w:rPr>
          <w:sz w:val="24"/>
        </w:rPr>
        <w:t>y</w:t>
      </w:r>
      <w:r>
        <w:rPr>
          <w:spacing w:val="-12"/>
          <w:sz w:val="24"/>
        </w:rPr>
        <w:t xml:space="preserve"> </w:t>
      </w:r>
      <w:r>
        <w:rPr>
          <w:sz w:val="24"/>
        </w:rPr>
        <w:t>las</w:t>
      </w:r>
      <w:r>
        <w:rPr>
          <w:spacing w:val="-12"/>
          <w:sz w:val="24"/>
        </w:rPr>
        <w:t xml:space="preserve"> </w:t>
      </w:r>
      <w:r>
        <w:rPr>
          <w:sz w:val="24"/>
        </w:rPr>
        <w:t>aseguradoras,</w:t>
      </w:r>
      <w:r>
        <w:rPr>
          <w:spacing w:val="-12"/>
          <w:sz w:val="24"/>
        </w:rPr>
        <w:t xml:space="preserve"> </w:t>
      </w:r>
      <w:r>
        <w:rPr>
          <w:sz w:val="24"/>
        </w:rPr>
        <w:t>al</w:t>
      </w:r>
      <w:r>
        <w:rPr>
          <w:spacing w:val="-12"/>
          <w:sz w:val="24"/>
        </w:rPr>
        <w:t xml:space="preserve"> </w:t>
      </w:r>
      <w:r>
        <w:rPr>
          <w:sz w:val="24"/>
        </w:rPr>
        <w:t>momento</w:t>
      </w:r>
      <w:r>
        <w:rPr>
          <w:spacing w:val="-12"/>
          <w:sz w:val="24"/>
        </w:rPr>
        <w:t xml:space="preserve"> </w:t>
      </w:r>
      <w:r>
        <w:rPr>
          <w:sz w:val="24"/>
        </w:rPr>
        <w:t>de</w:t>
      </w:r>
      <w:r>
        <w:rPr>
          <w:spacing w:val="-12"/>
          <w:sz w:val="24"/>
        </w:rPr>
        <w:t xml:space="preserve"> </w:t>
      </w:r>
      <w:r>
        <w:rPr>
          <w:sz w:val="24"/>
        </w:rPr>
        <w:t>elevar</w:t>
      </w:r>
      <w:r>
        <w:rPr>
          <w:spacing w:val="-12"/>
          <w:sz w:val="24"/>
        </w:rPr>
        <w:t xml:space="preserve"> </w:t>
      </w:r>
      <w:r>
        <w:rPr>
          <w:sz w:val="24"/>
        </w:rPr>
        <w:t>el</w:t>
      </w:r>
      <w:r>
        <w:rPr>
          <w:spacing w:val="-12"/>
          <w:sz w:val="24"/>
        </w:rPr>
        <w:t xml:space="preserve"> </w:t>
      </w:r>
      <w:r>
        <w:rPr>
          <w:sz w:val="24"/>
        </w:rPr>
        <w:t>costo de los planes por sobre la variación anual de la Unidad de Fomento. Como es conocido, estas</w:t>
      </w:r>
      <w:r>
        <w:rPr>
          <w:spacing w:val="-1"/>
          <w:sz w:val="24"/>
        </w:rPr>
        <w:t xml:space="preserve"> </w:t>
      </w:r>
      <w:r>
        <w:rPr>
          <w:sz w:val="24"/>
        </w:rPr>
        <w:t>diferencias han llevado a</w:t>
      </w:r>
      <w:r>
        <w:rPr>
          <w:spacing w:val="-1"/>
          <w:sz w:val="24"/>
        </w:rPr>
        <w:t xml:space="preserve"> </w:t>
      </w:r>
      <w:r>
        <w:rPr>
          <w:sz w:val="24"/>
        </w:rPr>
        <w:t>que todos los años</w:t>
      </w:r>
      <w:r>
        <w:rPr>
          <w:spacing w:val="-1"/>
          <w:sz w:val="24"/>
        </w:rPr>
        <w:t xml:space="preserve"> </w:t>
      </w:r>
      <w:r>
        <w:rPr>
          <w:sz w:val="24"/>
        </w:rPr>
        <w:t>se presenten</w:t>
      </w:r>
      <w:r>
        <w:rPr>
          <w:spacing w:val="-3"/>
          <w:sz w:val="24"/>
        </w:rPr>
        <w:t xml:space="preserve"> </w:t>
      </w:r>
      <w:r>
        <w:rPr>
          <w:sz w:val="24"/>
        </w:rPr>
        <w:t>cientos de miles de recursos de protección que terminan siendo conocidos por la Corte Suprema,</w:t>
      </w:r>
      <w:r>
        <w:rPr>
          <w:spacing w:val="-4"/>
          <w:sz w:val="24"/>
        </w:rPr>
        <w:t xml:space="preserve"> </w:t>
      </w:r>
      <w:r>
        <w:rPr>
          <w:sz w:val="24"/>
        </w:rPr>
        <w:t>falla</w:t>
      </w:r>
      <w:r>
        <w:rPr>
          <w:sz w:val="24"/>
        </w:rPr>
        <w:t>dos</w:t>
      </w:r>
      <w:r>
        <w:rPr>
          <w:spacing w:val="-4"/>
          <w:sz w:val="24"/>
        </w:rPr>
        <w:t xml:space="preserve"> </w:t>
      </w:r>
      <w:r>
        <w:rPr>
          <w:sz w:val="24"/>
        </w:rPr>
        <w:t>a</w:t>
      </w:r>
      <w:r>
        <w:rPr>
          <w:spacing w:val="-4"/>
          <w:sz w:val="24"/>
        </w:rPr>
        <w:t xml:space="preserve"> </w:t>
      </w:r>
      <w:r>
        <w:rPr>
          <w:sz w:val="24"/>
        </w:rPr>
        <w:t>favor</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afiliados,</w:t>
      </w:r>
      <w:r>
        <w:rPr>
          <w:spacing w:val="-4"/>
          <w:sz w:val="24"/>
        </w:rPr>
        <w:t xml:space="preserve"> </w:t>
      </w:r>
      <w:r>
        <w:rPr>
          <w:sz w:val="24"/>
        </w:rPr>
        <w:t>impidiendo</w:t>
      </w:r>
      <w:r>
        <w:rPr>
          <w:spacing w:val="-4"/>
          <w:sz w:val="24"/>
        </w:rPr>
        <w:t xml:space="preserve"> </w:t>
      </w:r>
      <w:r>
        <w:rPr>
          <w:sz w:val="24"/>
        </w:rPr>
        <w:t>el</w:t>
      </w:r>
      <w:r>
        <w:rPr>
          <w:spacing w:val="-4"/>
          <w:sz w:val="24"/>
        </w:rPr>
        <w:t xml:space="preserve"> </w:t>
      </w:r>
      <w:r>
        <w:rPr>
          <w:sz w:val="24"/>
        </w:rPr>
        <w:t>reajuste</w:t>
      </w:r>
      <w:r>
        <w:rPr>
          <w:spacing w:val="-4"/>
          <w:sz w:val="24"/>
        </w:rPr>
        <w:t xml:space="preserve"> </w:t>
      </w:r>
      <w:r>
        <w:rPr>
          <w:sz w:val="24"/>
        </w:rPr>
        <w:t>del</w:t>
      </w:r>
      <w:r>
        <w:rPr>
          <w:spacing w:val="-4"/>
          <w:sz w:val="24"/>
        </w:rPr>
        <w:t xml:space="preserve"> </w:t>
      </w:r>
      <w:r>
        <w:rPr>
          <w:sz w:val="24"/>
        </w:rPr>
        <w:t>precio</w:t>
      </w:r>
      <w:r>
        <w:rPr>
          <w:spacing w:val="-4"/>
          <w:sz w:val="24"/>
        </w:rPr>
        <w:t xml:space="preserve"> </w:t>
      </w:r>
      <w:r>
        <w:rPr>
          <w:sz w:val="24"/>
        </w:rPr>
        <w:t>de</w:t>
      </w:r>
      <w:r>
        <w:rPr>
          <w:spacing w:val="-4"/>
          <w:sz w:val="24"/>
        </w:rPr>
        <w:t xml:space="preserve"> </w:t>
      </w:r>
      <w:r>
        <w:rPr>
          <w:sz w:val="24"/>
        </w:rPr>
        <w:t>los planes y condenando en costas a las aseguradoras.</w:t>
      </w:r>
    </w:p>
    <w:p w:rsidR="007D3D54" w:rsidRDefault="004522C9">
      <w:pPr>
        <w:pStyle w:val="Prrafodelista"/>
        <w:numPr>
          <w:ilvl w:val="0"/>
          <w:numId w:val="2"/>
        </w:numPr>
        <w:tabs>
          <w:tab w:val="left" w:pos="712"/>
        </w:tabs>
        <w:spacing w:before="1"/>
        <w:ind w:right="131"/>
        <w:jc w:val="both"/>
        <w:rPr>
          <w:sz w:val="24"/>
        </w:rPr>
      </w:pPr>
      <w:r>
        <w:rPr>
          <w:sz w:val="24"/>
        </w:rPr>
        <w:t>Durante</w:t>
      </w:r>
      <w:r>
        <w:rPr>
          <w:spacing w:val="-2"/>
          <w:sz w:val="24"/>
        </w:rPr>
        <w:t xml:space="preserve"> </w:t>
      </w:r>
      <w:r>
        <w:rPr>
          <w:sz w:val="24"/>
        </w:rPr>
        <w:t>el</w:t>
      </w:r>
      <w:r>
        <w:rPr>
          <w:spacing w:val="-2"/>
          <w:sz w:val="24"/>
        </w:rPr>
        <w:t xml:space="preserve"> </w:t>
      </w:r>
      <w:r>
        <w:rPr>
          <w:sz w:val="24"/>
        </w:rPr>
        <w:t>proceso</w:t>
      </w:r>
      <w:r>
        <w:rPr>
          <w:spacing w:val="-2"/>
          <w:sz w:val="24"/>
        </w:rPr>
        <w:t xml:space="preserve"> </w:t>
      </w:r>
      <w:r>
        <w:rPr>
          <w:sz w:val="24"/>
        </w:rPr>
        <w:t>de</w:t>
      </w:r>
      <w:r>
        <w:rPr>
          <w:spacing w:val="-2"/>
          <w:sz w:val="24"/>
        </w:rPr>
        <w:t xml:space="preserve"> </w:t>
      </w:r>
      <w:r>
        <w:rPr>
          <w:sz w:val="24"/>
        </w:rPr>
        <w:t>adecuación</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precios</w:t>
      </w:r>
      <w:r>
        <w:rPr>
          <w:spacing w:val="-2"/>
          <w:sz w:val="24"/>
        </w:rPr>
        <w:t xml:space="preserve"> </w:t>
      </w:r>
      <w:r>
        <w:rPr>
          <w:sz w:val="24"/>
        </w:rPr>
        <w:t>base</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planes</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Isapres del año 2022, el ICSA calculado por la Superintendenc</w:t>
      </w:r>
      <w:r>
        <w:rPr>
          <w:sz w:val="24"/>
        </w:rPr>
        <w:t>ia de Salud correspondió a un 7,6%. Posterior a esto, todas las Isapres abiertas -Consalud, Colmena, Cruz Blanca, Vida Tres, Banmédica y Nueva Masvida- comunicaron al regulador que reajustarían sus planes base al tope del alza, es decir, en un 7,6%. Esto l</w:t>
      </w:r>
      <w:r>
        <w:rPr>
          <w:sz w:val="24"/>
        </w:rPr>
        <w:t>levó a la presentación nuevamente de cientos de miles de recursos de protección que, como es habitual, terminaron en la Corte Suprema.</w:t>
      </w:r>
    </w:p>
    <w:p w:rsidR="007D3D54" w:rsidRDefault="004522C9">
      <w:pPr>
        <w:pStyle w:val="Prrafodelista"/>
        <w:numPr>
          <w:ilvl w:val="0"/>
          <w:numId w:val="2"/>
        </w:numPr>
        <w:tabs>
          <w:tab w:val="left" w:pos="712"/>
        </w:tabs>
        <w:jc w:val="both"/>
        <w:rPr>
          <w:sz w:val="24"/>
        </w:rPr>
      </w:pPr>
      <w:r>
        <w:rPr>
          <w:sz w:val="24"/>
        </w:rPr>
        <w:t>El 19 de agosto del año 2022 se dio a conocer el fallo de la Corte Suprema que acogió recursos de protección en contra de</w:t>
      </w:r>
      <w:r>
        <w:rPr>
          <w:sz w:val="24"/>
        </w:rPr>
        <w:t xml:space="preserve"> las Isapres antes mencionadas y dejando sin efecto el alza en los precios de los planes de salud de todos los afiliados</w:t>
      </w:r>
      <w:r>
        <w:rPr>
          <w:spacing w:val="-9"/>
          <w:sz w:val="24"/>
        </w:rPr>
        <w:t xml:space="preserve"> </w:t>
      </w:r>
      <w:r>
        <w:rPr>
          <w:sz w:val="24"/>
        </w:rPr>
        <w:t>a</w:t>
      </w:r>
      <w:r>
        <w:rPr>
          <w:spacing w:val="-9"/>
          <w:sz w:val="24"/>
        </w:rPr>
        <w:t xml:space="preserve"> </w:t>
      </w:r>
      <w:r>
        <w:rPr>
          <w:sz w:val="24"/>
        </w:rPr>
        <w:t>las</w:t>
      </w:r>
      <w:r>
        <w:rPr>
          <w:spacing w:val="-9"/>
          <w:sz w:val="24"/>
        </w:rPr>
        <w:t xml:space="preserve"> </w:t>
      </w:r>
      <w:r>
        <w:rPr>
          <w:sz w:val="24"/>
        </w:rPr>
        <w:t>aseguradoras,</w:t>
      </w:r>
      <w:r>
        <w:rPr>
          <w:spacing w:val="-9"/>
          <w:sz w:val="24"/>
        </w:rPr>
        <w:t xml:space="preserve"> </w:t>
      </w:r>
      <w:r>
        <w:rPr>
          <w:sz w:val="24"/>
        </w:rPr>
        <w:t>hayan</w:t>
      </w:r>
      <w:r>
        <w:rPr>
          <w:spacing w:val="-9"/>
          <w:sz w:val="24"/>
        </w:rPr>
        <w:t xml:space="preserve"> </w:t>
      </w:r>
      <w:r>
        <w:rPr>
          <w:sz w:val="24"/>
        </w:rPr>
        <w:t>o</w:t>
      </w:r>
      <w:r>
        <w:rPr>
          <w:spacing w:val="-9"/>
          <w:sz w:val="24"/>
        </w:rPr>
        <w:t xml:space="preserve"> </w:t>
      </w:r>
      <w:r>
        <w:rPr>
          <w:sz w:val="24"/>
        </w:rPr>
        <w:t>no</w:t>
      </w:r>
      <w:r>
        <w:rPr>
          <w:spacing w:val="-9"/>
          <w:sz w:val="24"/>
        </w:rPr>
        <w:t xml:space="preserve"> </w:t>
      </w:r>
      <w:r>
        <w:rPr>
          <w:sz w:val="24"/>
        </w:rPr>
        <w:t>recurrido</w:t>
      </w:r>
      <w:r>
        <w:rPr>
          <w:spacing w:val="-9"/>
          <w:sz w:val="24"/>
        </w:rPr>
        <w:t xml:space="preserve"> </w:t>
      </w:r>
      <w:r>
        <w:rPr>
          <w:sz w:val="24"/>
        </w:rPr>
        <w:t>por</w:t>
      </w:r>
      <w:r>
        <w:rPr>
          <w:spacing w:val="-9"/>
          <w:sz w:val="24"/>
        </w:rPr>
        <w:t xml:space="preserve"> </w:t>
      </w:r>
      <w:r>
        <w:rPr>
          <w:sz w:val="24"/>
        </w:rPr>
        <w:t>la</w:t>
      </w:r>
      <w:r>
        <w:rPr>
          <w:spacing w:val="-9"/>
          <w:sz w:val="24"/>
        </w:rPr>
        <w:t xml:space="preserve"> </w:t>
      </w:r>
      <w:r>
        <w:rPr>
          <w:sz w:val="24"/>
        </w:rPr>
        <w:t>elevación</w:t>
      </w:r>
      <w:r>
        <w:rPr>
          <w:spacing w:val="-9"/>
          <w:sz w:val="24"/>
        </w:rPr>
        <w:t xml:space="preserve"> </w:t>
      </w:r>
      <w:r>
        <w:rPr>
          <w:sz w:val="24"/>
        </w:rPr>
        <w:t>del</w:t>
      </w:r>
      <w:r>
        <w:rPr>
          <w:spacing w:val="-9"/>
          <w:sz w:val="24"/>
        </w:rPr>
        <w:t xml:space="preserve"> </w:t>
      </w:r>
      <w:r>
        <w:rPr>
          <w:sz w:val="24"/>
        </w:rPr>
        <w:t>costo</w:t>
      </w:r>
      <w:r>
        <w:rPr>
          <w:spacing w:val="-9"/>
          <w:sz w:val="24"/>
        </w:rPr>
        <w:t xml:space="preserve"> </w:t>
      </w:r>
      <w:r>
        <w:rPr>
          <w:sz w:val="24"/>
        </w:rPr>
        <w:t>de</w:t>
      </w:r>
      <w:r>
        <w:rPr>
          <w:spacing w:val="-9"/>
          <w:sz w:val="24"/>
        </w:rPr>
        <w:t xml:space="preserve"> </w:t>
      </w:r>
      <w:r>
        <w:rPr>
          <w:sz w:val="24"/>
        </w:rPr>
        <w:t>los planes. Asimismo, el tribunal dispuso que la Superintendencia de Salud elabore una circular que instruya a las Isapres:</w:t>
      </w:r>
    </w:p>
    <w:p w:rsidR="007D3D54" w:rsidRDefault="004522C9">
      <w:pPr>
        <w:pStyle w:val="Prrafodelista"/>
        <w:numPr>
          <w:ilvl w:val="1"/>
          <w:numId w:val="2"/>
        </w:numPr>
        <w:tabs>
          <w:tab w:val="left" w:pos="996"/>
        </w:tabs>
        <w:spacing w:line="280" w:lineRule="exact"/>
        <w:ind w:right="0" w:hanging="285"/>
        <w:rPr>
          <w:sz w:val="24"/>
        </w:rPr>
      </w:pPr>
      <w:r>
        <w:rPr>
          <w:sz w:val="24"/>
        </w:rPr>
        <w:t>Restituir</w:t>
      </w:r>
      <w:r>
        <w:rPr>
          <w:spacing w:val="-3"/>
          <w:sz w:val="24"/>
        </w:rPr>
        <w:t xml:space="preserve"> </w:t>
      </w:r>
      <w:r>
        <w:rPr>
          <w:sz w:val="24"/>
        </w:rPr>
        <w:t>los</w:t>
      </w:r>
      <w:r>
        <w:rPr>
          <w:spacing w:val="-2"/>
          <w:sz w:val="24"/>
        </w:rPr>
        <w:t xml:space="preserve"> </w:t>
      </w:r>
      <w:r>
        <w:rPr>
          <w:sz w:val="24"/>
        </w:rPr>
        <w:t>cobros</w:t>
      </w:r>
      <w:r>
        <w:rPr>
          <w:spacing w:val="-2"/>
          <w:sz w:val="24"/>
        </w:rPr>
        <w:t xml:space="preserve"> </w:t>
      </w:r>
      <w:r>
        <w:rPr>
          <w:sz w:val="24"/>
        </w:rPr>
        <w:t>realizados</w:t>
      </w:r>
      <w:r>
        <w:rPr>
          <w:spacing w:val="-1"/>
          <w:sz w:val="24"/>
        </w:rPr>
        <w:t xml:space="preserve"> </w:t>
      </w:r>
      <w:r>
        <w:rPr>
          <w:sz w:val="24"/>
        </w:rPr>
        <w:t>a</w:t>
      </w:r>
      <w:r>
        <w:rPr>
          <w:spacing w:val="-2"/>
          <w:sz w:val="24"/>
        </w:rPr>
        <w:t xml:space="preserve"> </w:t>
      </w:r>
      <w:r>
        <w:rPr>
          <w:sz w:val="24"/>
        </w:rPr>
        <w:t>propósito</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de</w:t>
      </w:r>
      <w:r>
        <w:rPr>
          <w:spacing w:val="-1"/>
          <w:sz w:val="24"/>
        </w:rPr>
        <w:t xml:space="preserve"> </w:t>
      </w:r>
      <w:r>
        <w:rPr>
          <w:spacing w:val="-2"/>
          <w:sz w:val="24"/>
        </w:rPr>
        <w:t>adecuación.</w:t>
      </w:r>
    </w:p>
    <w:p w:rsidR="007D3D54" w:rsidRDefault="004522C9">
      <w:pPr>
        <w:pStyle w:val="Prrafodelista"/>
        <w:numPr>
          <w:ilvl w:val="1"/>
          <w:numId w:val="2"/>
        </w:numPr>
        <w:tabs>
          <w:tab w:val="left" w:pos="996"/>
        </w:tabs>
        <w:rPr>
          <w:sz w:val="24"/>
        </w:rPr>
      </w:pPr>
      <w:r>
        <w:rPr>
          <w:sz w:val="24"/>
        </w:rPr>
        <w:t>Permitir a los afiliados que se cambiaron de plan producto de</w:t>
      </w:r>
      <w:r>
        <w:rPr>
          <w:sz w:val="24"/>
        </w:rPr>
        <w:t>l incremento del precio de los planes base, volver al plan inicial si lo solicitaren.</w:t>
      </w:r>
    </w:p>
    <w:p w:rsidR="007D3D54" w:rsidRDefault="004522C9">
      <w:pPr>
        <w:pStyle w:val="Prrafodelista"/>
        <w:numPr>
          <w:ilvl w:val="1"/>
          <w:numId w:val="2"/>
        </w:numPr>
        <w:tabs>
          <w:tab w:val="left" w:pos="996"/>
        </w:tabs>
        <w:rPr>
          <w:sz w:val="24"/>
        </w:rPr>
      </w:pPr>
      <w:r>
        <w:rPr>
          <w:sz w:val="24"/>
        </w:rPr>
        <w:t>Recibir a los afiliados que se desafiliaron producto del incremento del precio de los planes base, si lo solicitaren.</w:t>
      </w:r>
    </w:p>
    <w:p w:rsidR="007D3D54" w:rsidRDefault="004522C9">
      <w:pPr>
        <w:pStyle w:val="Prrafodelista"/>
        <w:numPr>
          <w:ilvl w:val="1"/>
          <w:numId w:val="2"/>
        </w:numPr>
        <w:tabs>
          <w:tab w:val="left" w:pos="996"/>
        </w:tabs>
        <w:spacing w:before="3" w:line="237" w:lineRule="auto"/>
        <w:ind w:right="134"/>
        <w:rPr>
          <w:sz w:val="24"/>
        </w:rPr>
      </w:pPr>
      <w:r>
        <w:rPr>
          <w:sz w:val="24"/>
        </w:rPr>
        <w:t>Abrir un nuevo plazo y procedimiento para justificar</w:t>
      </w:r>
      <w:r>
        <w:rPr>
          <w:sz w:val="24"/>
        </w:rPr>
        <w:t xml:space="preserve"> el alza de los precios de los planes de acuerdo con la ley.</w:t>
      </w:r>
    </w:p>
    <w:p w:rsidR="007D3D54" w:rsidRDefault="007D3D54">
      <w:pPr>
        <w:spacing w:line="237" w:lineRule="auto"/>
        <w:rPr>
          <w:sz w:val="24"/>
        </w:rPr>
        <w:sectPr w:rsidR="007D3D54">
          <w:type w:val="continuous"/>
          <w:pgSz w:w="12240" w:h="15840"/>
          <w:pgMar w:top="1540" w:right="1560" w:bottom="280" w:left="1560" w:header="720" w:footer="720" w:gutter="0"/>
          <w:cols w:space="720"/>
        </w:sectPr>
      </w:pPr>
    </w:p>
    <w:p w:rsidR="007D3D54" w:rsidRDefault="004522C9">
      <w:pPr>
        <w:pStyle w:val="Prrafodelista"/>
        <w:numPr>
          <w:ilvl w:val="0"/>
          <w:numId w:val="2"/>
        </w:numPr>
        <w:tabs>
          <w:tab w:val="left" w:pos="505"/>
        </w:tabs>
        <w:spacing w:before="83"/>
        <w:ind w:left="504" w:right="134" w:hanging="360"/>
        <w:jc w:val="both"/>
        <w:rPr>
          <w:sz w:val="24"/>
        </w:rPr>
      </w:pPr>
      <w:r>
        <w:rPr>
          <w:sz w:val="24"/>
        </w:rPr>
        <w:lastRenderedPageBreak/>
        <w:t>En este fallo de la Corte Suprema se producen dos hechos inéditos en la jurisprudencia</w:t>
      </w:r>
      <w:r>
        <w:rPr>
          <w:spacing w:val="-11"/>
          <w:sz w:val="24"/>
        </w:rPr>
        <w:t xml:space="preserve"> </w:t>
      </w:r>
      <w:r>
        <w:rPr>
          <w:sz w:val="24"/>
        </w:rPr>
        <w:t>del</w:t>
      </w:r>
      <w:r>
        <w:rPr>
          <w:spacing w:val="-11"/>
          <w:sz w:val="24"/>
        </w:rPr>
        <w:t xml:space="preserve"> </w:t>
      </w:r>
      <w:r>
        <w:rPr>
          <w:sz w:val="24"/>
        </w:rPr>
        <w:t>tribunal.</w:t>
      </w:r>
      <w:r>
        <w:rPr>
          <w:spacing w:val="-11"/>
          <w:sz w:val="24"/>
        </w:rPr>
        <w:t xml:space="preserve"> </w:t>
      </w:r>
      <w:r>
        <w:rPr>
          <w:sz w:val="24"/>
        </w:rPr>
        <w:t>El</w:t>
      </w:r>
      <w:r>
        <w:rPr>
          <w:spacing w:val="-11"/>
          <w:sz w:val="24"/>
        </w:rPr>
        <w:t xml:space="preserve"> </w:t>
      </w:r>
      <w:r>
        <w:rPr>
          <w:sz w:val="24"/>
        </w:rPr>
        <w:t>primero</w:t>
      </w:r>
      <w:r>
        <w:rPr>
          <w:spacing w:val="-11"/>
          <w:sz w:val="24"/>
        </w:rPr>
        <w:t xml:space="preserve"> </w:t>
      </w:r>
      <w:r>
        <w:rPr>
          <w:sz w:val="24"/>
        </w:rPr>
        <w:t>de</w:t>
      </w:r>
      <w:r>
        <w:rPr>
          <w:spacing w:val="-11"/>
          <w:sz w:val="24"/>
        </w:rPr>
        <w:t xml:space="preserve"> </w:t>
      </w:r>
      <w:r>
        <w:rPr>
          <w:sz w:val="24"/>
        </w:rPr>
        <w:t>ellos,</w:t>
      </w:r>
      <w:r>
        <w:rPr>
          <w:spacing w:val="-11"/>
          <w:sz w:val="24"/>
        </w:rPr>
        <w:t xml:space="preserve"> </w:t>
      </w:r>
      <w:r>
        <w:rPr>
          <w:sz w:val="24"/>
        </w:rPr>
        <w:t>es</w:t>
      </w:r>
      <w:r>
        <w:rPr>
          <w:spacing w:val="-11"/>
          <w:sz w:val="24"/>
        </w:rPr>
        <w:t xml:space="preserve"> </w:t>
      </w:r>
      <w:r>
        <w:rPr>
          <w:sz w:val="24"/>
        </w:rPr>
        <w:t>la</w:t>
      </w:r>
      <w:r>
        <w:rPr>
          <w:spacing w:val="-11"/>
          <w:sz w:val="24"/>
        </w:rPr>
        <w:t xml:space="preserve"> </w:t>
      </w:r>
      <w:r>
        <w:rPr>
          <w:sz w:val="24"/>
        </w:rPr>
        <w:t>aplicación</w:t>
      </w:r>
      <w:r>
        <w:rPr>
          <w:spacing w:val="-11"/>
          <w:sz w:val="24"/>
        </w:rPr>
        <w:t xml:space="preserve"> </w:t>
      </w:r>
      <w:r>
        <w:rPr>
          <w:sz w:val="24"/>
        </w:rPr>
        <w:t>de</w:t>
      </w:r>
      <w:r>
        <w:rPr>
          <w:spacing w:val="-11"/>
          <w:sz w:val="24"/>
        </w:rPr>
        <w:t xml:space="preserve"> </w:t>
      </w:r>
      <w:r>
        <w:rPr>
          <w:sz w:val="24"/>
        </w:rPr>
        <w:t>éste</w:t>
      </w:r>
      <w:r>
        <w:rPr>
          <w:spacing w:val="-11"/>
          <w:sz w:val="24"/>
        </w:rPr>
        <w:t xml:space="preserve"> </w:t>
      </w:r>
      <w:r>
        <w:rPr>
          <w:sz w:val="24"/>
        </w:rPr>
        <w:t>a</w:t>
      </w:r>
      <w:r>
        <w:rPr>
          <w:spacing w:val="-11"/>
          <w:sz w:val="24"/>
        </w:rPr>
        <w:t xml:space="preserve"> </w:t>
      </w:r>
      <w:r>
        <w:rPr>
          <w:sz w:val="24"/>
        </w:rPr>
        <w:t>la</w:t>
      </w:r>
      <w:r>
        <w:rPr>
          <w:spacing w:val="-11"/>
          <w:sz w:val="24"/>
        </w:rPr>
        <w:t xml:space="preserve"> </w:t>
      </w:r>
      <w:r>
        <w:rPr>
          <w:sz w:val="24"/>
        </w:rPr>
        <w:t>totalidad de</w:t>
      </w:r>
      <w:r>
        <w:rPr>
          <w:spacing w:val="-1"/>
          <w:sz w:val="24"/>
        </w:rPr>
        <w:t xml:space="preserve"> </w:t>
      </w:r>
      <w:r>
        <w:rPr>
          <w:sz w:val="24"/>
        </w:rPr>
        <w:t>los</w:t>
      </w:r>
      <w:r>
        <w:rPr>
          <w:spacing w:val="-1"/>
          <w:sz w:val="24"/>
        </w:rPr>
        <w:t xml:space="preserve"> </w:t>
      </w:r>
      <w:r>
        <w:rPr>
          <w:sz w:val="24"/>
        </w:rPr>
        <w:t>afiliados</w:t>
      </w:r>
      <w:r>
        <w:rPr>
          <w:spacing w:val="-1"/>
          <w:sz w:val="24"/>
        </w:rPr>
        <w:t xml:space="preserve"> </w:t>
      </w:r>
      <w:r>
        <w:rPr>
          <w:sz w:val="24"/>
        </w:rPr>
        <w:t>y</w:t>
      </w:r>
      <w:r>
        <w:rPr>
          <w:spacing w:val="-1"/>
          <w:sz w:val="24"/>
        </w:rPr>
        <w:t xml:space="preserve"> </w:t>
      </w:r>
      <w:r>
        <w:rPr>
          <w:sz w:val="24"/>
        </w:rPr>
        <w:t>no</w:t>
      </w:r>
      <w:r>
        <w:rPr>
          <w:spacing w:val="-1"/>
          <w:sz w:val="24"/>
        </w:rPr>
        <w:t xml:space="preserve"> </w:t>
      </w:r>
      <w:r>
        <w:rPr>
          <w:sz w:val="24"/>
        </w:rPr>
        <w:t>sólo</w:t>
      </w:r>
      <w:r>
        <w:rPr>
          <w:spacing w:val="-1"/>
          <w:sz w:val="24"/>
        </w:rPr>
        <w:t xml:space="preserve"> </w:t>
      </w:r>
      <w:r>
        <w:rPr>
          <w:sz w:val="24"/>
        </w:rPr>
        <w:t>a</w:t>
      </w:r>
      <w:r>
        <w:rPr>
          <w:spacing w:val="-1"/>
          <w:sz w:val="24"/>
        </w:rPr>
        <w:t xml:space="preserve"> </w:t>
      </w:r>
      <w:r>
        <w:rPr>
          <w:sz w:val="24"/>
        </w:rPr>
        <w:t>aquellos</w:t>
      </w:r>
      <w:r>
        <w:rPr>
          <w:spacing w:val="-1"/>
          <w:sz w:val="24"/>
        </w:rPr>
        <w:t xml:space="preserve"> </w:t>
      </w:r>
      <w:r>
        <w:rPr>
          <w:sz w:val="24"/>
        </w:rPr>
        <w:t>que</w:t>
      </w:r>
      <w:r>
        <w:rPr>
          <w:spacing w:val="-1"/>
          <w:sz w:val="24"/>
        </w:rPr>
        <w:t xml:space="preserve"> </w:t>
      </w:r>
      <w:r>
        <w:rPr>
          <w:sz w:val="24"/>
        </w:rPr>
        <w:t>hayan</w:t>
      </w:r>
      <w:r>
        <w:rPr>
          <w:spacing w:val="-1"/>
          <w:sz w:val="24"/>
        </w:rPr>
        <w:t xml:space="preserve"> </w:t>
      </w:r>
      <w:r>
        <w:rPr>
          <w:sz w:val="24"/>
        </w:rPr>
        <w:t>presentado</w:t>
      </w:r>
      <w:r>
        <w:rPr>
          <w:spacing w:val="-1"/>
          <w:sz w:val="24"/>
        </w:rPr>
        <w:t xml:space="preserve"> </w:t>
      </w:r>
      <w:r>
        <w:rPr>
          <w:sz w:val="24"/>
        </w:rPr>
        <w:t>recursos</w:t>
      </w:r>
      <w:r>
        <w:rPr>
          <w:spacing w:val="-1"/>
          <w:sz w:val="24"/>
        </w:rPr>
        <w:t xml:space="preserve"> </w:t>
      </w:r>
      <w:r>
        <w:rPr>
          <w:sz w:val="24"/>
        </w:rPr>
        <w:t>de</w:t>
      </w:r>
      <w:r>
        <w:rPr>
          <w:spacing w:val="-1"/>
          <w:sz w:val="24"/>
        </w:rPr>
        <w:t xml:space="preserve"> </w:t>
      </w:r>
      <w:r>
        <w:rPr>
          <w:sz w:val="24"/>
        </w:rPr>
        <w:t>protección</w:t>
      </w:r>
      <w:r>
        <w:rPr>
          <w:spacing w:val="-1"/>
          <w:sz w:val="24"/>
        </w:rPr>
        <w:t xml:space="preserve"> </w:t>
      </w:r>
      <w:r>
        <w:rPr>
          <w:sz w:val="24"/>
        </w:rPr>
        <w:t>a la respectiva Corte de Apelaciones. Y, en segundo lugar, se ordena a la Superintendencia de Salud iniciar un nuevo proceso de adecuación que permitiría fundamentar adecuadamente el alza de precios de los planes base.</w:t>
      </w:r>
    </w:p>
    <w:p w:rsidR="007D3D54" w:rsidRDefault="004522C9">
      <w:pPr>
        <w:pStyle w:val="Prrafodelista"/>
        <w:numPr>
          <w:ilvl w:val="0"/>
          <w:numId w:val="2"/>
        </w:numPr>
        <w:tabs>
          <w:tab w:val="left" w:pos="505"/>
        </w:tabs>
        <w:spacing w:before="1"/>
        <w:ind w:left="504" w:right="134" w:hanging="360"/>
        <w:jc w:val="both"/>
        <w:rPr>
          <w:sz w:val="24"/>
        </w:rPr>
      </w:pPr>
      <w:r>
        <w:rPr>
          <w:sz w:val="24"/>
        </w:rPr>
        <w:t>La</w:t>
      </w:r>
      <w:r>
        <w:rPr>
          <w:spacing w:val="-8"/>
          <w:sz w:val="24"/>
        </w:rPr>
        <w:t xml:space="preserve"> </w:t>
      </w:r>
      <w:r>
        <w:rPr>
          <w:sz w:val="24"/>
        </w:rPr>
        <w:t>Superintendencia</w:t>
      </w:r>
      <w:r>
        <w:rPr>
          <w:spacing w:val="-8"/>
          <w:sz w:val="24"/>
        </w:rPr>
        <w:t xml:space="preserve"> </w:t>
      </w:r>
      <w:r>
        <w:rPr>
          <w:sz w:val="24"/>
        </w:rPr>
        <w:t>publicó</w:t>
      </w:r>
      <w:r>
        <w:rPr>
          <w:spacing w:val="-8"/>
          <w:sz w:val="24"/>
        </w:rPr>
        <w:t xml:space="preserve"> </w:t>
      </w:r>
      <w:r>
        <w:rPr>
          <w:sz w:val="24"/>
        </w:rPr>
        <w:t>el</w:t>
      </w:r>
      <w:r>
        <w:rPr>
          <w:spacing w:val="-8"/>
          <w:sz w:val="24"/>
        </w:rPr>
        <w:t xml:space="preserve"> </w:t>
      </w:r>
      <w:r>
        <w:rPr>
          <w:sz w:val="24"/>
        </w:rPr>
        <w:t>6</w:t>
      </w:r>
      <w:r>
        <w:rPr>
          <w:spacing w:val="-8"/>
          <w:sz w:val="24"/>
        </w:rPr>
        <w:t xml:space="preserve"> </w:t>
      </w:r>
      <w:r>
        <w:rPr>
          <w:sz w:val="24"/>
        </w:rPr>
        <w:t>de</w:t>
      </w:r>
      <w:r>
        <w:rPr>
          <w:spacing w:val="-8"/>
          <w:sz w:val="24"/>
        </w:rPr>
        <w:t xml:space="preserve"> </w:t>
      </w:r>
      <w:r>
        <w:rPr>
          <w:sz w:val="24"/>
        </w:rPr>
        <w:t>s</w:t>
      </w:r>
      <w:r>
        <w:rPr>
          <w:sz w:val="24"/>
        </w:rPr>
        <w:t>eptiembre</w:t>
      </w:r>
      <w:r>
        <w:rPr>
          <w:spacing w:val="-8"/>
          <w:sz w:val="24"/>
        </w:rPr>
        <w:t xml:space="preserve"> </w:t>
      </w:r>
      <w:r>
        <w:rPr>
          <w:sz w:val="24"/>
        </w:rPr>
        <w:t>del</w:t>
      </w:r>
      <w:r>
        <w:rPr>
          <w:spacing w:val="-8"/>
          <w:sz w:val="24"/>
        </w:rPr>
        <w:t xml:space="preserve"> </w:t>
      </w:r>
      <w:r>
        <w:rPr>
          <w:sz w:val="24"/>
        </w:rPr>
        <w:t>año</w:t>
      </w:r>
      <w:r>
        <w:rPr>
          <w:spacing w:val="-8"/>
          <w:sz w:val="24"/>
        </w:rPr>
        <w:t xml:space="preserve"> </w:t>
      </w:r>
      <w:r>
        <w:rPr>
          <w:sz w:val="24"/>
        </w:rPr>
        <w:t>2022</w:t>
      </w:r>
      <w:r>
        <w:rPr>
          <w:spacing w:val="-8"/>
          <w:sz w:val="24"/>
        </w:rPr>
        <w:t xml:space="preserve"> </w:t>
      </w:r>
      <w:r>
        <w:rPr>
          <w:sz w:val="24"/>
        </w:rPr>
        <w:t>la</w:t>
      </w:r>
      <w:r>
        <w:rPr>
          <w:spacing w:val="-8"/>
          <w:sz w:val="24"/>
        </w:rPr>
        <w:t xml:space="preserve"> </w:t>
      </w:r>
      <w:r>
        <w:rPr>
          <w:sz w:val="24"/>
        </w:rPr>
        <w:t>Circular</w:t>
      </w:r>
      <w:r>
        <w:rPr>
          <w:spacing w:val="-8"/>
          <w:sz w:val="24"/>
        </w:rPr>
        <w:t xml:space="preserve"> </w:t>
      </w:r>
      <w:r>
        <w:rPr>
          <w:sz w:val="24"/>
        </w:rPr>
        <w:t>N°</w:t>
      </w:r>
      <w:r>
        <w:rPr>
          <w:spacing w:val="-8"/>
          <w:sz w:val="24"/>
        </w:rPr>
        <w:t xml:space="preserve"> </w:t>
      </w:r>
      <w:r>
        <w:rPr>
          <w:sz w:val="24"/>
        </w:rPr>
        <w:t>409</w:t>
      </w:r>
      <w:r>
        <w:rPr>
          <w:spacing w:val="-8"/>
          <w:sz w:val="24"/>
        </w:rPr>
        <w:t xml:space="preserve"> </w:t>
      </w:r>
      <w:r>
        <w:rPr>
          <w:sz w:val="24"/>
        </w:rPr>
        <w:t>que entregaba las instrucciones para que las Isapres dieran cumplimiento al fallo de la Corte</w:t>
      </w:r>
      <w:r>
        <w:rPr>
          <w:spacing w:val="-5"/>
          <w:sz w:val="24"/>
        </w:rPr>
        <w:t xml:space="preserve"> </w:t>
      </w:r>
      <w:r>
        <w:rPr>
          <w:sz w:val="24"/>
        </w:rPr>
        <w:t>Suprema</w:t>
      </w:r>
      <w:r>
        <w:rPr>
          <w:spacing w:val="-5"/>
          <w:sz w:val="24"/>
        </w:rPr>
        <w:t xml:space="preserve"> </w:t>
      </w:r>
      <w:r>
        <w:rPr>
          <w:sz w:val="24"/>
        </w:rPr>
        <w:t>antes</w:t>
      </w:r>
      <w:r>
        <w:rPr>
          <w:spacing w:val="-5"/>
          <w:sz w:val="24"/>
        </w:rPr>
        <w:t xml:space="preserve"> </w:t>
      </w:r>
      <w:r>
        <w:rPr>
          <w:sz w:val="24"/>
        </w:rPr>
        <w:t>mencionado</w:t>
      </w:r>
      <w:r>
        <w:rPr>
          <w:spacing w:val="-5"/>
          <w:sz w:val="24"/>
        </w:rPr>
        <w:t xml:space="preserve"> </w:t>
      </w:r>
      <w:r>
        <w:rPr>
          <w:sz w:val="24"/>
        </w:rPr>
        <w:t>y</w:t>
      </w:r>
      <w:r>
        <w:rPr>
          <w:spacing w:val="-5"/>
          <w:sz w:val="24"/>
        </w:rPr>
        <w:t xml:space="preserve"> </w:t>
      </w:r>
      <w:r>
        <w:rPr>
          <w:sz w:val="24"/>
        </w:rPr>
        <w:t>que</w:t>
      </w:r>
      <w:r>
        <w:rPr>
          <w:spacing w:val="-5"/>
          <w:sz w:val="24"/>
        </w:rPr>
        <w:t xml:space="preserve"> </w:t>
      </w:r>
      <w:r>
        <w:rPr>
          <w:sz w:val="24"/>
        </w:rPr>
        <w:t>incluía</w:t>
      </w:r>
      <w:r>
        <w:rPr>
          <w:spacing w:val="-5"/>
          <w:sz w:val="24"/>
        </w:rPr>
        <w:t xml:space="preserve"> </w:t>
      </w:r>
      <w:r>
        <w:rPr>
          <w:sz w:val="24"/>
        </w:rPr>
        <w:t>un</w:t>
      </w:r>
      <w:r>
        <w:rPr>
          <w:spacing w:val="-5"/>
          <w:sz w:val="24"/>
        </w:rPr>
        <w:t xml:space="preserve"> </w:t>
      </w:r>
      <w:r>
        <w:rPr>
          <w:sz w:val="24"/>
        </w:rPr>
        <w:t>mecanismo</w:t>
      </w:r>
      <w:r>
        <w:rPr>
          <w:spacing w:val="-5"/>
          <w:sz w:val="24"/>
        </w:rPr>
        <w:t xml:space="preserve"> </w:t>
      </w:r>
      <w:r>
        <w:rPr>
          <w:sz w:val="24"/>
        </w:rPr>
        <w:t>que</w:t>
      </w:r>
      <w:r>
        <w:rPr>
          <w:spacing w:val="-5"/>
          <w:sz w:val="24"/>
        </w:rPr>
        <w:t xml:space="preserve"> </w:t>
      </w:r>
      <w:r>
        <w:rPr>
          <w:sz w:val="24"/>
        </w:rPr>
        <w:t>fue</w:t>
      </w:r>
      <w:r>
        <w:rPr>
          <w:spacing w:val="-5"/>
          <w:sz w:val="24"/>
        </w:rPr>
        <w:t xml:space="preserve"> </w:t>
      </w:r>
      <w:r>
        <w:rPr>
          <w:sz w:val="24"/>
        </w:rPr>
        <w:t>denominado “procedimiento de verificación”. En éste, las Isa</w:t>
      </w:r>
      <w:r>
        <w:rPr>
          <w:sz w:val="24"/>
        </w:rPr>
        <w:t>pres debían entregar a la entidad reguladora una serie de datos necesarios para corroborar los cálculos en los que fundamentarían la nueva elevación de los precios de los planes.</w:t>
      </w:r>
    </w:p>
    <w:p w:rsidR="007D3D54" w:rsidRDefault="004522C9">
      <w:pPr>
        <w:pStyle w:val="Prrafodelista"/>
        <w:numPr>
          <w:ilvl w:val="0"/>
          <w:numId w:val="2"/>
        </w:numPr>
        <w:tabs>
          <w:tab w:val="left" w:pos="505"/>
        </w:tabs>
        <w:ind w:left="504" w:right="134" w:hanging="360"/>
        <w:jc w:val="both"/>
        <w:rPr>
          <w:sz w:val="24"/>
        </w:rPr>
      </w:pPr>
      <w:r>
        <w:rPr>
          <w:sz w:val="24"/>
        </w:rPr>
        <w:t>El 15 de septiembre del año 2022 la Superintendencia de Salud terminó el proc</w:t>
      </w:r>
      <w:r>
        <w:rPr>
          <w:sz w:val="24"/>
        </w:rPr>
        <w:t>eso de</w:t>
      </w:r>
      <w:r>
        <w:rPr>
          <w:spacing w:val="-4"/>
          <w:sz w:val="24"/>
        </w:rPr>
        <w:t xml:space="preserve"> </w:t>
      </w:r>
      <w:r>
        <w:rPr>
          <w:sz w:val="24"/>
        </w:rPr>
        <w:t>verificación</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antecedentes,</w:t>
      </w:r>
      <w:r>
        <w:rPr>
          <w:spacing w:val="-4"/>
          <w:sz w:val="24"/>
        </w:rPr>
        <w:t xml:space="preserve"> </w:t>
      </w:r>
      <w:r>
        <w:rPr>
          <w:sz w:val="24"/>
        </w:rPr>
        <w:t>que</w:t>
      </w:r>
      <w:r>
        <w:rPr>
          <w:spacing w:val="-4"/>
          <w:sz w:val="24"/>
        </w:rPr>
        <w:t xml:space="preserve"> </w:t>
      </w:r>
      <w:r>
        <w:rPr>
          <w:sz w:val="24"/>
        </w:rPr>
        <w:t>según</w:t>
      </w:r>
      <w:r>
        <w:rPr>
          <w:spacing w:val="-4"/>
          <w:sz w:val="24"/>
        </w:rPr>
        <w:t xml:space="preserve"> </w:t>
      </w:r>
      <w:r>
        <w:rPr>
          <w:sz w:val="24"/>
        </w:rPr>
        <w:t>las</w:t>
      </w:r>
      <w:r>
        <w:rPr>
          <w:spacing w:val="-4"/>
          <w:sz w:val="24"/>
        </w:rPr>
        <w:t xml:space="preserve"> </w:t>
      </w:r>
      <w:r>
        <w:rPr>
          <w:sz w:val="24"/>
        </w:rPr>
        <w:t>aseguradoras,</w:t>
      </w:r>
      <w:r>
        <w:rPr>
          <w:spacing w:val="-4"/>
          <w:sz w:val="24"/>
        </w:rPr>
        <w:t xml:space="preserve"> </w:t>
      </w:r>
      <w:r>
        <w:rPr>
          <w:sz w:val="24"/>
        </w:rPr>
        <w:t>fundamentarían</w:t>
      </w:r>
      <w:r>
        <w:rPr>
          <w:spacing w:val="-4"/>
          <w:sz w:val="24"/>
        </w:rPr>
        <w:t xml:space="preserve"> </w:t>
      </w:r>
      <w:r>
        <w:rPr>
          <w:sz w:val="24"/>
        </w:rPr>
        <w:t>el porcentaje del alza que cada una de ellas comunicó y que queda reflejado en la siguiente tabla:</w:t>
      </w:r>
    </w:p>
    <w:p w:rsidR="007D3D54" w:rsidRDefault="007D3D54">
      <w:pPr>
        <w:pStyle w:val="Textoindependiente"/>
        <w:spacing w:before="3"/>
        <w:jc w:val="left"/>
        <w:rPr>
          <w:sz w:val="13"/>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1977"/>
        <w:gridCol w:w="2174"/>
        <w:gridCol w:w="2467"/>
      </w:tblGrid>
      <w:tr w:rsidR="007D3D54">
        <w:trPr>
          <w:trHeight w:val="1127"/>
        </w:trPr>
        <w:tc>
          <w:tcPr>
            <w:tcW w:w="1987" w:type="dxa"/>
          </w:tcPr>
          <w:p w:rsidR="007D3D54" w:rsidRDefault="004522C9">
            <w:pPr>
              <w:pStyle w:val="TableParagraph"/>
              <w:spacing w:line="240" w:lineRule="auto"/>
              <w:ind w:left="644"/>
              <w:jc w:val="left"/>
              <w:rPr>
                <w:b/>
                <w:sz w:val="24"/>
              </w:rPr>
            </w:pPr>
            <w:r>
              <w:rPr>
                <w:b/>
                <w:spacing w:val="-2"/>
                <w:sz w:val="24"/>
              </w:rPr>
              <w:t>Isapre</w:t>
            </w:r>
          </w:p>
        </w:tc>
        <w:tc>
          <w:tcPr>
            <w:tcW w:w="1977" w:type="dxa"/>
          </w:tcPr>
          <w:p w:rsidR="007D3D54" w:rsidRDefault="004522C9">
            <w:pPr>
              <w:pStyle w:val="TableParagraph"/>
              <w:spacing w:line="240" w:lineRule="auto"/>
              <w:ind w:left="157" w:right="141"/>
              <w:rPr>
                <w:b/>
                <w:sz w:val="24"/>
              </w:rPr>
            </w:pPr>
            <w:r>
              <w:rPr>
                <w:b/>
                <w:sz w:val="24"/>
              </w:rPr>
              <w:t>%</w:t>
            </w:r>
            <w:r>
              <w:rPr>
                <w:b/>
                <w:spacing w:val="-14"/>
                <w:sz w:val="24"/>
              </w:rPr>
              <w:t xml:space="preserve"> </w:t>
            </w:r>
            <w:r>
              <w:rPr>
                <w:b/>
                <w:sz w:val="24"/>
              </w:rPr>
              <w:t>de</w:t>
            </w:r>
            <w:r>
              <w:rPr>
                <w:b/>
                <w:spacing w:val="-13"/>
                <w:sz w:val="24"/>
              </w:rPr>
              <w:t xml:space="preserve"> </w:t>
            </w:r>
            <w:r>
              <w:rPr>
                <w:b/>
                <w:sz w:val="24"/>
              </w:rPr>
              <w:t>elevación informado por la Isapre</w:t>
            </w:r>
          </w:p>
        </w:tc>
        <w:tc>
          <w:tcPr>
            <w:tcW w:w="2174" w:type="dxa"/>
          </w:tcPr>
          <w:p w:rsidR="007D3D54" w:rsidRDefault="004522C9">
            <w:pPr>
              <w:pStyle w:val="TableParagraph"/>
              <w:spacing w:line="240" w:lineRule="auto"/>
              <w:ind w:left="106" w:right="96" w:firstLine="2"/>
              <w:rPr>
                <w:b/>
                <w:sz w:val="24"/>
              </w:rPr>
            </w:pPr>
            <w:r>
              <w:rPr>
                <w:b/>
                <w:sz w:val="24"/>
              </w:rPr>
              <w:t xml:space="preserve">% de elevación verificado por la </w:t>
            </w:r>
            <w:r>
              <w:rPr>
                <w:b/>
                <w:spacing w:val="-2"/>
                <w:sz w:val="24"/>
              </w:rPr>
              <w:t>Superintendencia</w:t>
            </w:r>
          </w:p>
          <w:p w:rsidR="007D3D54" w:rsidRDefault="004522C9">
            <w:pPr>
              <w:pStyle w:val="TableParagraph"/>
              <w:spacing w:before="1"/>
              <w:ind w:left="604" w:right="595"/>
              <w:rPr>
                <w:b/>
                <w:sz w:val="24"/>
              </w:rPr>
            </w:pPr>
            <w:r>
              <w:rPr>
                <w:b/>
                <w:sz w:val="24"/>
              </w:rPr>
              <w:t>de</w:t>
            </w:r>
            <w:r>
              <w:rPr>
                <w:b/>
                <w:spacing w:val="-2"/>
                <w:sz w:val="24"/>
              </w:rPr>
              <w:t xml:space="preserve"> Salud</w:t>
            </w:r>
          </w:p>
        </w:tc>
        <w:tc>
          <w:tcPr>
            <w:tcW w:w="2467" w:type="dxa"/>
          </w:tcPr>
          <w:p w:rsidR="007D3D54" w:rsidRDefault="004522C9">
            <w:pPr>
              <w:pStyle w:val="TableParagraph"/>
              <w:spacing w:line="240" w:lineRule="auto"/>
              <w:ind w:left="136" w:right="122" w:firstLine="1"/>
              <w:rPr>
                <w:b/>
                <w:sz w:val="24"/>
              </w:rPr>
            </w:pPr>
            <w:r>
              <w:rPr>
                <w:b/>
                <w:sz w:val="24"/>
              </w:rPr>
              <w:t>% de elevación finalmente</w:t>
            </w:r>
            <w:r>
              <w:rPr>
                <w:b/>
                <w:spacing w:val="-14"/>
                <w:sz w:val="24"/>
              </w:rPr>
              <w:t xml:space="preserve"> </w:t>
            </w:r>
            <w:r>
              <w:rPr>
                <w:b/>
                <w:sz w:val="24"/>
              </w:rPr>
              <w:t>aplicado en el proceso de</w:t>
            </w:r>
          </w:p>
          <w:p w:rsidR="007D3D54" w:rsidRDefault="004522C9">
            <w:pPr>
              <w:pStyle w:val="TableParagraph"/>
              <w:spacing w:before="1"/>
              <w:ind w:right="586"/>
              <w:rPr>
                <w:b/>
                <w:sz w:val="24"/>
              </w:rPr>
            </w:pPr>
            <w:r>
              <w:rPr>
                <w:b/>
                <w:spacing w:val="-2"/>
                <w:sz w:val="24"/>
              </w:rPr>
              <w:t>adecuación</w:t>
            </w:r>
          </w:p>
        </w:tc>
      </w:tr>
      <w:tr w:rsidR="007D3D54">
        <w:trPr>
          <w:trHeight w:val="282"/>
        </w:trPr>
        <w:tc>
          <w:tcPr>
            <w:tcW w:w="1987" w:type="dxa"/>
          </w:tcPr>
          <w:p w:rsidR="007D3D54" w:rsidRDefault="004522C9">
            <w:pPr>
              <w:pStyle w:val="TableParagraph"/>
              <w:ind w:left="110"/>
              <w:jc w:val="left"/>
              <w:rPr>
                <w:sz w:val="24"/>
              </w:rPr>
            </w:pPr>
            <w:r>
              <w:rPr>
                <w:spacing w:val="-2"/>
                <w:sz w:val="24"/>
              </w:rPr>
              <w:t>Colmena</w:t>
            </w:r>
          </w:p>
        </w:tc>
        <w:tc>
          <w:tcPr>
            <w:tcW w:w="1977" w:type="dxa"/>
          </w:tcPr>
          <w:p w:rsidR="007D3D54" w:rsidRDefault="004522C9">
            <w:pPr>
              <w:pStyle w:val="TableParagraph"/>
              <w:ind w:left="153" w:right="141"/>
              <w:rPr>
                <w:sz w:val="24"/>
              </w:rPr>
            </w:pPr>
            <w:r>
              <w:rPr>
                <w:spacing w:val="-4"/>
                <w:sz w:val="24"/>
              </w:rPr>
              <w:t>6,6%</w:t>
            </w:r>
          </w:p>
        </w:tc>
        <w:tc>
          <w:tcPr>
            <w:tcW w:w="2174" w:type="dxa"/>
          </w:tcPr>
          <w:p w:rsidR="007D3D54" w:rsidRDefault="004522C9">
            <w:pPr>
              <w:pStyle w:val="TableParagraph"/>
              <w:ind w:left="0" w:right="811"/>
              <w:jc w:val="right"/>
              <w:rPr>
                <w:sz w:val="24"/>
              </w:rPr>
            </w:pPr>
            <w:r>
              <w:rPr>
                <w:spacing w:val="-4"/>
                <w:sz w:val="24"/>
              </w:rPr>
              <w:t>6,6%</w:t>
            </w:r>
          </w:p>
        </w:tc>
        <w:tc>
          <w:tcPr>
            <w:tcW w:w="2467" w:type="dxa"/>
          </w:tcPr>
          <w:p w:rsidR="007D3D54" w:rsidRDefault="004522C9">
            <w:pPr>
              <w:pStyle w:val="TableParagraph"/>
              <w:ind w:right="586"/>
              <w:rPr>
                <w:sz w:val="24"/>
              </w:rPr>
            </w:pPr>
            <w:r>
              <w:rPr>
                <w:spacing w:val="-4"/>
                <w:sz w:val="24"/>
              </w:rPr>
              <w:t>6,6%</w:t>
            </w:r>
          </w:p>
        </w:tc>
      </w:tr>
      <w:tr w:rsidR="007D3D54">
        <w:trPr>
          <w:trHeight w:val="278"/>
        </w:trPr>
        <w:tc>
          <w:tcPr>
            <w:tcW w:w="1987" w:type="dxa"/>
          </w:tcPr>
          <w:p w:rsidR="007D3D54" w:rsidRDefault="004522C9">
            <w:pPr>
              <w:pStyle w:val="TableParagraph"/>
              <w:spacing w:before="0" w:line="258" w:lineRule="exact"/>
              <w:ind w:left="110"/>
              <w:jc w:val="left"/>
              <w:rPr>
                <w:sz w:val="24"/>
              </w:rPr>
            </w:pPr>
            <w:r>
              <w:rPr>
                <w:sz w:val="24"/>
              </w:rPr>
              <w:t>Cruz</w:t>
            </w:r>
            <w:r>
              <w:rPr>
                <w:spacing w:val="-1"/>
                <w:sz w:val="24"/>
              </w:rPr>
              <w:t xml:space="preserve"> </w:t>
            </w:r>
            <w:r>
              <w:rPr>
                <w:spacing w:val="-2"/>
                <w:sz w:val="24"/>
              </w:rPr>
              <w:t>Blanca</w:t>
            </w:r>
          </w:p>
        </w:tc>
        <w:tc>
          <w:tcPr>
            <w:tcW w:w="1977" w:type="dxa"/>
          </w:tcPr>
          <w:p w:rsidR="007D3D54" w:rsidRDefault="004522C9">
            <w:pPr>
              <w:pStyle w:val="TableParagraph"/>
              <w:spacing w:before="0" w:line="258" w:lineRule="exact"/>
              <w:ind w:left="153" w:right="141"/>
              <w:rPr>
                <w:sz w:val="24"/>
              </w:rPr>
            </w:pPr>
            <w:r>
              <w:rPr>
                <w:spacing w:val="-4"/>
                <w:sz w:val="24"/>
              </w:rPr>
              <w:t>4,5%</w:t>
            </w:r>
          </w:p>
        </w:tc>
        <w:tc>
          <w:tcPr>
            <w:tcW w:w="2174" w:type="dxa"/>
          </w:tcPr>
          <w:p w:rsidR="007D3D54" w:rsidRDefault="004522C9">
            <w:pPr>
              <w:pStyle w:val="TableParagraph"/>
              <w:spacing w:before="0" w:line="258" w:lineRule="exact"/>
              <w:ind w:left="0" w:right="811"/>
              <w:jc w:val="right"/>
              <w:rPr>
                <w:sz w:val="24"/>
              </w:rPr>
            </w:pPr>
            <w:r>
              <w:rPr>
                <w:spacing w:val="-4"/>
                <w:sz w:val="24"/>
              </w:rPr>
              <w:t>4,3%</w:t>
            </w:r>
          </w:p>
        </w:tc>
        <w:tc>
          <w:tcPr>
            <w:tcW w:w="2467" w:type="dxa"/>
          </w:tcPr>
          <w:p w:rsidR="007D3D54" w:rsidRDefault="004522C9">
            <w:pPr>
              <w:pStyle w:val="TableParagraph"/>
              <w:spacing w:before="0" w:line="258" w:lineRule="exact"/>
              <w:ind w:right="586"/>
              <w:rPr>
                <w:sz w:val="24"/>
              </w:rPr>
            </w:pPr>
            <w:r>
              <w:rPr>
                <w:spacing w:val="-4"/>
                <w:sz w:val="24"/>
              </w:rPr>
              <w:t>4,3%</w:t>
            </w:r>
          </w:p>
        </w:tc>
      </w:tr>
      <w:tr w:rsidR="007D3D54">
        <w:trPr>
          <w:trHeight w:val="282"/>
        </w:trPr>
        <w:tc>
          <w:tcPr>
            <w:tcW w:w="1987" w:type="dxa"/>
          </w:tcPr>
          <w:p w:rsidR="007D3D54" w:rsidRDefault="004522C9">
            <w:pPr>
              <w:pStyle w:val="TableParagraph"/>
              <w:ind w:left="110"/>
              <w:jc w:val="left"/>
              <w:rPr>
                <w:sz w:val="24"/>
              </w:rPr>
            </w:pPr>
            <w:r>
              <w:rPr>
                <w:sz w:val="24"/>
              </w:rPr>
              <w:t xml:space="preserve">Vida </w:t>
            </w:r>
            <w:r>
              <w:rPr>
                <w:spacing w:val="-4"/>
                <w:sz w:val="24"/>
              </w:rPr>
              <w:t>Tres</w:t>
            </w:r>
          </w:p>
        </w:tc>
        <w:tc>
          <w:tcPr>
            <w:tcW w:w="1977" w:type="dxa"/>
          </w:tcPr>
          <w:p w:rsidR="007D3D54" w:rsidRDefault="004522C9">
            <w:pPr>
              <w:pStyle w:val="TableParagraph"/>
              <w:ind w:left="153" w:right="141"/>
              <w:rPr>
                <w:sz w:val="24"/>
              </w:rPr>
            </w:pPr>
            <w:r>
              <w:rPr>
                <w:spacing w:val="-4"/>
                <w:sz w:val="24"/>
              </w:rPr>
              <w:t>1,9%</w:t>
            </w:r>
          </w:p>
        </w:tc>
        <w:tc>
          <w:tcPr>
            <w:tcW w:w="2174" w:type="dxa"/>
          </w:tcPr>
          <w:p w:rsidR="007D3D54" w:rsidRDefault="004522C9">
            <w:pPr>
              <w:pStyle w:val="TableParagraph"/>
              <w:ind w:left="0" w:right="811"/>
              <w:jc w:val="right"/>
              <w:rPr>
                <w:sz w:val="24"/>
              </w:rPr>
            </w:pPr>
            <w:r>
              <w:rPr>
                <w:spacing w:val="-4"/>
                <w:sz w:val="24"/>
              </w:rPr>
              <w:t>1,4%</w:t>
            </w:r>
          </w:p>
        </w:tc>
        <w:tc>
          <w:tcPr>
            <w:tcW w:w="2467" w:type="dxa"/>
          </w:tcPr>
          <w:p w:rsidR="007D3D54" w:rsidRDefault="004522C9">
            <w:pPr>
              <w:pStyle w:val="TableParagraph"/>
              <w:ind w:right="586"/>
              <w:rPr>
                <w:sz w:val="24"/>
              </w:rPr>
            </w:pPr>
            <w:r>
              <w:rPr>
                <w:spacing w:val="-4"/>
                <w:sz w:val="24"/>
              </w:rPr>
              <w:t>1,4%</w:t>
            </w:r>
          </w:p>
        </w:tc>
      </w:tr>
      <w:tr w:rsidR="007D3D54">
        <w:trPr>
          <w:trHeight w:val="282"/>
        </w:trPr>
        <w:tc>
          <w:tcPr>
            <w:tcW w:w="1987" w:type="dxa"/>
          </w:tcPr>
          <w:p w:rsidR="007D3D54" w:rsidRDefault="004522C9">
            <w:pPr>
              <w:pStyle w:val="TableParagraph"/>
              <w:ind w:left="110"/>
              <w:jc w:val="left"/>
              <w:rPr>
                <w:sz w:val="24"/>
              </w:rPr>
            </w:pPr>
            <w:r>
              <w:rPr>
                <w:sz w:val="24"/>
              </w:rPr>
              <w:t>Nueva</w:t>
            </w:r>
            <w:r>
              <w:rPr>
                <w:spacing w:val="-2"/>
                <w:sz w:val="24"/>
              </w:rPr>
              <w:t xml:space="preserve"> Masvida</w:t>
            </w:r>
          </w:p>
        </w:tc>
        <w:tc>
          <w:tcPr>
            <w:tcW w:w="1977" w:type="dxa"/>
          </w:tcPr>
          <w:p w:rsidR="007D3D54" w:rsidRDefault="004522C9">
            <w:pPr>
              <w:pStyle w:val="TableParagraph"/>
              <w:ind w:left="153" w:right="141"/>
              <w:rPr>
                <w:sz w:val="24"/>
              </w:rPr>
            </w:pPr>
            <w:r>
              <w:rPr>
                <w:spacing w:val="-5"/>
                <w:sz w:val="24"/>
              </w:rPr>
              <w:t>10%</w:t>
            </w:r>
          </w:p>
        </w:tc>
        <w:tc>
          <w:tcPr>
            <w:tcW w:w="2174" w:type="dxa"/>
          </w:tcPr>
          <w:p w:rsidR="007D3D54" w:rsidRDefault="004522C9">
            <w:pPr>
              <w:pStyle w:val="TableParagraph"/>
              <w:ind w:left="0" w:right="811"/>
              <w:jc w:val="right"/>
              <w:rPr>
                <w:sz w:val="24"/>
              </w:rPr>
            </w:pPr>
            <w:r>
              <w:rPr>
                <w:spacing w:val="-4"/>
                <w:sz w:val="24"/>
              </w:rPr>
              <w:t>7,8%</w:t>
            </w:r>
          </w:p>
        </w:tc>
        <w:tc>
          <w:tcPr>
            <w:tcW w:w="2467" w:type="dxa"/>
          </w:tcPr>
          <w:p w:rsidR="007D3D54" w:rsidRDefault="004522C9">
            <w:pPr>
              <w:pStyle w:val="TableParagraph"/>
              <w:ind w:right="586"/>
              <w:rPr>
                <w:sz w:val="24"/>
              </w:rPr>
            </w:pPr>
            <w:r>
              <w:rPr>
                <w:spacing w:val="-4"/>
                <w:sz w:val="24"/>
              </w:rPr>
              <w:t>7,6%</w:t>
            </w:r>
          </w:p>
        </w:tc>
      </w:tr>
      <w:tr w:rsidR="007D3D54">
        <w:trPr>
          <w:trHeight w:val="277"/>
        </w:trPr>
        <w:tc>
          <w:tcPr>
            <w:tcW w:w="1987" w:type="dxa"/>
          </w:tcPr>
          <w:p w:rsidR="007D3D54" w:rsidRDefault="004522C9">
            <w:pPr>
              <w:pStyle w:val="TableParagraph"/>
              <w:spacing w:before="0" w:line="258" w:lineRule="exact"/>
              <w:ind w:left="110"/>
              <w:jc w:val="left"/>
              <w:rPr>
                <w:sz w:val="24"/>
              </w:rPr>
            </w:pPr>
            <w:r>
              <w:rPr>
                <w:spacing w:val="-2"/>
                <w:sz w:val="24"/>
              </w:rPr>
              <w:t>Banmédica</w:t>
            </w:r>
          </w:p>
        </w:tc>
        <w:tc>
          <w:tcPr>
            <w:tcW w:w="1977" w:type="dxa"/>
          </w:tcPr>
          <w:p w:rsidR="007D3D54" w:rsidRDefault="004522C9">
            <w:pPr>
              <w:pStyle w:val="TableParagraph"/>
              <w:spacing w:before="0" w:line="258" w:lineRule="exact"/>
              <w:ind w:left="153" w:right="141"/>
              <w:rPr>
                <w:sz w:val="24"/>
              </w:rPr>
            </w:pPr>
            <w:r>
              <w:rPr>
                <w:spacing w:val="-4"/>
                <w:sz w:val="24"/>
              </w:rPr>
              <w:t>6,0%</w:t>
            </w:r>
          </w:p>
        </w:tc>
        <w:tc>
          <w:tcPr>
            <w:tcW w:w="2174" w:type="dxa"/>
          </w:tcPr>
          <w:p w:rsidR="007D3D54" w:rsidRDefault="004522C9">
            <w:pPr>
              <w:pStyle w:val="TableParagraph"/>
              <w:spacing w:before="0" w:line="258" w:lineRule="exact"/>
              <w:ind w:left="0" w:right="811"/>
              <w:jc w:val="right"/>
              <w:rPr>
                <w:sz w:val="24"/>
              </w:rPr>
            </w:pPr>
            <w:r>
              <w:rPr>
                <w:spacing w:val="-4"/>
                <w:sz w:val="24"/>
              </w:rPr>
              <w:t>5,6%</w:t>
            </w:r>
          </w:p>
        </w:tc>
        <w:tc>
          <w:tcPr>
            <w:tcW w:w="2467" w:type="dxa"/>
          </w:tcPr>
          <w:p w:rsidR="007D3D54" w:rsidRDefault="004522C9">
            <w:pPr>
              <w:pStyle w:val="TableParagraph"/>
              <w:spacing w:before="0" w:line="258" w:lineRule="exact"/>
              <w:ind w:right="586"/>
              <w:rPr>
                <w:sz w:val="24"/>
              </w:rPr>
            </w:pPr>
            <w:r>
              <w:rPr>
                <w:spacing w:val="-4"/>
                <w:sz w:val="24"/>
              </w:rPr>
              <w:t>5,6%</w:t>
            </w:r>
          </w:p>
        </w:tc>
      </w:tr>
      <w:tr w:rsidR="007D3D54">
        <w:trPr>
          <w:trHeight w:val="282"/>
        </w:trPr>
        <w:tc>
          <w:tcPr>
            <w:tcW w:w="1987" w:type="dxa"/>
          </w:tcPr>
          <w:p w:rsidR="007D3D54" w:rsidRDefault="004522C9">
            <w:pPr>
              <w:pStyle w:val="TableParagraph"/>
              <w:ind w:left="110"/>
              <w:jc w:val="left"/>
              <w:rPr>
                <w:sz w:val="24"/>
              </w:rPr>
            </w:pPr>
            <w:r>
              <w:rPr>
                <w:spacing w:val="-2"/>
                <w:sz w:val="24"/>
              </w:rPr>
              <w:t>Consalud</w:t>
            </w:r>
          </w:p>
        </w:tc>
        <w:tc>
          <w:tcPr>
            <w:tcW w:w="1977" w:type="dxa"/>
          </w:tcPr>
          <w:p w:rsidR="007D3D54" w:rsidRDefault="004522C9">
            <w:pPr>
              <w:pStyle w:val="TableParagraph"/>
              <w:ind w:left="153" w:right="141"/>
              <w:rPr>
                <w:sz w:val="24"/>
              </w:rPr>
            </w:pPr>
            <w:r>
              <w:rPr>
                <w:spacing w:val="-2"/>
                <w:sz w:val="24"/>
              </w:rPr>
              <w:t>14,3%</w:t>
            </w:r>
          </w:p>
        </w:tc>
        <w:tc>
          <w:tcPr>
            <w:tcW w:w="2174" w:type="dxa"/>
          </w:tcPr>
          <w:p w:rsidR="007D3D54" w:rsidRDefault="004522C9">
            <w:pPr>
              <w:pStyle w:val="TableParagraph"/>
              <w:ind w:left="0" w:right="744"/>
              <w:jc w:val="right"/>
              <w:rPr>
                <w:sz w:val="24"/>
              </w:rPr>
            </w:pPr>
            <w:r>
              <w:rPr>
                <w:spacing w:val="-2"/>
                <w:sz w:val="24"/>
              </w:rPr>
              <w:t>14,4%</w:t>
            </w:r>
          </w:p>
        </w:tc>
        <w:tc>
          <w:tcPr>
            <w:tcW w:w="2467" w:type="dxa"/>
          </w:tcPr>
          <w:p w:rsidR="007D3D54" w:rsidRDefault="004522C9">
            <w:pPr>
              <w:pStyle w:val="TableParagraph"/>
              <w:ind w:right="586"/>
              <w:rPr>
                <w:sz w:val="24"/>
              </w:rPr>
            </w:pPr>
            <w:r>
              <w:rPr>
                <w:spacing w:val="-4"/>
                <w:sz w:val="24"/>
              </w:rPr>
              <w:t>7,6%</w:t>
            </w:r>
          </w:p>
        </w:tc>
      </w:tr>
    </w:tbl>
    <w:p w:rsidR="007D3D54" w:rsidRDefault="007D3D54">
      <w:pPr>
        <w:pStyle w:val="Textoindependiente"/>
        <w:spacing w:before="8"/>
        <w:jc w:val="left"/>
      </w:pPr>
    </w:p>
    <w:p w:rsidR="007D3D54" w:rsidRDefault="004522C9">
      <w:pPr>
        <w:pStyle w:val="Textoindependiente"/>
        <w:ind w:left="504" w:right="134"/>
      </w:pPr>
      <w:r>
        <w:t>En los casos que se produjo diferencias entre lo informado por la Isapre y lo verificado</w:t>
      </w:r>
      <w:r>
        <w:rPr>
          <w:spacing w:val="-7"/>
        </w:rPr>
        <w:t xml:space="preserve"> </w:t>
      </w:r>
      <w:r>
        <w:t>por</w:t>
      </w:r>
      <w:r>
        <w:rPr>
          <w:spacing w:val="-8"/>
        </w:rPr>
        <w:t xml:space="preserve"> </w:t>
      </w:r>
      <w:r>
        <w:t>la</w:t>
      </w:r>
      <w:r>
        <w:rPr>
          <w:spacing w:val="-8"/>
        </w:rPr>
        <w:t xml:space="preserve"> </w:t>
      </w:r>
      <w:r>
        <w:t>Superintendencia</w:t>
      </w:r>
      <w:r>
        <w:rPr>
          <w:spacing w:val="-7"/>
        </w:rPr>
        <w:t xml:space="preserve"> </w:t>
      </w:r>
      <w:r>
        <w:t>de</w:t>
      </w:r>
      <w:r>
        <w:rPr>
          <w:spacing w:val="-7"/>
        </w:rPr>
        <w:t xml:space="preserve"> </w:t>
      </w:r>
      <w:r>
        <w:t>Salud,</w:t>
      </w:r>
      <w:r>
        <w:rPr>
          <w:spacing w:val="-8"/>
        </w:rPr>
        <w:t xml:space="preserve"> </w:t>
      </w:r>
      <w:r>
        <w:t>se</w:t>
      </w:r>
      <w:r>
        <w:rPr>
          <w:spacing w:val="-8"/>
        </w:rPr>
        <w:t xml:space="preserve"> </w:t>
      </w:r>
      <w:r>
        <w:t>autorizó</w:t>
      </w:r>
      <w:r>
        <w:rPr>
          <w:spacing w:val="-7"/>
        </w:rPr>
        <w:t xml:space="preserve"> </w:t>
      </w:r>
      <w:r>
        <w:t>a</w:t>
      </w:r>
      <w:r>
        <w:rPr>
          <w:spacing w:val="-8"/>
        </w:rPr>
        <w:t xml:space="preserve"> </w:t>
      </w:r>
      <w:r>
        <w:t>la</w:t>
      </w:r>
      <w:r>
        <w:rPr>
          <w:spacing w:val="-8"/>
        </w:rPr>
        <w:t xml:space="preserve"> </w:t>
      </w:r>
      <w:r>
        <w:t>aseguradora</w:t>
      </w:r>
      <w:r>
        <w:rPr>
          <w:spacing w:val="-6"/>
        </w:rPr>
        <w:t xml:space="preserve"> </w:t>
      </w:r>
      <w:r>
        <w:t>a</w:t>
      </w:r>
      <w:r>
        <w:rPr>
          <w:spacing w:val="-7"/>
        </w:rPr>
        <w:t xml:space="preserve"> </w:t>
      </w:r>
      <w:r>
        <w:t>elevar</w:t>
      </w:r>
      <w:r>
        <w:rPr>
          <w:spacing w:val="-8"/>
        </w:rPr>
        <w:t xml:space="preserve"> </w:t>
      </w:r>
      <w:r>
        <w:t>el precio de los planes en el porcentaje verificado por el órgano fiscalizador, salvo en los</w:t>
      </w:r>
      <w:r>
        <w:rPr>
          <w:spacing w:val="-10"/>
        </w:rPr>
        <w:t xml:space="preserve"> </w:t>
      </w:r>
      <w:r>
        <w:t>ca</w:t>
      </w:r>
      <w:r>
        <w:t>sos</w:t>
      </w:r>
      <w:r>
        <w:rPr>
          <w:spacing w:val="-10"/>
        </w:rPr>
        <w:t xml:space="preserve"> </w:t>
      </w:r>
      <w:r>
        <w:t>que</w:t>
      </w:r>
      <w:r>
        <w:rPr>
          <w:spacing w:val="-10"/>
        </w:rPr>
        <w:t xml:space="preserve"> </w:t>
      </w:r>
      <w:r>
        <w:t>superasen</w:t>
      </w:r>
      <w:r>
        <w:rPr>
          <w:spacing w:val="-10"/>
        </w:rPr>
        <w:t xml:space="preserve"> </w:t>
      </w:r>
      <w:r>
        <w:t>el</w:t>
      </w:r>
      <w:r>
        <w:rPr>
          <w:spacing w:val="-10"/>
        </w:rPr>
        <w:t xml:space="preserve"> </w:t>
      </w:r>
      <w:r>
        <w:t>ICSA</w:t>
      </w:r>
      <w:r>
        <w:rPr>
          <w:spacing w:val="-10"/>
        </w:rPr>
        <w:t xml:space="preserve"> </w:t>
      </w:r>
      <w:r>
        <w:t>que</w:t>
      </w:r>
      <w:r>
        <w:rPr>
          <w:spacing w:val="-10"/>
        </w:rPr>
        <w:t xml:space="preserve"> </w:t>
      </w:r>
      <w:r>
        <w:t>correspondía</w:t>
      </w:r>
      <w:r>
        <w:rPr>
          <w:spacing w:val="-10"/>
        </w:rPr>
        <w:t xml:space="preserve"> </w:t>
      </w:r>
      <w:r>
        <w:t>a</w:t>
      </w:r>
      <w:r>
        <w:rPr>
          <w:spacing w:val="-10"/>
        </w:rPr>
        <w:t xml:space="preserve"> </w:t>
      </w:r>
      <w:r>
        <w:t>un</w:t>
      </w:r>
      <w:r>
        <w:rPr>
          <w:spacing w:val="-10"/>
        </w:rPr>
        <w:t xml:space="preserve"> </w:t>
      </w:r>
      <w:r>
        <w:t>7,6%;</w:t>
      </w:r>
      <w:r>
        <w:rPr>
          <w:spacing w:val="-10"/>
        </w:rPr>
        <w:t xml:space="preserve"> </w:t>
      </w:r>
      <w:r>
        <w:t>tal</w:t>
      </w:r>
      <w:r>
        <w:rPr>
          <w:spacing w:val="-10"/>
        </w:rPr>
        <w:t xml:space="preserve"> </w:t>
      </w:r>
      <w:r>
        <w:t>como</w:t>
      </w:r>
      <w:r>
        <w:rPr>
          <w:spacing w:val="-10"/>
        </w:rPr>
        <w:t xml:space="preserve"> </w:t>
      </w:r>
      <w:r>
        <w:t>se</w:t>
      </w:r>
      <w:r>
        <w:rPr>
          <w:spacing w:val="-10"/>
        </w:rPr>
        <w:t xml:space="preserve"> </w:t>
      </w:r>
      <w:r>
        <w:t>observa</w:t>
      </w:r>
      <w:r>
        <w:rPr>
          <w:spacing w:val="-10"/>
        </w:rPr>
        <w:t xml:space="preserve"> </w:t>
      </w:r>
      <w:r>
        <w:t>en la última columna de la tabla anterior.</w:t>
      </w:r>
    </w:p>
    <w:p w:rsidR="007D3D54" w:rsidRDefault="004522C9">
      <w:pPr>
        <w:pStyle w:val="Prrafodelista"/>
        <w:numPr>
          <w:ilvl w:val="0"/>
          <w:numId w:val="2"/>
        </w:numPr>
        <w:tabs>
          <w:tab w:val="left" w:pos="505"/>
        </w:tabs>
        <w:ind w:left="504" w:hanging="360"/>
        <w:jc w:val="both"/>
        <w:rPr>
          <w:sz w:val="24"/>
        </w:rPr>
      </w:pPr>
      <w:r>
        <w:rPr>
          <w:sz w:val="24"/>
        </w:rPr>
        <w:t xml:space="preserve">Este procedimiento de verificación podría ser la clave para cerrar finalmente la judicialización en torno al alza de precios de los planes </w:t>
      </w:r>
      <w:r>
        <w:rPr>
          <w:sz w:val="24"/>
        </w:rPr>
        <w:t xml:space="preserve">de salud, por lo cual es valioso su análisis y eventual incorporación a nuestro ordenamiento jurídico. Sin embargo, otros focos de controversia como los contenidos en el fallo de la Corte Suprema del 1 de diciembre del año 2022 o el que se espera en torno </w:t>
      </w:r>
      <w:r>
        <w:rPr>
          <w:sz w:val="24"/>
        </w:rPr>
        <w:t xml:space="preserve">al alza de la prima GES deberían ser analizados por separado al procedimiento antes </w:t>
      </w:r>
      <w:r>
        <w:rPr>
          <w:spacing w:val="-2"/>
          <w:sz w:val="24"/>
        </w:rPr>
        <w:t>pormenorizado.</w:t>
      </w:r>
    </w:p>
    <w:p w:rsidR="007D3D54" w:rsidRDefault="004522C9">
      <w:pPr>
        <w:pStyle w:val="Prrafodelista"/>
        <w:numPr>
          <w:ilvl w:val="0"/>
          <w:numId w:val="2"/>
        </w:numPr>
        <w:tabs>
          <w:tab w:val="left" w:pos="505"/>
        </w:tabs>
        <w:ind w:left="504" w:hanging="360"/>
        <w:jc w:val="both"/>
        <w:rPr>
          <w:sz w:val="24"/>
        </w:rPr>
      </w:pPr>
      <w:r>
        <w:rPr>
          <w:sz w:val="24"/>
        </w:rPr>
        <w:t>Este proyecto de ley es presentado en medio del proceso de adecuación de precios de los planes base del año 2023, que fue iniciado mediante la publicación po</w:t>
      </w:r>
      <w:r>
        <w:rPr>
          <w:sz w:val="24"/>
        </w:rPr>
        <w:t>r la Superintendencia de Salud del ICSA y que corresponde a un 2,6%. En los próximos días, las Isapres deberán comunicar al ente regulador su decisión de elevar los precios de los planes base y existe incertidumbre si posterior a ello se aplicará el proced</w:t>
      </w:r>
      <w:r>
        <w:rPr>
          <w:sz w:val="24"/>
        </w:rPr>
        <w:t>imiento</w:t>
      </w:r>
      <w:r>
        <w:rPr>
          <w:spacing w:val="38"/>
          <w:sz w:val="24"/>
        </w:rPr>
        <w:t xml:space="preserve"> </w:t>
      </w:r>
      <w:r>
        <w:rPr>
          <w:sz w:val="24"/>
        </w:rPr>
        <w:t>de</w:t>
      </w:r>
      <w:r>
        <w:rPr>
          <w:spacing w:val="38"/>
          <w:sz w:val="24"/>
        </w:rPr>
        <w:t xml:space="preserve"> </w:t>
      </w:r>
      <w:r>
        <w:rPr>
          <w:sz w:val="24"/>
        </w:rPr>
        <w:t>verificación,</w:t>
      </w:r>
      <w:r>
        <w:rPr>
          <w:spacing w:val="38"/>
          <w:sz w:val="24"/>
        </w:rPr>
        <w:t xml:space="preserve"> </w:t>
      </w:r>
      <w:r>
        <w:rPr>
          <w:sz w:val="24"/>
        </w:rPr>
        <w:t>sea</w:t>
      </w:r>
      <w:r>
        <w:rPr>
          <w:spacing w:val="38"/>
          <w:sz w:val="24"/>
        </w:rPr>
        <w:t xml:space="preserve"> </w:t>
      </w:r>
      <w:r>
        <w:rPr>
          <w:sz w:val="24"/>
        </w:rPr>
        <w:t>porque</w:t>
      </w:r>
      <w:r>
        <w:rPr>
          <w:spacing w:val="38"/>
          <w:sz w:val="24"/>
        </w:rPr>
        <w:t xml:space="preserve"> </w:t>
      </w:r>
      <w:r>
        <w:rPr>
          <w:sz w:val="24"/>
        </w:rPr>
        <w:t>lo</w:t>
      </w:r>
      <w:r>
        <w:rPr>
          <w:spacing w:val="38"/>
          <w:sz w:val="24"/>
        </w:rPr>
        <w:t xml:space="preserve"> </w:t>
      </w:r>
      <w:r>
        <w:rPr>
          <w:sz w:val="24"/>
        </w:rPr>
        <w:t>ordene</w:t>
      </w:r>
      <w:r>
        <w:rPr>
          <w:spacing w:val="38"/>
          <w:sz w:val="24"/>
        </w:rPr>
        <w:t xml:space="preserve"> </w:t>
      </w:r>
      <w:r>
        <w:rPr>
          <w:sz w:val="24"/>
        </w:rPr>
        <w:t>un</w:t>
      </w:r>
      <w:r>
        <w:rPr>
          <w:spacing w:val="38"/>
          <w:sz w:val="24"/>
        </w:rPr>
        <w:t xml:space="preserve"> </w:t>
      </w:r>
      <w:r>
        <w:rPr>
          <w:sz w:val="24"/>
        </w:rPr>
        <w:t>nuevo</w:t>
      </w:r>
      <w:r>
        <w:rPr>
          <w:spacing w:val="38"/>
          <w:sz w:val="24"/>
        </w:rPr>
        <w:t xml:space="preserve"> </w:t>
      </w:r>
      <w:r>
        <w:rPr>
          <w:sz w:val="24"/>
        </w:rPr>
        <w:t>fallo</w:t>
      </w:r>
      <w:r>
        <w:rPr>
          <w:spacing w:val="38"/>
          <w:sz w:val="24"/>
        </w:rPr>
        <w:t xml:space="preserve"> </w:t>
      </w:r>
      <w:r>
        <w:rPr>
          <w:sz w:val="24"/>
        </w:rPr>
        <w:t>de</w:t>
      </w:r>
      <w:r>
        <w:rPr>
          <w:spacing w:val="38"/>
          <w:sz w:val="24"/>
        </w:rPr>
        <w:t xml:space="preserve"> </w:t>
      </w:r>
      <w:r>
        <w:rPr>
          <w:sz w:val="24"/>
        </w:rPr>
        <w:t>la</w:t>
      </w:r>
      <w:r>
        <w:rPr>
          <w:spacing w:val="38"/>
          <w:sz w:val="24"/>
        </w:rPr>
        <w:t xml:space="preserve"> </w:t>
      </w:r>
      <w:r>
        <w:rPr>
          <w:sz w:val="24"/>
        </w:rPr>
        <w:t>Corte</w:t>
      </w:r>
    </w:p>
    <w:p w:rsidR="007D3D54" w:rsidRDefault="007D3D54">
      <w:pPr>
        <w:jc w:val="both"/>
        <w:rPr>
          <w:sz w:val="24"/>
        </w:rPr>
        <w:sectPr w:rsidR="007D3D54">
          <w:pgSz w:w="12240" w:h="15840"/>
          <w:pgMar w:top="1340" w:right="1560" w:bottom="280" w:left="1560" w:header="720" w:footer="720" w:gutter="0"/>
          <w:cols w:space="720"/>
        </w:sectPr>
      </w:pPr>
    </w:p>
    <w:p w:rsidR="007D3D54" w:rsidRDefault="004522C9">
      <w:pPr>
        <w:pStyle w:val="Textoindependiente"/>
        <w:spacing w:before="83"/>
        <w:ind w:left="504" w:right="134"/>
      </w:pPr>
      <w:r>
        <w:lastRenderedPageBreak/>
        <w:t>Suprema</w:t>
      </w:r>
      <w:r>
        <w:rPr>
          <w:spacing w:val="-14"/>
        </w:rPr>
        <w:t xml:space="preserve"> </w:t>
      </w:r>
      <w:r>
        <w:t>o</w:t>
      </w:r>
      <w:r>
        <w:rPr>
          <w:spacing w:val="-13"/>
        </w:rPr>
        <w:t xml:space="preserve"> </w:t>
      </w:r>
      <w:r>
        <w:t>la</w:t>
      </w:r>
      <w:r>
        <w:rPr>
          <w:spacing w:val="-13"/>
        </w:rPr>
        <w:t xml:space="preserve"> </w:t>
      </w:r>
      <w:r>
        <w:t>Superintendencia</w:t>
      </w:r>
      <w:r>
        <w:rPr>
          <w:spacing w:val="-13"/>
        </w:rPr>
        <w:t xml:space="preserve"> </w:t>
      </w:r>
      <w:r>
        <w:t>de</w:t>
      </w:r>
      <w:r>
        <w:rPr>
          <w:spacing w:val="-14"/>
        </w:rPr>
        <w:t xml:space="preserve"> </w:t>
      </w:r>
      <w:r>
        <w:t>Salud</w:t>
      </w:r>
      <w:r>
        <w:rPr>
          <w:spacing w:val="-13"/>
        </w:rPr>
        <w:t xml:space="preserve"> </w:t>
      </w:r>
      <w:r>
        <w:t>lo</w:t>
      </w:r>
      <w:r>
        <w:rPr>
          <w:spacing w:val="-13"/>
        </w:rPr>
        <w:t xml:space="preserve"> </w:t>
      </w:r>
      <w:r>
        <w:t>instruya</w:t>
      </w:r>
      <w:r>
        <w:rPr>
          <w:spacing w:val="-13"/>
        </w:rPr>
        <w:t xml:space="preserve"> </w:t>
      </w:r>
      <w:r>
        <w:t>replicando</w:t>
      </w:r>
      <w:r>
        <w:rPr>
          <w:spacing w:val="-13"/>
        </w:rPr>
        <w:t xml:space="preserve"> </w:t>
      </w:r>
      <w:r>
        <w:t>lo</w:t>
      </w:r>
      <w:r>
        <w:rPr>
          <w:spacing w:val="-14"/>
        </w:rPr>
        <w:t xml:space="preserve"> </w:t>
      </w:r>
      <w:r>
        <w:t>realizado</w:t>
      </w:r>
      <w:r>
        <w:rPr>
          <w:spacing w:val="-13"/>
        </w:rPr>
        <w:t xml:space="preserve"> </w:t>
      </w:r>
      <w:r>
        <w:t>en</w:t>
      </w:r>
      <w:r>
        <w:rPr>
          <w:spacing w:val="-13"/>
        </w:rPr>
        <w:t xml:space="preserve"> </w:t>
      </w:r>
      <w:r>
        <w:t>2022. Y,</w:t>
      </w:r>
      <w:r>
        <w:rPr>
          <w:spacing w:val="-6"/>
        </w:rPr>
        <w:t xml:space="preserve"> </w:t>
      </w:r>
      <w:r>
        <w:t>es</w:t>
      </w:r>
      <w:r>
        <w:rPr>
          <w:spacing w:val="-6"/>
        </w:rPr>
        <w:t xml:space="preserve"> </w:t>
      </w:r>
      <w:r>
        <w:t>por</w:t>
      </w:r>
      <w:r>
        <w:rPr>
          <w:spacing w:val="-6"/>
        </w:rPr>
        <w:t xml:space="preserve"> </w:t>
      </w:r>
      <w:r>
        <w:t>todo</w:t>
      </w:r>
      <w:r>
        <w:rPr>
          <w:spacing w:val="-6"/>
        </w:rPr>
        <w:t xml:space="preserve"> </w:t>
      </w:r>
      <w:r>
        <w:t>lo</w:t>
      </w:r>
      <w:r>
        <w:rPr>
          <w:spacing w:val="-7"/>
        </w:rPr>
        <w:t xml:space="preserve"> </w:t>
      </w:r>
      <w:r>
        <w:t>anterior,</w:t>
      </w:r>
      <w:r>
        <w:rPr>
          <w:spacing w:val="-4"/>
        </w:rPr>
        <w:t xml:space="preserve"> </w:t>
      </w:r>
      <w:r>
        <w:t>que</w:t>
      </w:r>
      <w:r>
        <w:rPr>
          <w:spacing w:val="-6"/>
        </w:rPr>
        <w:t xml:space="preserve"> </w:t>
      </w:r>
      <w:r>
        <w:t>se</w:t>
      </w:r>
      <w:r>
        <w:rPr>
          <w:spacing w:val="-6"/>
        </w:rPr>
        <w:t xml:space="preserve"> </w:t>
      </w:r>
      <w:r>
        <w:t>hace</w:t>
      </w:r>
      <w:r>
        <w:rPr>
          <w:spacing w:val="-6"/>
        </w:rPr>
        <w:t xml:space="preserve"> </w:t>
      </w:r>
      <w:r>
        <w:t>necesario</w:t>
      </w:r>
      <w:r>
        <w:rPr>
          <w:spacing w:val="-6"/>
        </w:rPr>
        <w:t xml:space="preserve"> </w:t>
      </w:r>
      <w:r>
        <w:t>una</w:t>
      </w:r>
      <w:r>
        <w:rPr>
          <w:spacing w:val="-6"/>
        </w:rPr>
        <w:t xml:space="preserve"> </w:t>
      </w:r>
      <w:r>
        <w:t>iniciativa</w:t>
      </w:r>
      <w:r>
        <w:rPr>
          <w:spacing w:val="-6"/>
        </w:rPr>
        <w:t xml:space="preserve"> </w:t>
      </w:r>
      <w:r>
        <w:t>legislativa</w:t>
      </w:r>
      <w:r>
        <w:rPr>
          <w:spacing w:val="-6"/>
        </w:rPr>
        <w:t xml:space="preserve"> </w:t>
      </w:r>
      <w:r>
        <w:t>que</w:t>
      </w:r>
      <w:r>
        <w:rPr>
          <w:spacing w:val="-6"/>
        </w:rPr>
        <w:t xml:space="preserve"> </w:t>
      </w:r>
      <w:r>
        <w:t>regule claramente este mecanismo sin que se requiera un nuevo pronunciamiento del máximo órgano jurisdiccional de nuestro país.</w:t>
      </w:r>
    </w:p>
    <w:p w:rsidR="007D3D54" w:rsidRDefault="004522C9">
      <w:pPr>
        <w:pStyle w:val="Prrafodelista"/>
        <w:numPr>
          <w:ilvl w:val="0"/>
          <w:numId w:val="2"/>
        </w:numPr>
        <w:tabs>
          <w:tab w:val="left" w:pos="505"/>
        </w:tabs>
        <w:ind w:left="504" w:right="134" w:hanging="360"/>
        <w:jc w:val="both"/>
        <w:rPr>
          <w:sz w:val="24"/>
        </w:rPr>
      </w:pPr>
      <w:r>
        <w:rPr>
          <w:sz w:val="24"/>
        </w:rPr>
        <w:t>El presente proyecto de ley busca incorporar a nuestro ordenamiento jurídico el proceso de verificación instruido por la Excelentísima Corte Suprema e implementado por la Superintendencia de Salud con el objetivo de aumentar la certeza jurídica del sistema</w:t>
      </w:r>
      <w:r>
        <w:rPr>
          <w:sz w:val="24"/>
        </w:rPr>
        <w:t xml:space="preserve"> de las Isapres. Su tramitación, discusión, aprobación y eventual promulgación, podría empezar a dibujar la forma de enfrentar la crisis financiera y político-sanitaria de las aseguradoras privadas, desde una perspectiva de política pública, y evitando las</w:t>
      </w:r>
      <w:r>
        <w:rPr>
          <w:sz w:val="24"/>
        </w:rPr>
        <w:t xml:space="preserve"> consecuencias que pudiera traer la insolvencia o eventual quiebra de una o más de las Isapres.</w:t>
      </w:r>
    </w:p>
    <w:p w:rsidR="007D3D54" w:rsidRDefault="004522C9">
      <w:pPr>
        <w:pStyle w:val="Prrafodelista"/>
        <w:numPr>
          <w:ilvl w:val="0"/>
          <w:numId w:val="2"/>
        </w:numPr>
        <w:tabs>
          <w:tab w:val="left" w:pos="505"/>
        </w:tabs>
        <w:ind w:left="504" w:right="133" w:hanging="360"/>
        <w:jc w:val="both"/>
        <w:rPr>
          <w:sz w:val="24"/>
        </w:rPr>
      </w:pPr>
      <w:r>
        <w:rPr>
          <w:sz w:val="24"/>
        </w:rPr>
        <w:t>Finalmente, para evitar la inadmisibilidad del presente proyecto de ley se ha prescindido de incorporar en su contenido un inciso final del siguiente tenor: “Cu</w:t>
      </w:r>
      <w:r>
        <w:rPr>
          <w:sz w:val="24"/>
        </w:rPr>
        <w:t>mplidos 5 días hábiles después de vencido el plazo para informar por las Instituciones de Salud Previsional indicado en el inciso primero de este artículo, la Superintendencia de Salud deberá informar del proceso de verificación de los porcentajes de ajust</w:t>
      </w:r>
      <w:r>
        <w:rPr>
          <w:sz w:val="24"/>
        </w:rPr>
        <w:t>e en base a los antecedentes aportados.</w:t>
      </w:r>
      <w:r>
        <w:rPr>
          <w:spacing w:val="-1"/>
          <w:sz w:val="24"/>
        </w:rPr>
        <w:t xml:space="preserve"> </w:t>
      </w:r>
      <w:r>
        <w:rPr>
          <w:sz w:val="24"/>
        </w:rPr>
        <w:t>Por esta comunicación se autorizará la aplicación del porcentaje de ajuste verificado por la Superintendencia de Salud a todos los planes base de la Institución de Salud Previsional respectiva, que en ningún caso pod</w:t>
      </w:r>
      <w:r>
        <w:rPr>
          <w:sz w:val="24"/>
        </w:rPr>
        <w:t>rá ser superior al indicador del artículo anterior”.</w:t>
      </w:r>
    </w:p>
    <w:p w:rsidR="007D3D54" w:rsidRDefault="007D3D54">
      <w:pPr>
        <w:pStyle w:val="Textoindependiente"/>
        <w:jc w:val="left"/>
        <w:rPr>
          <w:sz w:val="28"/>
        </w:rPr>
      </w:pPr>
    </w:p>
    <w:p w:rsidR="007D3D54" w:rsidRDefault="007D3D54">
      <w:pPr>
        <w:pStyle w:val="Textoindependiente"/>
        <w:spacing w:before="4"/>
        <w:jc w:val="left"/>
        <w:rPr>
          <w:sz w:val="23"/>
        </w:rPr>
      </w:pPr>
    </w:p>
    <w:p w:rsidR="007D3D54" w:rsidRDefault="004522C9">
      <w:pPr>
        <w:pStyle w:val="Ttulo1"/>
        <w:ind w:right="134"/>
        <w:jc w:val="both"/>
      </w:pPr>
      <w:r>
        <w:t>POR</w:t>
      </w:r>
      <w:r>
        <w:rPr>
          <w:spacing w:val="-3"/>
        </w:rPr>
        <w:t xml:space="preserve"> </w:t>
      </w:r>
      <w:r>
        <w:t>LOS</w:t>
      </w:r>
      <w:r>
        <w:rPr>
          <w:spacing w:val="-3"/>
        </w:rPr>
        <w:t xml:space="preserve"> </w:t>
      </w:r>
      <w:r>
        <w:t>MOTIVOS</w:t>
      </w:r>
      <w:r>
        <w:rPr>
          <w:spacing w:val="-3"/>
        </w:rPr>
        <w:t xml:space="preserve"> </w:t>
      </w:r>
      <w:r>
        <w:t>EXPUESTOS</w:t>
      </w:r>
      <w:r>
        <w:rPr>
          <w:spacing w:val="-4"/>
        </w:rPr>
        <w:t xml:space="preserve"> </w:t>
      </w:r>
      <w:r>
        <w:t>VENGO</w:t>
      </w:r>
      <w:r>
        <w:rPr>
          <w:spacing w:val="-3"/>
        </w:rPr>
        <w:t xml:space="preserve"> </w:t>
      </w:r>
      <w:r>
        <w:t>EN</w:t>
      </w:r>
      <w:r>
        <w:rPr>
          <w:spacing w:val="-3"/>
        </w:rPr>
        <w:t xml:space="preserve"> </w:t>
      </w:r>
      <w:r>
        <w:t>PRESENTAR</w:t>
      </w:r>
      <w:r>
        <w:rPr>
          <w:spacing w:val="-3"/>
        </w:rPr>
        <w:t xml:space="preserve"> </w:t>
      </w:r>
      <w:r>
        <w:t>EL</w:t>
      </w:r>
      <w:r>
        <w:rPr>
          <w:spacing w:val="-3"/>
        </w:rPr>
        <w:t xml:space="preserve"> </w:t>
      </w:r>
      <w:r>
        <w:t>SIGUIENTE</w:t>
      </w:r>
      <w:r>
        <w:rPr>
          <w:spacing w:val="-3"/>
        </w:rPr>
        <w:t xml:space="preserve"> </w:t>
      </w:r>
      <w:r>
        <w:t>PROYECTO DE LEY:</w:t>
      </w:r>
    </w:p>
    <w:p w:rsidR="007D3D54" w:rsidRDefault="007D3D54">
      <w:pPr>
        <w:pStyle w:val="Textoindependiente"/>
        <w:jc w:val="left"/>
        <w:rPr>
          <w:b/>
          <w:sz w:val="28"/>
        </w:rPr>
      </w:pPr>
    </w:p>
    <w:p w:rsidR="007D3D54" w:rsidRDefault="007D3D54">
      <w:pPr>
        <w:pStyle w:val="Textoindependiente"/>
        <w:spacing w:before="1"/>
        <w:jc w:val="left"/>
        <w:rPr>
          <w:b/>
          <w:sz w:val="23"/>
        </w:rPr>
      </w:pPr>
    </w:p>
    <w:p w:rsidR="007D3D54" w:rsidRDefault="004522C9">
      <w:pPr>
        <w:pStyle w:val="Textoindependiente"/>
        <w:ind w:left="144" w:right="132"/>
      </w:pPr>
      <w:r>
        <w:rPr>
          <w:b/>
        </w:rPr>
        <w:t xml:space="preserve">ARTÍCULO ÚNICO.- </w:t>
      </w:r>
      <w:r>
        <w:t>Incorpórese un nuevo artículo 198 bis, pasando el actual artículo 198</w:t>
      </w:r>
      <w:r>
        <w:rPr>
          <w:spacing w:val="-3"/>
        </w:rPr>
        <w:t xml:space="preserve"> </w:t>
      </w:r>
      <w:r>
        <w:t>bis</w:t>
      </w:r>
      <w:r>
        <w:rPr>
          <w:spacing w:val="-3"/>
        </w:rPr>
        <w:t xml:space="preserve"> </w:t>
      </w:r>
      <w:r>
        <w:t>a</w:t>
      </w:r>
      <w:r>
        <w:rPr>
          <w:spacing w:val="-3"/>
        </w:rPr>
        <w:t xml:space="preserve"> </w:t>
      </w:r>
      <w:r>
        <w:t>ser</w:t>
      </w:r>
      <w:r>
        <w:rPr>
          <w:spacing w:val="-3"/>
        </w:rPr>
        <w:t xml:space="preserve"> </w:t>
      </w:r>
      <w:r>
        <w:t>198</w:t>
      </w:r>
      <w:r>
        <w:rPr>
          <w:spacing w:val="-3"/>
        </w:rPr>
        <w:t xml:space="preserve"> </w:t>
      </w:r>
      <w:r>
        <w:t>ter,</w:t>
      </w:r>
      <w:r>
        <w:rPr>
          <w:spacing w:val="-4"/>
        </w:rPr>
        <w:t xml:space="preserve"> </w:t>
      </w:r>
      <w:r>
        <w:t>en</w:t>
      </w:r>
      <w:r>
        <w:rPr>
          <w:spacing w:val="-3"/>
        </w:rPr>
        <w:t xml:space="preserve"> </w:t>
      </w:r>
      <w:r>
        <w:t>el</w:t>
      </w:r>
      <w:r>
        <w:rPr>
          <w:spacing w:val="-3"/>
        </w:rPr>
        <w:t xml:space="preserve"> </w:t>
      </w:r>
      <w:r>
        <w:t>Decreto</w:t>
      </w:r>
      <w:r>
        <w:rPr>
          <w:spacing w:val="-3"/>
        </w:rPr>
        <w:t xml:space="preserve"> </w:t>
      </w:r>
      <w:r>
        <w:t>con</w:t>
      </w:r>
      <w:r>
        <w:rPr>
          <w:spacing w:val="-3"/>
        </w:rPr>
        <w:t xml:space="preserve"> </w:t>
      </w:r>
      <w:r>
        <w:t>Fuerza</w:t>
      </w:r>
      <w:r>
        <w:rPr>
          <w:spacing w:val="-3"/>
        </w:rPr>
        <w:t xml:space="preserve"> </w:t>
      </w:r>
      <w:r>
        <w:t>de</w:t>
      </w:r>
      <w:r>
        <w:rPr>
          <w:spacing w:val="-3"/>
        </w:rPr>
        <w:t xml:space="preserve"> </w:t>
      </w:r>
      <w:r>
        <w:t>Ley</w:t>
      </w:r>
      <w:r>
        <w:rPr>
          <w:spacing w:val="-3"/>
        </w:rPr>
        <w:t xml:space="preserve"> </w:t>
      </w:r>
      <w:r>
        <w:t>N°</w:t>
      </w:r>
      <w:r>
        <w:rPr>
          <w:spacing w:val="-3"/>
        </w:rPr>
        <w:t xml:space="preserve"> </w:t>
      </w:r>
      <w:r>
        <w:t>1</w:t>
      </w:r>
      <w:r>
        <w:rPr>
          <w:spacing w:val="-3"/>
        </w:rPr>
        <w:t xml:space="preserve"> </w:t>
      </w:r>
      <w:r>
        <w:t>del</w:t>
      </w:r>
      <w:r>
        <w:rPr>
          <w:spacing w:val="-3"/>
        </w:rPr>
        <w:t xml:space="preserve"> </w:t>
      </w:r>
      <w:r>
        <w:t>año</w:t>
      </w:r>
      <w:r>
        <w:rPr>
          <w:spacing w:val="-3"/>
        </w:rPr>
        <w:t xml:space="preserve"> </w:t>
      </w:r>
      <w:r>
        <w:t>2006,</w:t>
      </w:r>
      <w:r>
        <w:rPr>
          <w:spacing w:val="-3"/>
        </w:rPr>
        <w:t xml:space="preserve"> </w:t>
      </w:r>
      <w:r>
        <w:t>del</w:t>
      </w:r>
      <w:r>
        <w:rPr>
          <w:spacing w:val="-3"/>
        </w:rPr>
        <w:t xml:space="preserve"> </w:t>
      </w:r>
      <w:r>
        <w:t>Ministerio de Salud, del siguiente tenor:</w:t>
      </w:r>
    </w:p>
    <w:p w:rsidR="007D3D54" w:rsidRDefault="004522C9">
      <w:pPr>
        <w:pStyle w:val="Textoindependiente"/>
        <w:spacing w:before="159"/>
        <w:ind w:left="428" w:right="134"/>
      </w:pPr>
      <w:r>
        <w:t>“Artículo 198 bis.- Las Instituciones de Salud Previsional deberán inf</w:t>
      </w:r>
      <w:r>
        <w:t>ormar a la Superintendencia de Salud su decisión de aumentar el precio de sus planes base dentro de los 15 días hábiles siguientes a la publicación del indicador del artículo anterior. En dicha comunicación, en el caso que haya informado que aumentará el p</w:t>
      </w:r>
      <w:r>
        <w:t>recio a todos sus planes base de salud, deberá señalar y justificar el porcentaje de ajuste que aplicará.</w:t>
      </w:r>
    </w:p>
    <w:p w:rsidR="007D3D54" w:rsidRDefault="004522C9">
      <w:pPr>
        <w:pStyle w:val="Textoindependiente"/>
        <w:spacing w:before="165"/>
        <w:ind w:left="428"/>
      </w:pPr>
      <w:r>
        <w:t>La</w:t>
      </w:r>
      <w:r>
        <w:rPr>
          <w:spacing w:val="-4"/>
        </w:rPr>
        <w:t xml:space="preserve"> </w:t>
      </w:r>
      <w:r>
        <w:t>justificación</w:t>
      </w:r>
      <w:r>
        <w:rPr>
          <w:spacing w:val="-1"/>
        </w:rPr>
        <w:t xml:space="preserve"> </w:t>
      </w:r>
      <w:r>
        <w:t>por</w:t>
      </w:r>
      <w:r>
        <w:rPr>
          <w:spacing w:val="-2"/>
        </w:rPr>
        <w:t xml:space="preserve"> </w:t>
      </w:r>
      <w:r>
        <w:t>parte</w:t>
      </w:r>
      <w:r>
        <w:rPr>
          <w:spacing w:val="-1"/>
        </w:rPr>
        <w:t xml:space="preserve"> </w:t>
      </w:r>
      <w:r>
        <w:t>de</w:t>
      </w:r>
      <w:r>
        <w:rPr>
          <w:spacing w:val="-1"/>
        </w:rPr>
        <w:t xml:space="preserve"> </w:t>
      </w:r>
      <w:r>
        <w:t>la</w:t>
      </w:r>
      <w:r>
        <w:rPr>
          <w:spacing w:val="-2"/>
        </w:rPr>
        <w:t xml:space="preserve"> </w:t>
      </w:r>
      <w:r>
        <w:t>Isapre</w:t>
      </w:r>
      <w:r>
        <w:rPr>
          <w:spacing w:val="-1"/>
        </w:rPr>
        <w:t xml:space="preserve"> </w:t>
      </w:r>
      <w:r>
        <w:t>deberá</w:t>
      </w:r>
      <w:r>
        <w:rPr>
          <w:spacing w:val="-4"/>
        </w:rPr>
        <w:t xml:space="preserve"> </w:t>
      </w:r>
      <w:r>
        <w:t>incluir</w:t>
      </w:r>
      <w:r>
        <w:rPr>
          <w:spacing w:val="-3"/>
        </w:rPr>
        <w:t xml:space="preserve"> </w:t>
      </w:r>
      <w:r>
        <w:t>los</w:t>
      </w:r>
      <w:r>
        <w:rPr>
          <w:spacing w:val="-2"/>
        </w:rPr>
        <w:t xml:space="preserve"> </w:t>
      </w:r>
      <w:r>
        <w:t>siguientes</w:t>
      </w:r>
      <w:r>
        <w:rPr>
          <w:spacing w:val="-2"/>
        </w:rPr>
        <w:t xml:space="preserve"> antecedentes:</w:t>
      </w:r>
    </w:p>
    <w:p w:rsidR="007D3D54" w:rsidRDefault="004522C9">
      <w:pPr>
        <w:pStyle w:val="Prrafodelista"/>
        <w:numPr>
          <w:ilvl w:val="0"/>
          <w:numId w:val="1"/>
        </w:numPr>
        <w:tabs>
          <w:tab w:val="left" w:pos="854"/>
        </w:tabs>
        <w:spacing w:before="155"/>
        <w:jc w:val="both"/>
        <w:rPr>
          <w:sz w:val="24"/>
        </w:rPr>
      </w:pPr>
      <w:r>
        <w:rPr>
          <w:sz w:val="24"/>
        </w:rPr>
        <w:t>La variación anual del gasto por persona beneficiaria en Unidades de Fomento considerando las prestaciones bonificadas con código de modalidad libre elección del Fonasa, con código propio de la Isapre o con código definido por la Superintendencia de Salud.</w:t>
      </w:r>
    </w:p>
    <w:p w:rsidR="007D3D54" w:rsidRDefault="007D3D54">
      <w:pPr>
        <w:jc w:val="both"/>
        <w:rPr>
          <w:sz w:val="24"/>
        </w:rPr>
        <w:sectPr w:rsidR="007D3D54">
          <w:pgSz w:w="12240" w:h="15840"/>
          <w:pgMar w:top="1340" w:right="1560" w:bottom="280" w:left="1560" w:header="720" w:footer="720" w:gutter="0"/>
          <w:cols w:space="720"/>
        </w:sectPr>
      </w:pPr>
    </w:p>
    <w:p w:rsidR="007D3D54" w:rsidRDefault="004522C9">
      <w:pPr>
        <w:pStyle w:val="Prrafodelista"/>
        <w:numPr>
          <w:ilvl w:val="0"/>
          <w:numId w:val="1"/>
        </w:numPr>
        <w:tabs>
          <w:tab w:val="left" w:pos="854"/>
        </w:tabs>
        <w:spacing w:before="83"/>
        <w:jc w:val="both"/>
        <w:rPr>
          <w:sz w:val="24"/>
        </w:rPr>
      </w:pPr>
      <w:r>
        <w:rPr>
          <w:sz w:val="24"/>
        </w:rPr>
        <w:t>La cantidad anual de prestaciones bonificadas y la variación promedio de prestaciones bonificadas con código de modalidad libre elección del Fonasa, código propio de la Isapre y código definido por la Superintendencia de Salud.</w:t>
      </w:r>
    </w:p>
    <w:p w:rsidR="007D3D54" w:rsidRDefault="004522C9">
      <w:pPr>
        <w:pStyle w:val="Prrafodelista"/>
        <w:numPr>
          <w:ilvl w:val="0"/>
          <w:numId w:val="1"/>
        </w:numPr>
        <w:tabs>
          <w:tab w:val="left" w:pos="854"/>
        </w:tabs>
        <w:spacing w:before="1"/>
        <w:jc w:val="both"/>
        <w:rPr>
          <w:sz w:val="24"/>
        </w:rPr>
      </w:pPr>
      <w:r>
        <w:rPr>
          <w:sz w:val="24"/>
        </w:rPr>
        <w:t xml:space="preserve">La variación del gasto en subsidios de incapacidad laboral por persona beneficiaria en Unidades de Fomento de cargo de la Isapre, incluyendo las licencias médicas que hayan sido reconsideradas por la propia Isapre o por la </w:t>
      </w:r>
      <w:r>
        <w:rPr>
          <w:spacing w:val="-2"/>
          <w:sz w:val="24"/>
        </w:rPr>
        <w:t>Compin.</w:t>
      </w:r>
    </w:p>
    <w:p w:rsidR="007D3D54" w:rsidRDefault="004522C9">
      <w:pPr>
        <w:pStyle w:val="Prrafodelista"/>
        <w:numPr>
          <w:ilvl w:val="0"/>
          <w:numId w:val="1"/>
        </w:numPr>
        <w:tabs>
          <w:tab w:val="left" w:pos="854"/>
        </w:tabs>
        <w:ind w:right="133"/>
        <w:jc w:val="both"/>
        <w:rPr>
          <w:sz w:val="24"/>
        </w:rPr>
      </w:pPr>
      <w:r>
        <w:rPr>
          <w:sz w:val="24"/>
        </w:rPr>
        <w:t>El costo en Unidades de F</w:t>
      </w:r>
      <w:r>
        <w:rPr>
          <w:sz w:val="24"/>
        </w:rPr>
        <w:t>omento de las nuevas prestaciones aranceladas en la modalidad libre elección del Fonasa del año anterior, indicando el listado de nuevas prestaciones con la glosa en el respectivo arancel, el costo de la prestación por persona beneficiaria en Unidades de F</w:t>
      </w:r>
      <w:r>
        <w:rPr>
          <w:sz w:val="24"/>
        </w:rPr>
        <w:t>omento, el costo anual de la prestación en Unidades de Fomento, el valor unitario de la prestación bonificado en Unidades de Fomento y la frecuencia de uso de la prestación.</w:t>
      </w:r>
    </w:p>
    <w:p w:rsidR="007D3D54" w:rsidRDefault="004522C9">
      <w:pPr>
        <w:pStyle w:val="Prrafodelista"/>
        <w:numPr>
          <w:ilvl w:val="0"/>
          <w:numId w:val="1"/>
        </w:numPr>
        <w:tabs>
          <w:tab w:val="left" w:pos="865"/>
        </w:tabs>
        <w:spacing w:before="1" w:line="237" w:lineRule="auto"/>
        <w:ind w:left="864" w:right="137" w:hanging="360"/>
        <w:jc w:val="both"/>
        <w:rPr>
          <w:sz w:val="24"/>
        </w:rPr>
      </w:pPr>
      <w:r>
        <w:rPr>
          <w:sz w:val="24"/>
        </w:rPr>
        <w:t>La variación de costo en prestaciones de la Isapre corregida por la variación de c</w:t>
      </w:r>
      <w:r>
        <w:rPr>
          <w:sz w:val="24"/>
        </w:rPr>
        <w:t>osto en prestaciones de modalidad libre elección del Fonasa.</w:t>
      </w:r>
    </w:p>
    <w:p w:rsidR="007D3D54" w:rsidRDefault="004522C9">
      <w:pPr>
        <w:pStyle w:val="Prrafodelista"/>
        <w:numPr>
          <w:ilvl w:val="0"/>
          <w:numId w:val="1"/>
        </w:numPr>
        <w:tabs>
          <w:tab w:val="left" w:pos="865"/>
        </w:tabs>
        <w:spacing w:before="2"/>
        <w:ind w:left="864" w:hanging="360"/>
        <w:jc w:val="both"/>
        <w:rPr>
          <w:sz w:val="24"/>
        </w:rPr>
      </w:pPr>
      <w:r>
        <w:rPr>
          <w:sz w:val="24"/>
        </w:rPr>
        <w:t>La variación conjunta del costo en prestaciones de salud corregida por la variación</w:t>
      </w:r>
      <w:r>
        <w:rPr>
          <w:spacing w:val="-9"/>
          <w:sz w:val="24"/>
        </w:rPr>
        <w:t xml:space="preserve"> </w:t>
      </w:r>
      <w:r>
        <w:rPr>
          <w:sz w:val="24"/>
        </w:rPr>
        <w:t>de</w:t>
      </w:r>
      <w:r>
        <w:rPr>
          <w:spacing w:val="-9"/>
          <w:sz w:val="24"/>
        </w:rPr>
        <w:t xml:space="preserve"> </w:t>
      </w:r>
      <w:r>
        <w:rPr>
          <w:sz w:val="24"/>
        </w:rPr>
        <w:t>costos</w:t>
      </w:r>
      <w:r>
        <w:rPr>
          <w:spacing w:val="-9"/>
          <w:sz w:val="24"/>
        </w:rPr>
        <w:t xml:space="preserve"> </w:t>
      </w:r>
      <w:r>
        <w:rPr>
          <w:sz w:val="24"/>
        </w:rPr>
        <w:t>en</w:t>
      </w:r>
      <w:r>
        <w:rPr>
          <w:spacing w:val="-9"/>
          <w:sz w:val="24"/>
        </w:rPr>
        <w:t xml:space="preserve"> </w:t>
      </w:r>
      <w:r>
        <w:rPr>
          <w:sz w:val="24"/>
        </w:rPr>
        <w:t>prestaciones</w:t>
      </w:r>
      <w:r>
        <w:rPr>
          <w:spacing w:val="-9"/>
          <w:sz w:val="24"/>
        </w:rPr>
        <w:t xml:space="preserve"> </w:t>
      </w:r>
      <w:r>
        <w:rPr>
          <w:sz w:val="24"/>
        </w:rPr>
        <w:t>de</w:t>
      </w:r>
      <w:r>
        <w:rPr>
          <w:spacing w:val="-9"/>
          <w:sz w:val="24"/>
        </w:rPr>
        <w:t xml:space="preserve"> </w:t>
      </w:r>
      <w:r>
        <w:rPr>
          <w:sz w:val="24"/>
        </w:rPr>
        <w:t>modalidad</w:t>
      </w:r>
      <w:r>
        <w:rPr>
          <w:spacing w:val="-9"/>
          <w:sz w:val="24"/>
        </w:rPr>
        <w:t xml:space="preserve"> </w:t>
      </w:r>
      <w:r>
        <w:rPr>
          <w:sz w:val="24"/>
        </w:rPr>
        <w:t>libre</w:t>
      </w:r>
      <w:r>
        <w:rPr>
          <w:spacing w:val="-9"/>
          <w:sz w:val="24"/>
        </w:rPr>
        <w:t xml:space="preserve"> </w:t>
      </w:r>
      <w:r>
        <w:rPr>
          <w:sz w:val="24"/>
        </w:rPr>
        <w:t>elección</w:t>
      </w:r>
      <w:r>
        <w:rPr>
          <w:spacing w:val="-10"/>
          <w:sz w:val="24"/>
        </w:rPr>
        <w:t xml:space="preserve"> </w:t>
      </w:r>
      <w:r>
        <w:rPr>
          <w:sz w:val="24"/>
        </w:rPr>
        <w:t>del</w:t>
      </w:r>
      <w:r>
        <w:rPr>
          <w:spacing w:val="-9"/>
          <w:sz w:val="24"/>
        </w:rPr>
        <w:t xml:space="preserve"> </w:t>
      </w:r>
      <w:r>
        <w:rPr>
          <w:sz w:val="24"/>
        </w:rPr>
        <w:t>Fonasa</w:t>
      </w:r>
      <w:r>
        <w:rPr>
          <w:spacing w:val="-9"/>
          <w:sz w:val="24"/>
        </w:rPr>
        <w:t xml:space="preserve"> </w:t>
      </w:r>
      <w:r>
        <w:rPr>
          <w:sz w:val="24"/>
        </w:rPr>
        <w:t>y</w:t>
      </w:r>
      <w:r>
        <w:rPr>
          <w:spacing w:val="-9"/>
          <w:sz w:val="24"/>
        </w:rPr>
        <w:t xml:space="preserve"> </w:t>
      </w:r>
      <w:r>
        <w:rPr>
          <w:sz w:val="24"/>
        </w:rPr>
        <w:t>del costo en subsidios de incapacidad labora</w:t>
      </w:r>
      <w:r>
        <w:rPr>
          <w:sz w:val="24"/>
        </w:rPr>
        <w:t>l de cargo de la Isapre.</w:t>
      </w:r>
    </w:p>
    <w:p w:rsidR="007D3D54" w:rsidRDefault="004522C9">
      <w:pPr>
        <w:pStyle w:val="Prrafodelista"/>
        <w:numPr>
          <w:ilvl w:val="0"/>
          <w:numId w:val="1"/>
        </w:numPr>
        <w:tabs>
          <w:tab w:val="left" w:pos="854"/>
        </w:tabs>
        <w:spacing w:before="1"/>
        <w:jc w:val="both"/>
        <w:rPr>
          <w:sz w:val="24"/>
        </w:rPr>
      </w:pPr>
      <w:r>
        <w:rPr>
          <w:sz w:val="24"/>
        </w:rPr>
        <w:t>Otros elementos de contención de costos del gasto de salud que sean cuantificables, replicables y accesibles por la Superintendencia de Salud.</w:t>
      </w:r>
    </w:p>
    <w:p w:rsidR="007D3D54" w:rsidRDefault="004522C9">
      <w:pPr>
        <w:pStyle w:val="Textoindependiente"/>
        <w:spacing w:before="162"/>
        <w:ind w:left="428" w:right="135"/>
      </w:pPr>
      <w:r>
        <w:t>La Superintendencia de Salud a través de la Intendencia de Fondos y Seguros Previsionale</w:t>
      </w:r>
      <w:r>
        <w:t>s</w:t>
      </w:r>
      <w:r>
        <w:rPr>
          <w:spacing w:val="-9"/>
        </w:rPr>
        <w:t xml:space="preserve"> </w:t>
      </w:r>
      <w:r>
        <w:t>de</w:t>
      </w:r>
      <w:r>
        <w:rPr>
          <w:spacing w:val="-9"/>
        </w:rPr>
        <w:t xml:space="preserve"> </w:t>
      </w:r>
      <w:r>
        <w:t>Salud,</w:t>
      </w:r>
      <w:r>
        <w:rPr>
          <w:spacing w:val="-9"/>
        </w:rPr>
        <w:t xml:space="preserve"> </w:t>
      </w:r>
      <w:r>
        <w:t>mediante</w:t>
      </w:r>
      <w:r>
        <w:rPr>
          <w:spacing w:val="-9"/>
        </w:rPr>
        <w:t xml:space="preserve"> </w:t>
      </w:r>
      <w:r>
        <w:t>una</w:t>
      </w:r>
      <w:r>
        <w:rPr>
          <w:spacing w:val="-9"/>
        </w:rPr>
        <w:t xml:space="preserve"> </w:t>
      </w:r>
      <w:r>
        <w:t>Circular</w:t>
      </w:r>
      <w:r>
        <w:rPr>
          <w:spacing w:val="-9"/>
        </w:rPr>
        <w:t xml:space="preserve"> </w:t>
      </w:r>
      <w:r>
        <w:t>dictada</w:t>
      </w:r>
      <w:r>
        <w:rPr>
          <w:spacing w:val="-9"/>
        </w:rPr>
        <w:t xml:space="preserve"> </w:t>
      </w:r>
      <w:r>
        <w:t>al</w:t>
      </w:r>
      <w:r>
        <w:rPr>
          <w:spacing w:val="-9"/>
        </w:rPr>
        <w:t xml:space="preserve"> </w:t>
      </w:r>
      <w:r>
        <w:t>efecto,</w:t>
      </w:r>
      <w:r>
        <w:rPr>
          <w:spacing w:val="-9"/>
        </w:rPr>
        <w:t xml:space="preserve"> </w:t>
      </w:r>
      <w:r>
        <w:t>detallará</w:t>
      </w:r>
      <w:r>
        <w:rPr>
          <w:spacing w:val="-9"/>
        </w:rPr>
        <w:t xml:space="preserve"> </w:t>
      </w:r>
      <w:r>
        <w:t>la</w:t>
      </w:r>
      <w:r>
        <w:rPr>
          <w:spacing w:val="-9"/>
        </w:rPr>
        <w:t xml:space="preserve"> </w:t>
      </w:r>
      <w:r>
        <w:t>forma</w:t>
      </w:r>
      <w:r>
        <w:rPr>
          <w:spacing w:val="-9"/>
        </w:rPr>
        <w:t xml:space="preserve"> </w:t>
      </w:r>
      <w:r>
        <w:t>de informar cada uno de los antecedentes antes indicados.”</w:t>
      </w:r>
    </w:p>
    <w:p w:rsidR="007D3D54" w:rsidRDefault="004522C9">
      <w:pPr>
        <w:pStyle w:val="Textoindependiente"/>
        <w:spacing w:before="159"/>
        <w:ind w:left="144"/>
        <w:jc w:val="left"/>
      </w:pPr>
      <w:r>
        <w:rPr>
          <w:noProof/>
        </w:rPr>
        <w:drawing>
          <wp:anchor distT="0" distB="0" distL="0" distR="0" simplePos="0" relativeHeight="251657216" behindDoc="0" locked="0" layoutInCell="1" allowOverlap="1">
            <wp:simplePos x="0" y="0"/>
            <wp:positionH relativeFrom="page">
              <wp:posOffset>2633291</wp:posOffset>
            </wp:positionH>
            <wp:positionV relativeFrom="paragraph">
              <wp:posOffset>172780</wp:posOffset>
            </wp:positionV>
            <wp:extent cx="2014578" cy="11880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014578" cy="1188085"/>
                    </a:xfrm>
                    <a:prstGeom prst="rect">
                      <a:avLst/>
                    </a:prstGeom>
                  </pic:spPr>
                </pic:pic>
              </a:graphicData>
            </a:graphic>
          </wp:anchor>
        </w:drawing>
      </w:r>
      <w:r>
        <w:rPr>
          <w:spacing w:val="-2"/>
        </w:rPr>
        <w:t>Fraternalmente,</w:t>
      </w:r>
    </w:p>
    <w:p w:rsidR="007D3D54" w:rsidRDefault="007D3D54">
      <w:pPr>
        <w:pStyle w:val="Textoindependiente"/>
        <w:jc w:val="left"/>
        <w:rPr>
          <w:sz w:val="28"/>
        </w:rPr>
      </w:pPr>
    </w:p>
    <w:p w:rsidR="007D3D54" w:rsidRDefault="007D3D54">
      <w:pPr>
        <w:pStyle w:val="Textoindependiente"/>
        <w:jc w:val="left"/>
        <w:rPr>
          <w:sz w:val="28"/>
        </w:rPr>
      </w:pPr>
    </w:p>
    <w:p w:rsidR="007D3D54" w:rsidRDefault="007D3D54">
      <w:pPr>
        <w:pStyle w:val="Textoindependiente"/>
        <w:jc w:val="left"/>
        <w:rPr>
          <w:sz w:val="28"/>
        </w:rPr>
      </w:pPr>
    </w:p>
    <w:p w:rsidR="007D3D54" w:rsidRDefault="007D3D54">
      <w:pPr>
        <w:pStyle w:val="Textoindependiente"/>
        <w:jc w:val="left"/>
        <w:rPr>
          <w:sz w:val="28"/>
        </w:rPr>
      </w:pPr>
    </w:p>
    <w:p w:rsidR="007D3D54" w:rsidRDefault="004522C9">
      <w:pPr>
        <w:pStyle w:val="Ttulo1"/>
        <w:spacing w:before="172"/>
        <w:ind w:left="2069"/>
      </w:pPr>
      <w:r>
        <w:t>DR.</w:t>
      </w:r>
      <w:r>
        <w:rPr>
          <w:spacing w:val="-5"/>
        </w:rPr>
        <w:t xml:space="preserve"> </w:t>
      </w:r>
      <w:r>
        <w:t>TOMÁS</w:t>
      </w:r>
      <w:r>
        <w:rPr>
          <w:spacing w:val="-2"/>
        </w:rPr>
        <w:t xml:space="preserve"> </w:t>
      </w:r>
      <w:r>
        <w:t>IGNACIO</w:t>
      </w:r>
      <w:r>
        <w:rPr>
          <w:spacing w:val="-3"/>
        </w:rPr>
        <w:t xml:space="preserve"> </w:t>
      </w:r>
      <w:r>
        <w:t>LAGOMARSINO</w:t>
      </w:r>
      <w:r>
        <w:rPr>
          <w:spacing w:val="-2"/>
        </w:rPr>
        <w:t xml:space="preserve"> GUZMÁN</w:t>
      </w:r>
    </w:p>
    <w:p w:rsidR="007D3D54" w:rsidRDefault="004522C9">
      <w:pPr>
        <w:pStyle w:val="Textoindependiente"/>
        <w:spacing w:before="2"/>
        <w:ind w:left="2886"/>
        <w:jc w:val="left"/>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p>
    <w:sectPr w:rsidR="007D3D54">
      <w:pgSz w:w="12240" w:h="1584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2FB"/>
    <w:multiLevelType w:val="hybridMultilevel"/>
    <w:tmpl w:val="257EADE0"/>
    <w:lvl w:ilvl="0" w:tplc="F5962564">
      <w:start w:val="1"/>
      <w:numFmt w:val="decimal"/>
      <w:lvlText w:val="%1."/>
      <w:lvlJc w:val="left"/>
      <w:pPr>
        <w:ind w:left="711" w:hanging="567"/>
        <w:jc w:val="left"/>
      </w:pPr>
      <w:rPr>
        <w:rFonts w:ascii="Cambria" w:eastAsia="Cambria" w:hAnsi="Cambria" w:cs="Cambria" w:hint="default"/>
        <w:b w:val="0"/>
        <w:bCs w:val="0"/>
        <w:i w:val="0"/>
        <w:iCs w:val="0"/>
        <w:w w:val="100"/>
        <w:sz w:val="24"/>
        <w:szCs w:val="24"/>
        <w:lang w:val="es-ES" w:eastAsia="en-US" w:bidi="ar-SA"/>
      </w:rPr>
    </w:lvl>
    <w:lvl w:ilvl="1" w:tplc="B7C0DCBC">
      <w:start w:val="1"/>
      <w:numFmt w:val="lowerLetter"/>
      <w:lvlText w:val="%2."/>
      <w:lvlJc w:val="left"/>
      <w:pPr>
        <w:ind w:left="995" w:hanging="284"/>
        <w:jc w:val="left"/>
      </w:pPr>
      <w:rPr>
        <w:rFonts w:ascii="Cambria" w:eastAsia="Cambria" w:hAnsi="Cambria" w:cs="Cambria" w:hint="default"/>
        <w:b w:val="0"/>
        <w:bCs w:val="0"/>
        <w:i w:val="0"/>
        <w:iCs w:val="0"/>
        <w:w w:val="100"/>
        <w:sz w:val="24"/>
        <w:szCs w:val="24"/>
        <w:lang w:val="es-ES" w:eastAsia="en-US" w:bidi="ar-SA"/>
      </w:rPr>
    </w:lvl>
    <w:lvl w:ilvl="2" w:tplc="9BA8EF1C">
      <w:numFmt w:val="bullet"/>
      <w:lvlText w:val="•"/>
      <w:lvlJc w:val="left"/>
      <w:pPr>
        <w:ind w:left="1902" w:hanging="284"/>
      </w:pPr>
      <w:rPr>
        <w:rFonts w:hint="default"/>
        <w:lang w:val="es-ES" w:eastAsia="en-US" w:bidi="ar-SA"/>
      </w:rPr>
    </w:lvl>
    <w:lvl w:ilvl="3" w:tplc="B7D4F608">
      <w:numFmt w:val="bullet"/>
      <w:lvlText w:val="•"/>
      <w:lvlJc w:val="left"/>
      <w:pPr>
        <w:ind w:left="2804" w:hanging="284"/>
      </w:pPr>
      <w:rPr>
        <w:rFonts w:hint="default"/>
        <w:lang w:val="es-ES" w:eastAsia="en-US" w:bidi="ar-SA"/>
      </w:rPr>
    </w:lvl>
    <w:lvl w:ilvl="4" w:tplc="18DC3696">
      <w:numFmt w:val="bullet"/>
      <w:lvlText w:val="•"/>
      <w:lvlJc w:val="left"/>
      <w:pPr>
        <w:ind w:left="3706" w:hanging="284"/>
      </w:pPr>
      <w:rPr>
        <w:rFonts w:hint="default"/>
        <w:lang w:val="es-ES" w:eastAsia="en-US" w:bidi="ar-SA"/>
      </w:rPr>
    </w:lvl>
    <w:lvl w:ilvl="5" w:tplc="A896353A">
      <w:numFmt w:val="bullet"/>
      <w:lvlText w:val="•"/>
      <w:lvlJc w:val="left"/>
      <w:pPr>
        <w:ind w:left="4608" w:hanging="284"/>
      </w:pPr>
      <w:rPr>
        <w:rFonts w:hint="default"/>
        <w:lang w:val="es-ES" w:eastAsia="en-US" w:bidi="ar-SA"/>
      </w:rPr>
    </w:lvl>
    <w:lvl w:ilvl="6" w:tplc="83C6C5A8">
      <w:numFmt w:val="bullet"/>
      <w:lvlText w:val="•"/>
      <w:lvlJc w:val="left"/>
      <w:pPr>
        <w:ind w:left="5511" w:hanging="284"/>
      </w:pPr>
      <w:rPr>
        <w:rFonts w:hint="default"/>
        <w:lang w:val="es-ES" w:eastAsia="en-US" w:bidi="ar-SA"/>
      </w:rPr>
    </w:lvl>
    <w:lvl w:ilvl="7" w:tplc="64D476AC">
      <w:numFmt w:val="bullet"/>
      <w:lvlText w:val="•"/>
      <w:lvlJc w:val="left"/>
      <w:pPr>
        <w:ind w:left="6413" w:hanging="284"/>
      </w:pPr>
      <w:rPr>
        <w:rFonts w:hint="default"/>
        <w:lang w:val="es-ES" w:eastAsia="en-US" w:bidi="ar-SA"/>
      </w:rPr>
    </w:lvl>
    <w:lvl w:ilvl="8" w:tplc="1CFE7E3E">
      <w:numFmt w:val="bullet"/>
      <w:lvlText w:val="•"/>
      <w:lvlJc w:val="left"/>
      <w:pPr>
        <w:ind w:left="7315" w:hanging="284"/>
      </w:pPr>
      <w:rPr>
        <w:rFonts w:hint="default"/>
        <w:lang w:val="es-ES" w:eastAsia="en-US" w:bidi="ar-SA"/>
      </w:rPr>
    </w:lvl>
  </w:abstractNum>
  <w:abstractNum w:abstractNumId="1" w15:restartNumberingAfterBreak="0">
    <w:nsid w:val="31CB65CC"/>
    <w:multiLevelType w:val="hybridMultilevel"/>
    <w:tmpl w:val="FAD67F1C"/>
    <w:lvl w:ilvl="0" w:tplc="DB74AA46">
      <w:start w:val="1"/>
      <w:numFmt w:val="lowerLetter"/>
      <w:lvlText w:val="%1)"/>
      <w:lvlJc w:val="left"/>
      <w:pPr>
        <w:ind w:left="853" w:hanging="425"/>
        <w:jc w:val="right"/>
      </w:pPr>
      <w:rPr>
        <w:rFonts w:ascii="Cambria" w:eastAsia="Cambria" w:hAnsi="Cambria" w:cs="Cambria" w:hint="default"/>
        <w:b w:val="0"/>
        <w:bCs w:val="0"/>
        <w:i w:val="0"/>
        <w:iCs w:val="0"/>
        <w:w w:val="100"/>
        <w:sz w:val="24"/>
        <w:szCs w:val="24"/>
        <w:lang w:val="es-ES" w:eastAsia="en-US" w:bidi="ar-SA"/>
      </w:rPr>
    </w:lvl>
    <w:lvl w:ilvl="1" w:tplc="EA8A300E">
      <w:numFmt w:val="bullet"/>
      <w:lvlText w:val="•"/>
      <w:lvlJc w:val="left"/>
      <w:pPr>
        <w:ind w:left="1686" w:hanging="425"/>
      </w:pPr>
      <w:rPr>
        <w:rFonts w:hint="default"/>
        <w:lang w:val="es-ES" w:eastAsia="en-US" w:bidi="ar-SA"/>
      </w:rPr>
    </w:lvl>
    <w:lvl w:ilvl="2" w:tplc="D0167FAE">
      <w:numFmt w:val="bullet"/>
      <w:lvlText w:val="•"/>
      <w:lvlJc w:val="left"/>
      <w:pPr>
        <w:ind w:left="2512" w:hanging="425"/>
      </w:pPr>
      <w:rPr>
        <w:rFonts w:hint="default"/>
        <w:lang w:val="es-ES" w:eastAsia="en-US" w:bidi="ar-SA"/>
      </w:rPr>
    </w:lvl>
    <w:lvl w:ilvl="3" w:tplc="AB3235FE">
      <w:numFmt w:val="bullet"/>
      <w:lvlText w:val="•"/>
      <w:lvlJc w:val="left"/>
      <w:pPr>
        <w:ind w:left="3338" w:hanging="425"/>
      </w:pPr>
      <w:rPr>
        <w:rFonts w:hint="default"/>
        <w:lang w:val="es-ES" w:eastAsia="en-US" w:bidi="ar-SA"/>
      </w:rPr>
    </w:lvl>
    <w:lvl w:ilvl="4" w:tplc="B5D43242">
      <w:numFmt w:val="bullet"/>
      <w:lvlText w:val="•"/>
      <w:lvlJc w:val="left"/>
      <w:pPr>
        <w:ind w:left="4164" w:hanging="425"/>
      </w:pPr>
      <w:rPr>
        <w:rFonts w:hint="default"/>
        <w:lang w:val="es-ES" w:eastAsia="en-US" w:bidi="ar-SA"/>
      </w:rPr>
    </w:lvl>
    <w:lvl w:ilvl="5" w:tplc="78C81764">
      <w:numFmt w:val="bullet"/>
      <w:lvlText w:val="•"/>
      <w:lvlJc w:val="left"/>
      <w:pPr>
        <w:ind w:left="4990" w:hanging="425"/>
      </w:pPr>
      <w:rPr>
        <w:rFonts w:hint="default"/>
        <w:lang w:val="es-ES" w:eastAsia="en-US" w:bidi="ar-SA"/>
      </w:rPr>
    </w:lvl>
    <w:lvl w:ilvl="6" w:tplc="B2982638">
      <w:numFmt w:val="bullet"/>
      <w:lvlText w:val="•"/>
      <w:lvlJc w:val="left"/>
      <w:pPr>
        <w:ind w:left="5816" w:hanging="425"/>
      </w:pPr>
      <w:rPr>
        <w:rFonts w:hint="default"/>
        <w:lang w:val="es-ES" w:eastAsia="en-US" w:bidi="ar-SA"/>
      </w:rPr>
    </w:lvl>
    <w:lvl w:ilvl="7" w:tplc="77AC620A">
      <w:numFmt w:val="bullet"/>
      <w:lvlText w:val="•"/>
      <w:lvlJc w:val="left"/>
      <w:pPr>
        <w:ind w:left="6642" w:hanging="425"/>
      </w:pPr>
      <w:rPr>
        <w:rFonts w:hint="default"/>
        <w:lang w:val="es-ES" w:eastAsia="en-US" w:bidi="ar-SA"/>
      </w:rPr>
    </w:lvl>
    <w:lvl w:ilvl="8" w:tplc="71B6E294">
      <w:numFmt w:val="bullet"/>
      <w:lvlText w:val="•"/>
      <w:lvlJc w:val="left"/>
      <w:pPr>
        <w:ind w:left="7468" w:hanging="42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D3D54"/>
    <w:rsid w:val="004522C9"/>
    <w:rsid w:val="007D3D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4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ind w:left="504" w:right="135" w:hanging="360"/>
      <w:jc w:val="both"/>
    </w:pPr>
  </w:style>
  <w:style w:type="paragraph" w:customStyle="1" w:styleId="TableParagraph">
    <w:name w:val="Table Paragraph"/>
    <w:basedOn w:val="Normal"/>
    <w:uiPriority w:val="1"/>
    <w:qFormat/>
    <w:pPr>
      <w:spacing w:before="2" w:line="261" w:lineRule="exact"/>
      <w:ind w:left="59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8240</Characters>
  <Application>Microsoft Office Word</Application>
  <DocSecurity>0</DocSecurity>
  <Lines>68</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PDL Procedimiento de Verificación.docx</dc:title>
  <dc:creator>Guillermo Diaz Vallejos</dc:creator>
  <cp:lastModifiedBy>Guillermo Diaz Vallejos</cp:lastModifiedBy>
  <cp:revision>1</cp:revision>
  <dcterms:created xsi:type="dcterms:W3CDTF">2023-03-20T18:19:00Z</dcterms:created>
  <dcterms:modified xsi:type="dcterms:W3CDTF">2023-03-20T21:55:00Z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Word</vt:lpwstr>
  </property>
  <property fmtid="{D5CDD505-2E9C-101B-9397-08002B2CF9AE}" pid="4" name="LastSaved">
    <vt:filetime>2023-03-20T00:00:00Z</vt:filetime>
  </property>
  <property fmtid="{D5CDD505-2E9C-101B-9397-08002B2CF9AE}" pid="5" name="Producer">
    <vt:lpwstr>macOS Versión 13.1 (Compilación 22C65) Quartz PDFContext</vt:lpwstr>
  </property>
</Properties>
</file>