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83" w:rsidRDefault="00BF2591">
      <w:pPr>
        <w:pStyle w:val="Textoindependiente"/>
        <w:ind w:left="365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219200" cy="1276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B83" w:rsidRDefault="00883B83">
      <w:pPr>
        <w:pStyle w:val="Textoindependiente"/>
        <w:rPr>
          <w:rFonts w:ascii="Times New Roman"/>
          <w:sz w:val="20"/>
        </w:rPr>
      </w:pPr>
    </w:p>
    <w:p w:rsidR="00883B83" w:rsidRDefault="00883B83">
      <w:pPr>
        <w:pStyle w:val="Textoindependiente"/>
        <w:rPr>
          <w:rFonts w:ascii="Times New Roman"/>
        </w:rPr>
      </w:pPr>
    </w:p>
    <w:p w:rsidR="00883B83" w:rsidRDefault="00BF2591">
      <w:pPr>
        <w:pStyle w:val="Puesto"/>
        <w:spacing w:line="276" w:lineRule="auto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incorpora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perros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psiquiátrica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legislación</w:t>
      </w:r>
      <w:r>
        <w:rPr>
          <w:spacing w:val="-8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integración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2"/>
        </w:rPr>
        <w:t>discapacidad</w:t>
      </w:r>
    </w:p>
    <w:p w:rsidR="00883B83" w:rsidRDefault="00BF2591">
      <w:pPr>
        <w:pStyle w:val="Prrafodelista"/>
        <w:numPr>
          <w:ilvl w:val="0"/>
          <w:numId w:val="2"/>
        </w:numPr>
        <w:tabs>
          <w:tab w:val="left" w:pos="819"/>
          <w:tab w:val="left" w:pos="820"/>
        </w:tabs>
        <w:spacing w:before="200"/>
      </w:pPr>
      <w:r>
        <w:rPr>
          <w:spacing w:val="-2"/>
        </w:rPr>
        <w:t>Antecedentes</w:t>
      </w:r>
    </w:p>
    <w:p w:rsidR="00883B83" w:rsidRDefault="00883B83">
      <w:pPr>
        <w:pStyle w:val="Textoindependiente"/>
        <w:spacing w:before="10"/>
        <w:rPr>
          <w:sz w:val="20"/>
        </w:rPr>
      </w:pPr>
    </w:p>
    <w:p w:rsidR="00883B83" w:rsidRDefault="00BF2591">
      <w:pPr>
        <w:pStyle w:val="Textoindependiente"/>
        <w:spacing w:line="276" w:lineRule="auto"/>
        <w:ind w:left="100" w:right="113"/>
        <w:jc w:val="both"/>
      </w:pPr>
      <w:r>
        <w:t>El</w:t>
      </w:r>
      <w:r>
        <w:rPr>
          <w:spacing w:val="27"/>
        </w:rPr>
        <w:t xml:space="preserve"> </w:t>
      </w:r>
      <w:r>
        <w:t>debate</w:t>
      </w:r>
      <w:r>
        <w:rPr>
          <w:spacing w:val="27"/>
        </w:rPr>
        <w:t xml:space="preserve"> </w:t>
      </w:r>
      <w:r>
        <w:t>sobre el estado de la salud mental en Chile ha adquirido una creciente relevancia en los últimos años. En actual contexto nacional y mundial, marcado por diversas complejidades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político,</w:t>
      </w:r>
      <w:r>
        <w:rPr>
          <w:spacing w:val="-3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sanitario,</w:t>
      </w:r>
      <w:r>
        <w:rPr>
          <w:spacing w:val="-3"/>
        </w:rPr>
        <w:t xml:space="preserve"> </w:t>
      </w:r>
      <w:r>
        <w:t>pone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relieve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 de hacerse</w:t>
      </w:r>
      <w:r>
        <w:rPr>
          <w:spacing w:val="-3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afectaciones</w:t>
      </w:r>
      <w:r>
        <w:rPr>
          <w:spacing w:val="-3"/>
        </w:rPr>
        <w:t xml:space="preserve"> </w:t>
      </w:r>
      <w:r>
        <w:t>psicológicas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psiquiátricas</w:t>
      </w:r>
      <w:r>
        <w:rPr>
          <w:spacing w:val="-3"/>
        </w:rPr>
        <w:t xml:space="preserve"> </w:t>
      </w:r>
      <w:r>
        <w:t>propias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ritmo</w:t>
      </w:r>
      <w:r>
        <w:rPr>
          <w:spacing w:val="-3"/>
        </w:rPr>
        <w:t xml:space="preserve"> </w:t>
      </w:r>
      <w:r>
        <w:t>de vida actual. Problemas como el estrés, la ansiedad y trastornos de ánimo como la</w:t>
      </w:r>
      <w:r>
        <w:rPr>
          <w:spacing w:val="-3"/>
        </w:rPr>
        <w:t xml:space="preserve"> </w:t>
      </w:r>
      <w:r>
        <w:t>depresión se han manifestado con particular intensidad en grupos soci</w:t>
      </w:r>
      <w:r>
        <w:t>ales como las mujeres, el personal de salud, estudiantes, docentes, personas mayores, entre otros.</w:t>
      </w:r>
    </w:p>
    <w:p w:rsidR="00883B83" w:rsidRDefault="00BF2591">
      <w:pPr>
        <w:pStyle w:val="Textoindependiente"/>
        <w:spacing w:before="200" w:line="276" w:lineRule="auto"/>
        <w:ind w:left="100" w:right="117"/>
        <w:jc w:val="both"/>
      </w:pPr>
      <w:r>
        <w:t>Las afecciones psicológicas y psiquiátricas que produce el escenario antes descrito caben dentro del concepto de</w:t>
      </w:r>
      <w:r>
        <w:rPr>
          <w:spacing w:val="-3"/>
        </w:rPr>
        <w:t xml:space="preserve"> </w:t>
      </w:r>
      <w:r>
        <w:t>discapacidad.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OMS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mundial</w:t>
      </w:r>
      <w:r>
        <w:rPr>
          <w:spacing w:val="-3"/>
        </w:rPr>
        <w:t xml:space="preserve"> </w:t>
      </w:r>
      <w:r>
        <w:t>sobre la discapacidad del año 2011 “el término genérico «discapacidad» abarca todas las deficiencias, las limitaciones para realizar actividades y las restricciones de participación, y</w:t>
      </w:r>
      <w:r>
        <w:rPr>
          <w:spacing w:val="40"/>
        </w:rPr>
        <w:t xml:space="preserve"> </w:t>
      </w:r>
      <w:r>
        <w:t>se refiere a los aspectos negativos de la interacción e</w:t>
      </w:r>
      <w:r>
        <w:t>ntre una persona (que tiene una condición de salud) y los factores contextuales de esa persona (factores ambientales y personales)</w:t>
      </w:r>
      <w:r>
        <w:rPr>
          <w:vertAlign w:val="superscript"/>
        </w:rPr>
        <w:t>1</w:t>
      </w:r>
      <w:r>
        <w:t>.</w:t>
      </w:r>
      <w:r>
        <w:rPr>
          <w:spacing w:val="40"/>
        </w:rPr>
        <w:t xml:space="preserve"> </w:t>
      </w:r>
      <w:r>
        <w:t xml:space="preserve">Es decir, se trata de un concepto contextual, de una construcción social, en la medida en que “el contexto de las personas </w:t>
      </w:r>
      <w:r>
        <w:t>en situación de discapacidad quedaría configurado por un “entorno discapacitante”” susceptible de ser modificado “en la medida que se articulan las acciones favorables para ello”</w:t>
      </w:r>
      <w:r>
        <w:rPr>
          <w:vertAlign w:val="superscript"/>
        </w:rPr>
        <w:t>2</w:t>
      </w:r>
      <w:r>
        <w:t>.</w:t>
      </w:r>
    </w:p>
    <w:p w:rsidR="00883B83" w:rsidRDefault="00BF2591">
      <w:pPr>
        <w:pStyle w:val="Textoindependiente"/>
        <w:spacing w:before="200" w:line="276" w:lineRule="auto"/>
        <w:ind w:left="100" w:right="115"/>
        <w:jc w:val="both"/>
      </w:pPr>
      <w:r>
        <w:t>Así, al precisar esta definición es posible concebir un tipo especial de di</w:t>
      </w:r>
      <w:r>
        <w:t>scapacidad ocasionado por los problemas de salud mental. A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abundamiento,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planteado</w:t>
      </w:r>
      <w:r>
        <w:rPr>
          <w:spacing w:val="-4"/>
        </w:rPr>
        <w:t xml:space="preserve"> </w:t>
      </w:r>
      <w:r>
        <w:t>que la discapacidad ocasionada “por alteraciones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intelectual,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ánimo</w:t>
      </w:r>
      <w:r>
        <w:rPr>
          <w:spacing w:val="-4"/>
        </w:rPr>
        <w:t xml:space="preserve"> </w:t>
      </w:r>
      <w:r>
        <w:t>o el comportamiento, acompañadas de angustia o interferencia con las funciones personales” puede denominarse como enfermedad mental, trastorno mental o discapacidad psicosocial</w:t>
      </w:r>
      <w:r>
        <w:rPr>
          <w:vertAlign w:val="superscript"/>
        </w:rPr>
        <w:t>3</w:t>
      </w:r>
      <w:r>
        <w:t>.</w:t>
      </w:r>
    </w:p>
    <w:p w:rsidR="00883B83" w:rsidRDefault="00BF2591">
      <w:pPr>
        <w:pStyle w:val="Textoindependiente"/>
        <w:spacing w:before="200" w:line="276" w:lineRule="auto"/>
        <w:ind w:left="100" w:right="120"/>
        <w:jc w:val="both"/>
      </w:pPr>
      <w:r>
        <w:t>Ante esta realidad cada vez más desafiante, si bien nuestro ordenamiento jurí</w:t>
      </w:r>
      <w:r>
        <w:t>dico ha adoptado medidas legislativas en materia de inclusión y reconocimiento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 discapacidad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sujetos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derecho</w:t>
      </w:r>
      <w:r>
        <w:rPr>
          <w:vertAlign w:val="superscript"/>
        </w:rPr>
        <w:t>4</w:t>
      </w:r>
      <w:r>
        <w:t>,</w:t>
      </w:r>
      <w:r>
        <w:rPr>
          <w:spacing w:val="40"/>
        </w:rPr>
        <w:t xml:space="preserve"> </w:t>
      </w:r>
      <w:r>
        <w:t>aún</w:t>
      </w:r>
      <w:r>
        <w:rPr>
          <w:spacing w:val="40"/>
        </w:rPr>
        <w:t xml:space="preserve"> </w:t>
      </w:r>
      <w:r>
        <w:t>existen</w:t>
      </w:r>
      <w:r>
        <w:rPr>
          <w:spacing w:val="40"/>
        </w:rPr>
        <w:t xml:space="preserve"> </w:t>
      </w:r>
      <w:r>
        <w:t>muchos</w:t>
      </w:r>
      <w:r>
        <w:rPr>
          <w:spacing w:val="40"/>
        </w:rPr>
        <w:t xml:space="preserve"> </w:t>
      </w:r>
      <w:r>
        <w:t>ámbitos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cuales</w:t>
      </w:r>
      <w:r>
        <w:rPr>
          <w:spacing w:val="40"/>
        </w:rPr>
        <w:t xml:space="preserve"> </w:t>
      </w:r>
      <w:r>
        <w:t>cabe</w:t>
      </w:r>
    </w:p>
    <w:p w:rsidR="00883B83" w:rsidRDefault="00BF2591">
      <w:pPr>
        <w:pStyle w:val="Textoindependiente"/>
        <w:spacing w:before="9"/>
        <w:rPr>
          <w:sz w:val="9"/>
        </w:rPr>
      </w:pPr>
      <w:r>
        <w:pict>
          <v:shape id="docshape2" o:spid="_x0000_s1029" style="position:absolute;margin-left:1in;margin-top:6.8pt;width:2in;height:.1pt;z-index:-15728640;mso-wrap-distance-left:0;mso-wrap-distance-right:0;mso-position-horizontal-relative:page" coordorigin="1440,136" coordsize="2880,0" path="m1440,136r2880,e" filled="f">
            <v:path arrowok="t"/>
            <w10:wrap type="topAndBottom" anchorx="page"/>
          </v:shape>
        </w:pict>
      </w:r>
    </w:p>
    <w:p w:rsidR="00883B83" w:rsidRDefault="00BF2591">
      <w:pPr>
        <w:spacing w:before="99"/>
        <w:ind w:left="100" w:right="12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Organización Mundial de la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Banco</w:t>
      </w:r>
      <w:r>
        <w:rPr>
          <w:spacing w:val="-3"/>
          <w:sz w:val="20"/>
        </w:rPr>
        <w:t xml:space="preserve"> </w:t>
      </w:r>
      <w:r>
        <w:rPr>
          <w:sz w:val="20"/>
        </w:rPr>
        <w:t>Mundial.</w:t>
      </w:r>
      <w:r>
        <w:rPr>
          <w:spacing w:val="-3"/>
          <w:sz w:val="20"/>
        </w:rPr>
        <w:t xml:space="preserve"> </w:t>
      </w:r>
      <w:r>
        <w:rPr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z w:val="20"/>
        </w:rPr>
        <w:t>mundial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z w:val="20"/>
        </w:rPr>
        <w:t>bre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discapacidad.</w:t>
      </w:r>
      <w:r>
        <w:rPr>
          <w:spacing w:val="-3"/>
          <w:sz w:val="20"/>
        </w:rPr>
        <w:t xml:space="preserve"> </w:t>
      </w:r>
      <w:r>
        <w:rPr>
          <w:sz w:val="20"/>
        </w:rPr>
        <w:t>2011,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p. </w:t>
      </w:r>
      <w:r>
        <w:rPr>
          <w:spacing w:val="-6"/>
          <w:sz w:val="20"/>
        </w:rPr>
        <w:t>4.</w:t>
      </w:r>
    </w:p>
    <w:p w:rsidR="00883B83" w:rsidRDefault="00BF2591">
      <w:pPr>
        <w:ind w:left="100" w:right="12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Servicio Nacional de la Discapacidad. Discapacidad y salud mental: una visión desde SENADIS.</w:t>
      </w:r>
      <w:r>
        <w:rPr>
          <w:spacing w:val="40"/>
          <w:sz w:val="20"/>
        </w:rPr>
        <w:t xml:space="preserve"> </w:t>
      </w:r>
      <w:r>
        <w:rPr>
          <w:sz w:val="20"/>
        </w:rPr>
        <w:t>2015, p. 15.</w:t>
      </w:r>
    </w:p>
    <w:p w:rsidR="00883B83" w:rsidRDefault="00BF2591">
      <w:pPr>
        <w:ind w:left="100"/>
        <w:jc w:val="both"/>
        <w:rPr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pacing w:val="-6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5"/>
          <w:sz w:val="20"/>
        </w:rPr>
        <w:t xml:space="preserve"> </w:t>
      </w:r>
      <w:r>
        <w:rPr>
          <w:sz w:val="20"/>
        </w:rPr>
        <w:t>Mundial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Salud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Banco</w:t>
      </w:r>
      <w:r>
        <w:rPr>
          <w:spacing w:val="-5"/>
          <w:sz w:val="20"/>
        </w:rPr>
        <w:t xml:space="preserve"> </w:t>
      </w:r>
      <w:r>
        <w:rPr>
          <w:sz w:val="20"/>
        </w:rPr>
        <w:t>Mundial.</w:t>
      </w:r>
      <w:r>
        <w:rPr>
          <w:spacing w:val="-5"/>
          <w:sz w:val="20"/>
        </w:rPr>
        <w:t xml:space="preserve"> </w:t>
      </w:r>
      <w:r>
        <w:rPr>
          <w:sz w:val="20"/>
        </w:rPr>
        <w:t>p,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345.</w:t>
      </w:r>
    </w:p>
    <w:p w:rsidR="00883B83" w:rsidRDefault="00BF2591">
      <w:pPr>
        <w:ind w:left="100" w:right="115"/>
        <w:jc w:val="both"/>
        <w:rPr>
          <w:sz w:val="20"/>
        </w:rPr>
      </w:pPr>
      <w:r>
        <w:rPr>
          <w:rFonts w:ascii="Arial" w:hAnsi="Arial"/>
          <w:sz w:val="20"/>
          <w:vertAlign w:val="superscript"/>
        </w:rPr>
        <w:t>4</w:t>
      </w:r>
      <w:r>
        <w:rPr>
          <w:rFonts w:ascii="Arial" w:hAnsi="Arial"/>
          <w:sz w:val="20"/>
        </w:rPr>
        <w:t xml:space="preserve"> </w:t>
      </w:r>
      <w:r>
        <w:rPr>
          <w:sz w:val="20"/>
        </w:rPr>
        <w:t>El marco normativo anterior se ha visto complementado con la dictación de la ley N°21.331, que define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salud</w:t>
      </w:r>
      <w:r>
        <w:rPr>
          <w:spacing w:val="12"/>
          <w:sz w:val="20"/>
        </w:rPr>
        <w:t xml:space="preserve"> </w:t>
      </w:r>
      <w:r>
        <w:rPr>
          <w:sz w:val="20"/>
        </w:rPr>
        <w:t>mental,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su</w:t>
      </w:r>
      <w:r>
        <w:rPr>
          <w:spacing w:val="12"/>
          <w:sz w:val="20"/>
        </w:rPr>
        <w:t xml:space="preserve"> </w:t>
      </w:r>
      <w:r>
        <w:rPr>
          <w:sz w:val="20"/>
        </w:rPr>
        <w:t>artículo</w:t>
      </w:r>
      <w:r>
        <w:rPr>
          <w:spacing w:val="12"/>
          <w:sz w:val="20"/>
        </w:rPr>
        <w:t xml:space="preserve"> </w:t>
      </w:r>
      <w:r>
        <w:rPr>
          <w:sz w:val="20"/>
        </w:rPr>
        <w:t>2</w:t>
      </w:r>
      <w:r>
        <w:rPr>
          <w:spacing w:val="12"/>
          <w:sz w:val="20"/>
        </w:rPr>
        <w:t xml:space="preserve"> </w:t>
      </w:r>
      <w:r>
        <w:rPr>
          <w:sz w:val="20"/>
        </w:rPr>
        <w:t>-y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efectos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esa</w:t>
      </w:r>
      <w:r>
        <w:rPr>
          <w:spacing w:val="-2"/>
          <w:sz w:val="20"/>
        </w:rPr>
        <w:t xml:space="preserve"> </w:t>
      </w:r>
      <w:r>
        <w:rPr>
          <w:sz w:val="20"/>
        </w:rPr>
        <w:t>ley-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“un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bienestar</w:t>
      </w:r>
      <w:r>
        <w:rPr>
          <w:spacing w:val="-2"/>
          <w:sz w:val="20"/>
        </w:rPr>
        <w:t xml:space="preserve"> </w:t>
      </w:r>
      <w:r>
        <w:rPr>
          <w:sz w:val="20"/>
        </w:rPr>
        <w:t>en el que la persona es consciente de sus propias capacidad</w:t>
      </w:r>
      <w:r>
        <w:rPr>
          <w:sz w:val="20"/>
        </w:rPr>
        <w:t>es, puede realizarlas, puede afrontar las tensiones</w:t>
      </w:r>
      <w:r>
        <w:rPr>
          <w:spacing w:val="40"/>
          <w:sz w:val="20"/>
        </w:rPr>
        <w:t xml:space="preserve"> </w:t>
      </w:r>
      <w:r>
        <w:rPr>
          <w:sz w:val="20"/>
        </w:rPr>
        <w:t>normales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vida,</w:t>
      </w:r>
      <w:r>
        <w:rPr>
          <w:spacing w:val="27"/>
          <w:sz w:val="20"/>
        </w:rPr>
        <w:t xml:space="preserve"> </w:t>
      </w:r>
      <w:r>
        <w:rPr>
          <w:sz w:val="20"/>
        </w:rPr>
        <w:t>trabajar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27"/>
          <w:sz w:val="20"/>
        </w:rPr>
        <w:t xml:space="preserve"> </w:t>
      </w:r>
      <w:r>
        <w:rPr>
          <w:sz w:val="20"/>
        </w:rPr>
        <w:t>contribuir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su</w:t>
      </w:r>
      <w:r>
        <w:rPr>
          <w:spacing w:val="27"/>
          <w:sz w:val="20"/>
        </w:rPr>
        <w:t xml:space="preserve"> </w:t>
      </w:r>
      <w:r>
        <w:rPr>
          <w:sz w:val="20"/>
        </w:rPr>
        <w:t>comunidad.</w:t>
      </w:r>
      <w:r>
        <w:rPr>
          <w:spacing w:val="27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caso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niños,</w:t>
      </w:r>
      <w:r>
        <w:rPr>
          <w:spacing w:val="27"/>
          <w:sz w:val="20"/>
        </w:rPr>
        <w:t xml:space="preserve"> </w:t>
      </w:r>
      <w:r>
        <w:rPr>
          <w:sz w:val="20"/>
        </w:rPr>
        <w:t>niñas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</w:p>
    <w:p w:rsidR="00883B83" w:rsidRDefault="00883B83">
      <w:pPr>
        <w:jc w:val="both"/>
        <w:rPr>
          <w:sz w:val="20"/>
        </w:rPr>
        <w:sectPr w:rsidR="00883B83">
          <w:footerReference w:type="default" r:id="rId8"/>
          <w:type w:val="continuous"/>
          <w:pgSz w:w="11920" w:h="16840"/>
          <w:pgMar w:top="1460" w:right="1340" w:bottom="1000" w:left="1340" w:header="0" w:footer="802" w:gutter="0"/>
          <w:pgNumType w:start="1"/>
          <w:cols w:space="720"/>
        </w:sectPr>
      </w:pPr>
    </w:p>
    <w:p w:rsidR="00883B83" w:rsidRDefault="00BF2591">
      <w:pPr>
        <w:pStyle w:val="Textoindependiente"/>
        <w:spacing w:before="80" w:line="276" w:lineRule="auto"/>
        <w:ind w:left="100" w:right="113"/>
        <w:jc w:val="both"/>
      </w:pPr>
      <w:r>
        <w:lastRenderedPageBreak/>
        <w:t>adoptar medidas para respetar y garantizar los derechos de este grupo. Así, dentro de los diversos ámbitos en los que nuestro marco normativo en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actualizado</w:t>
      </w:r>
      <w:r>
        <w:rPr>
          <w:spacing w:val="-3"/>
        </w:rPr>
        <w:t xml:space="preserve"> </w:t>
      </w:r>
      <w:r>
        <w:t>y mejorado, cabe destacar la situación que se produce respecto de los “perros</w:t>
      </w:r>
      <w:r>
        <w:t xml:space="preserve"> de asistencia</w:t>
      </w:r>
      <w:r>
        <w:rPr>
          <w:spacing w:val="40"/>
        </w:rPr>
        <w:t xml:space="preserve"> </w:t>
      </w:r>
      <w:r>
        <w:t>para personas con discapacidad”.</w:t>
      </w:r>
    </w:p>
    <w:p w:rsidR="00883B83" w:rsidRDefault="00BF2591">
      <w:pPr>
        <w:pStyle w:val="Textoindependiente"/>
        <w:spacing w:before="200" w:line="276" w:lineRule="auto"/>
        <w:ind w:left="100" w:right="113"/>
        <w:jc w:val="both"/>
      </w:pPr>
      <w:r>
        <w:t>En concreto, si bien la legislación sobre discapacidad ha sido actualizada mediante la dictación de la ley N°20.422, esta no modificó la ley N°19.284 en lo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“perros</w:t>
      </w:r>
      <w:r>
        <w:rPr>
          <w:spacing w:val="-2"/>
        </w:rPr>
        <w:t xml:space="preserve"> </w:t>
      </w:r>
      <w:r>
        <w:t>de asistencia para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</w:t>
      </w:r>
      <w:r>
        <w:t>on</w:t>
      </w:r>
      <w:r>
        <w:rPr>
          <w:spacing w:val="-4"/>
        </w:rPr>
        <w:t xml:space="preserve"> </w:t>
      </w:r>
      <w:r>
        <w:t>discapacidad”,</w:t>
      </w:r>
      <w:r>
        <w:rPr>
          <w:spacing w:val="-4"/>
        </w:rPr>
        <w:t xml:space="preserve"> </w:t>
      </w:r>
      <w:r>
        <w:t>introducidos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ordenamiento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a través de la ley N°20.025</w:t>
      </w:r>
      <w:r>
        <w:rPr>
          <w:vertAlign w:val="superscript"/>
        </w:rPr>
        <w:t>5</w:t>
      </w:r>
      <w:r>
        <w:t>. En este escenario anterior, sin perjuicio de la promulgación de otras</w:t>
      </w:r>
      <w:r>
        <w:rPr>
          <w:spacing w:val="25"/>
        </w:rPr>
        <w:t xml:space="preserve"> </w:t>
      </w:r>
      <w:r>
        <w:t>leyes</w:t>
      </w:r>
      <w:r>
        <w:rPr>
          <w:spacing w:val="25"/>
        </w:rPr>
        <w:t xml:space="preserve"> </w:t>
      </w:r>
      <w:r>
        <w:t>relevantes en materia de salud mental</w:t>
      </w:r>
      <w:r>
        <w:rPr>
          <w:vertAlign w:val="superscript"/>
        </w:rPr>
        <w:t>6</w:t>
      </w:r>
      <w:r>
        <w:t>, resulta necesario y pertinente actualizar la legislación vigente para especificar expresamente dentro de las categorías de “perros de asistencia” que se contemplan en la ley a los “perros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psiquiátrica”,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tal de evitar que la no menc</w:t>
      </w:r>
      <w:r>
        <w:t>ión expresa de esta categoría de asistencia de lugar en la práctica</w:t>
      </w:r>
      <w:r>
        <w:rPr>
          <w:spacing w:val="-3"/>
        </w:rPr>
        <w:t xml:space="preserve"> </w:t>
      </w:r>
      <w:r>
        <w:t>a exclusiones y/o barreras para el tratamiento de problemas de salud mental.</w:t>
      </w:r>
    </w:p>
    <w:p w:rsidR="00883B83" w:rsidRDefault="00BF2591">
      <w:pPr>
        <w:pStyle w:val="Textoindependiente"/>
        <w:spacing w:before="200" w:line="276" w:lineRule="auto"/>
        <w:ind w:left="100" w:right="112"/>
        <w:jc w:val="both"/>
      </w:pPr>
      <w:r>
        <w:t>Lo anterior es relevante, toda vez que la incorporación de esta nueva categoría permite disipar toda duda inter</w:t>
      </w:r>
      <w:r>
        <w:t>pretativa en torno al alcance de la categoría “perro de respuesta”, habilitando el acceso al estatuto jurídico especial contemplado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perros que asisten ante afecciones psiquiátricas y/o psicológicas, tales como trastornos depresivos,</w:t>
      </w:r>
      <w:r>
        <w:t xml:space="preserve"> por ansiedad, relacionados con traumas y factores de estrés, trastornos del espectro de la esquizofrenia, disociativos, trastorno bipolar, trastorno de estrés postraumático (TEPT) y trastorno Obsesivo-Compulsivo, trastornos bipolares, ataques de pánico, a</w:t>
      </w:r>
      <w:r>
        <w:t>gorafobia, autismo, entre otros.</w:t>
      </w:r>
    </w:p>
    <w:p w:rsidR="00883B83" w:rsidRDefault="00BF2591">
      <w:pPr>
        <w:pStyle w:val="Textoindependiente"/>
        <w:spacing w:before="200" w:line="276" w:lineRule="auto"/>
        <w:ind w:left="100" w:right="115"/>
        <w:jc w:val="both"/>
      </w:pPr>
      <w:r>
        <w:t>Si bien nuestra legislación reconoce la existencia de los perros de respuesta, definidos reglamentariamente como aquellos capaces de “detectar cambios bioquímicos de descompensación previa a manifestaciones neurológicas o convulsiones de una persona con di</w:t>
      </w:r>
      <w:r>
        <w:t>scapacidad” según señala el reglamento contenido en el decreto 223 que aprueba reglamento de la ley Nº 19.284, esta categoría no comprende las labores que realizan los “perros de asistencia psiquiátrica”.</w:t>
      </w:r>
    </w:p>
    <w:p w:rsidR="00883B83" w:rsidRDefault="00BF2591">
      <w:pPr>
        <w:pStyle w:val="Textoindependiente"/>
        <w:spacing w:before="200" w:line="276" w:lineRule="auto"/>
        <w:ind w:left="100" w:right="116"/>
        <w:jc w:val="both"/>
      </w:pPr>
      <w:r>
        <w:t>Así,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perros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psiquiátrica</w:t>
      </w:r>
      <w:r>
        <w:rPr>
          <w:spacing w:val="-4"/>
        </w:rPr>
        <w:t xml:space="preserve"> </w:t>
      </w:r>
      <w:r>
        <w:t>cuentan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adiestramiento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otorgar respuesta a otro tipo de trastornos, para “personas que padecen afecciones psiquiátricas especiales y que necesitan ayuda en su vida diaria” pudiendo ayudar a su cuidador o cuidadora a realizar tareas cotidianas </w:t>
      </w:r>
      <w:r>
        <w:t>que, de otro modo, podrían resultar difíciles debido a su estado de salud mental, estando adiestrados para desenvolverse en entornos públicos abarrotados, como autobuses o trenes, y para hacer frente a situaciones de emergencia</w:t>
      </w:r>
      <w:r>
        <w:rPr>
          <w:vertAlign w:val="superscript"/>
        </w:rPr>
        <w:t>7</w:t>
      </w:r>
      <w:r>
        <w:t>.</w:t>
      </w:r>
    </w:p>
    <w:p w:rsidR="00883B83" w:rsidRDefault="00883B83">
      <w:pPr>
        <w:pStyle w:val="Textoindependiente"/>
        <w:rPr>
          <w:sz w:val="20"/>
        </w:rPr>
      </w:pPr>
    </w:p>
    <w:p w:rsidR="00883B83" w:rsidRDefault="00883B83">
      <w:pPr>
        <w:pStyle w:val="Textoindependiente"/>
        <w:rPr>
          <w:sz w:val="20"/>
        </w:rPr>
      </w:pPr>
    </w:p>
    <w:p w:rsidR="00883B83" w:rsidRDefault="00883B83">
      <w:pPr>
        <w:pStyle w:val="Textoindependiente"/>
        <w:rPr>
          <w:sz w:val="20"/>
        </w:rPr>
      </w:pPr>
    </w:p>
    <w:p w:rsidR="00883B83" w:rsidRDefault="00883B83">
      <w:pPr>
        <w:pStyle w:val="Textoindependiente"/>
        <w:rPr>
          <w:sz w:val="20"/>
        </w:rPr>
      </w:pPr>
    </w:p>
    <w:p w:rsidR="00883B83" w:rsidRDefault="00BF2591">
      <w:pPr>
        <w:pStyle w:val="Textoindependiente"/>
        <w:spacing w:before="3"/>
        <w:rPr>
          <w:sz w:val="11"/>
        </w:rPr>
      </w:pPr>
      <w:r>
        <w:pict>
          <v:shape id="docshape3" o:spid="_x0000_s1028" style="position:absolute;margin-left:1in;margin-top:7.6pt;width:2in;height:.1pt;z-index:-15728128;mso-wrap-distance-left:0;mso-wrap-distance-right:0;mso-position-horizontal-relative:page" coordorigin="1440,152" coordsize="2880,0" path="m1440,152r2880,e" filled="f">
            <v:path arrowok="t"/>
            <w10:wrap type="topAndBottom" anchorx="page"/>
          </v:shape>
        </w:pict>
      </w:r>
    </w:p>
    <w:p w:rsidR="00883B83" w:rsidRDefault="00BF2591">
      <w:pPr>
        <w:spacing w:before="103"/>
        <w:ind w:left="100" w:right="122"/>
        <w:jc w:val="both"/>
        <w:rPr>
          <w:sz w:val="20"/>
        </w:rPr>
      </w:pPr>
      <w:r>
        <w:rPr>
          <w:sz w:val="20"/>
        </w:rPr>
        <w:t>adolescentes, la salud mental consiste en la capacidad de alcanzar y mantener un grado óptimo de funcionamiento y bienestar psicológico”.</w:t>
      </w:r>
    </w:p>
    <w:p w:rsidR="00883B83" w:rsidRDefault="00BF2591">
      <w:pPr>
        <w:ind w:left="100" w:right="113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El artículo 82 de la ley N°20.422 señala: “Derógase la ley N° 19.284, que establece normas para la plena integración</w:t>
      </w:r>
      <w:r>
        <w:rPr>
          <w:sz w:val="20"/>
        </w:rPr>
        <w:t xml:space="preserve"> social de las personas con discapacidad, con </w:t>
      </w:r>
      <w:r>
        <w:rPr>
          <w:sz w:val="20"/>
          <w:u w:val="thick"/>
        </w:rPr>
        <w:t>excepción</w:t>
      </w:r>
      <w:r>
        <w:rPr>
          <w:sz w:val="20"/>
        </w:rPr>
        <w:t xml:space="preserve"> del artículo 21, de los </w:t>
      </w:r>
      <w:r>
        <w:rPr>
          <w:sz w:val="20"/>
          <w:u w:val="thick"/>
        </w:rPr>
        <w:t>artículos</w:t>
      </w:r>
      <w:r>
        <w:rPr>
          <w:spacing w:val="27"/>
          <w:sz w:val="20"/>
          <w:u w:val="thick"/>
        </w:rPr>
        <w:t xml:space="preserve"> </w:t>
      </w:r>
      <w:r>
        <w:rPr>
          <w:sz w:val="20"/>
          <w:u w:val="thick"/>
        </w:rPr>
        <w:t>25-A</w:t>
      </w:r>
      <w:r>
        <w:rPr>
          <w:spacing w:val="27"/>
          <w:sz w:val="20"/>
          <w:u w:val="thick"/>
        </w:rPr>
        <w:t xml:space="preserve"> </w:t>
      </w:r>
      <w:r>
        <w:rPr>
          <w:sz w:val="20"/>
          <w:u w:val="thick"/>
        </w:rPr>
        <w:t>a 25-F</w:t>
      </w:r>
      <w:r>
        <w:rPr>
          <w:sz w:val="20"/>
        </w:rPr>
        <w:t>, ambos inclusive, y del artículo 65, los cuales se entienden vigentes para todos los efectos legales.”El subrayado es propio.</w:t>
      </w:r>
    </w:p>
    <w:p w:rsidR="00883B83" w:rsidRDefault="00BF2591">
      <w:pPr>
        <w:ind w:left="100" w:right="115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En este sentido destaca la</w:t>
      </w:r>
      <w:r>
        <w:rPr>
          <w:sz w:val="20"/>
        </w:rPr>
        <w:t xml:space="preserve"> promulgación de la ley N°21. 331 en abril del año 2021 que establece el reconocimiento y protección de los derechos de las personas en la atención de salud mental.</w:t>
      </w:r>
    </w:p>
    <w:p w:rsidR="00883B83" w:rsidRPr="0097395A" w:rsidRDefault="00BF2591">
      <w:pPr>
        <w:spacing w:line="135" w:lineRule="exact"/>
        <w:ind w:left="100"/>
        <w:rPr>
          <w:sz w:val="12"/>
          <w:lang w:val="en-US"/>
        </w:rPr>
      </w:pPr>
      <w:r w:rsidRPr="0097395A">
        <w:rPr>
          <w:sz w:val="12"/>
          <w:lang w:val="en-US"/>
        </w:rPr>
        <w:t>7</w:t>
      </w:r>
    </w:p>
    <w:p w:rsidR="00883B83" w:rsidRPr="0097395A" w:rsidRDefault="00BF2591">
      <w:pPr>
        <w:spacing w:before="92"/>
        <w:ind w:left="100" w:right="121"/>
        <w:rPr>
          <w:sz w:val="20"/>
          <w:lang w:val="en-US"/>
        </w:rPr>
      </w:pPr>
      <w:hyperlink r:id="rId9">
        <w:r w:rsidRPr="0097395A">
          <w:rPr>
            <w:color w:val="1154CC"/>
            <w:spacing w:val="-2"/>
            <w:sz w:val="20"/>
            <w:u w:val="thick" w:color="1154CC"/>
            <w:lang w:val="en-US"/>
          </w:rPr>
          <w:t>https://www.akc.org/expert-advice/news/what-its-really-like-to-have-a-service-dog-national-service-</w:t>
        </w:r>
      </w:hyperlink>
      <w:r w:rsidRPr="0097395A">
        <w:rPr>
          <w:color w:val="1154CC"/>
          <w:spacing w:val="-2"/>
          <w:sz w:val="20"/>
          <w:lang w:val="en-US"/>
        </w:rPr>
        <w:t xml:space="preserve"> </w:t>
      </w:r>
      <w:hyperlink r:id="rId10">
        <w:r w:rsidRPr="0097395A">
          <w:rPr>
            <w:color w:val="1154CC"/>
            <w:spacing w:val="-2"/>
            <w:sz w:val="20"/>
            <w:u w:val="thick" w:color="1154CC"/>
            <w:lang w:val="en-US"/>
          </w:rPr>
          <w:t>dog-month/</w:t>
        </w:r>
      </w:hyperlink>
    </w:p>
    <w:p w:rsidR="00883B83" w:rsidRPr="0097395A" w:rsidRDefault="00883B83">
      <w:pPr>
        <w:rPr>
          <w:sz w:val="20"/>
          <w:lang w:val="en-US"/>
        </w:rPr>
        <w:sectPr w:rsidR="00883B83" w:rsidRPr="0097395A">
          <w:pgSz w:w="11920" w:h="16840"/>
          <w:pgMar w:top="1360" w:right="1340" w:bottom="1000" w:left="1340" w:header="0" w:footer="802" w:gutter="0"/>
          <w:cols w:space="720"/>
        </w:sectPr>
      </w:pPr>
    </w:p>
    <w:p w:rsidR="00883B83" w:rsidRDefault="00BF2591">
      <w:pPr>
        <w:pStyle w:val="Prrafodelista"/>
        <w:numPr>
          <w:ilvl w:val="0"/>
          <w:numId w:val="2"/>
        </w:numPr>
        <w:tabs>
          <w:tab w:val="left" w:pos="820"/>
        </w:tabs>
        <w:spacing w:before="80"/>
      </w:pPr>
      <w:r>
        <w:rPr>
          <w:spacing w:val="-2"/>
        </w:rPr>
        <w:lastRenderedPageBreak/>
        <w:t>Fundamentos</w:t>
      </w:r>
    </w:p>
    <w:p w:rsidR="00883B83" w:rsidRDefault="00883B83">
      <w:pPr>
        <w:pStyle w:val="Textoindependiente"/>
        <w:spacing w:before="10"/>
        <w:rPr>
          <w:sz w:val="20"/>
        </w:rPr>
      </w:pPr>
    </w:p>
    <w:p w:rsidR="00883B83" w:rsidRDefault="00BF2591">
      <w:pPr>
        <w:pStyle w:val="Textoindependiente"/>
        <w:spacing w:line="276" w:lineRule="auto"/>
        <w:ind w:left="100" w:right="122"/>
        <w:jc w:val="both"/>
      </w:pPr>
      <w:r>
        <w:t>En primer término, es importante precisar las labores que pueden realizar estos animales.</w:t>
      </w:r>
      <w:r>
        <w:rPr>
          <w:spacing w:val="40"/>
        </w:rPr>
        <w:t xml:space="preserve"> </w:t>
      </w:r>
      <w:r>
        <w:t>En concreto, dentro de las tareas que pueden llevar a cabo estos perros, destacan</w:t>
      </w:r>
      <w:r>
        <w:rPr>
          <w:vertAlign w:val="superscript"/>
        </w:rPr>
        <w:t>8</w:t>
      </w:r>
      <w:r>
        <w:t>:</w:t>
      </w:r>
    </w:p>
    <w:p w:rsidR="00883B83" w:rsidRDefault="00BF2591">
      <w:pPr>
        <w:pStyle w:val="Prrafodelista"/>
        <w:numPr>
          <w:ilvl w:val="1"/>
          <w:numId w:val="2"/>
        </w:numPr>
        <w:tabs>
          <w:tab w:val="left" w:pos="820"/>
        </w:tabs>
        <w:spacing w:before="200"/>
      </w:pPr>
      <w:r>
        <w:t>Guiar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cuidador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cuidadora</w:t>
      </w:r>
      <w:r>
        <w:rPr>
          <w:spacing w:val="-4"/>
        </w:rPr>
        <w:t xml:space="preserve"> </w:t>
      </w:r>
      <w:r>
        <w:rPr>
          <w:spacing w:val="-2"/>
        </w:rPr>
        <w:t>desorientado.</w:t>
      </w:r>
    </w:p>
    <w:p w:rsidR="00883B83" w:rsidRDefault="00BF2591">
      <w:pPr>
        <w:pStyle w:val="Prrafodelista"/>
        <w:numPr>
          <w:ilvl w:val="1"/>
          <w:numId w:val="2"/>
        </w:numPr>
        <w:tabs>
          <w:tab w:val="left" w:pos="820"/>
        </w:tabs>
        <w:spacing w:before="37"/>
      </w:pPr>
      <w:r>
        <w:t>Buscar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entregar</w:t>
      </w:r>
      <w:r>
        <w:rPr>
          <w:spacing w:val="-5"/>
        </w:rPr>
        <w:t xml:space="preserve"> </w:t>
      </w:r>
      <w:r>
        <w:t>medicamentos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dueños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comandos</w:t>
      </w:r>
      <w:r>
        <w:rPr>
          <w:spacing w:val="-4"/>
        </w:rPr>
        <w:t xml:space="preserve"> </w:t>
      </w:r>
      <w:r>
        <w:rPr>
          <w:spacing w:val="-2"/>
        </w:rPr>
        <w:t>especiales.</w:t>
      </w:r>
    </w:p>
    <w:p w:rsidR="00883B83" w:rsidRDefault="00BF2591">
      <w:pPr>
        <w:pStyle w:val="Prrafodelista"/>
        <w:numPr>
          <w:ilvl w:val="1"/>
          <w:numId w:val="2"/>
        </w:numPr>
        <w:tabs>
          <w:tab w:val="left" w:pos="820"/>
        </w:tabs>
        <w:spacing w:before="38" w:line="276" w:lineRule="auto"/>
        <w:ind w:right="121"/>
      </w:pPr>
      <w:r>
        <w:t>Buscar un teléfono o un dispositivo en casos tales como ataques de ansiedad, pudiendo</w:t>
      </w:r>
      <w:r>
        <w:rPr>
          <w:spacing w:val="-4"/>
        </w:rPr>
        <w:t xml:space="preserve"> </w:t>
      </w:r>
      <w:r>
        <w:t>garantizar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adiestrador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médico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terapeuta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situaciones de emergencia.</w:t>
      </w:r>
    </w:p>
    <w:p w:rsidR="00883B83" w:rsidRDefault="00BF2591">
      <w:pPr>
        <w:pStyle w:val="Prrafodelista"/>
        <w:numPr>
          <w:ilvl w:val="1"/>
          <w:numId w:val="2"/>
        </w:numPr>
        <w:tabs>
          <w:tab w:val="left" w:pos="820"/>
        </w:tabs>
        <w:spacing w:line="276" w:lineRule="auto"/>
        <w:ind w:right="118"/>
      </w:pPr>
      <w:r>
        <w:t>Orientar ayuda de primeros auxilios, al conducir a los primeros intervinientes médicos hasta su ciudad o cuidadora, aunque esté oculto a la vista.</w:t>
      </w:r>
    </w:p>
    <w:p w:rsidR="00883B83" w:rsidRDefault="00BF2591">
      <w:pPr>
        <w:pStyle w:val="Prrafodelista"/>
        <w:numPr>
          <w:ilvl w:val="1"/>
          <w:numId w:val="2"/>
        </w:numPr>
        <w:tabs>
          <w:tab w:val="left" w:pos="820"/>
        </w:tabs>
        <w:spacing w:line="276" w:lineRule="auto"/>
        <w:ind w:right="116"/>
      </w:pPr>
      <w:r>
        <w:t xml:space="preserve">Otorgan estimulación táctil, empleando técnicas tales como la “terapia de presión </w:t>
      </w:r>
      <w:r>
        <w:t>profunda” al percibir los más mínimos</w:t>
      </w:r>
      <w:r>
        <w:rPr>
          <w:spacing w:val="-3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hormonales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 de ánimo de su adiestrador o adiestradora.</w:t>
      </w:r>
    </w:p>
    <w:p w:rsidR="00883B83" w:rsidRDefault="00BF2591">
      <w:pPr>
        <w:pStyle w:val="Prrafodelista"/>
        <w:numPr>
          <w:ilvl w:val="1"/>
          <w:numId w:val="2"/>
        </w:numPr>
        <w:tabs>
          <w:tab w:val="left" w:pos="820"/>
        </w:tabs>
        <w:spacing w:line="276" w:lineRule="auto"/>
        <w:ind w:right="116"/>
      </w:pPr>
      <w:r>
        <w:t>Pueden crear señales tales como lamer, tirar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manga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ladrar</w:t>
      </w:r>
      <w:r>
        <w:rPr>
          <w:spacing w:val="-3"/>
        </w:rPr>
        <w:t xml:space="preserve"> </w:t>
      </w:r>
      <w:r>
        <w:t>incesantemente</w:t>
      </w:r>
      <w:r>
        <w:rPr>
          <w:spacing w:val="-4"/>
        </w:rPr>
        <w:t xml:space="preserve"> </w:t>
      </w:r>
      <w:r>
        <w:t>en casos en que las y los cuidadores ingieren me</w:t>
      </w:r>
      <w:r>
        <w:t xml:space="preserve">dicamentos que inducen a estados de </w:t>
      </w:r>
      <w:r>
        <w:rPr>
          <w:spacing w:val="-2"/>
        </w:rPr>
        <w:t>inconsciencia.</w:t>
      </w:r>
    </w:p>
    <w:p w:rsidR="00883B83" w:rsidRDefault="00BF2591">
      <w:pPr>
        <w:pStyle w:val="Prrafodelista"/>
        <w:numPr>
          <w:ilvl w:val="1"/>
          <w:numId w:val="2"/>
        </w:numPr>
        <w:tabs>
          <w:tab w:val="left" w:pos="820"/>
        </w:tabs>
        <w:spacing w:line="276" w:lineRule="auto"/>
        <w:ind w:right="114"/>
      </w:pPr>
      <w:r>
        <w:t>Pueden reconocer los signos clave de los problemas psiquiátricos de su cuidador o cuidadora, siendo capaces de interrumpir los comportamientos disfuncionales y redirigir la atención, como se da en los caso</w:t>
      </w:r>
      <w:r>
        <w:t>s de TOC o flashbacks postraumáticos.</w:t>
      </w:r>
    </w:p>
    <w:p w:rsidR="00883B83" w:rsidRDefault="00BF2591">
      <w:pPr>
        <w:pStyle w:val="Prrafodelista"/>
        <w:numPr>
          <w:ilvl w:val="1"/>
          <w:numId w:val="2"/>
        </w:numPr>
        <w:tabs>
          <w:tab w:val="left" w:pos="820"/>
        </w:tabs>
        <w:spacing w:line="276" w:lineRule="auto"/>
        <w:ind w:right="112"/>
      </w:pPr>
      <w:r>
        <w:t>Pueden adiestrarse para proteger a sus dueños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dueñas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colocando su cuerpo cerca de él, así como bloquear a otras personas de su adiestrador o adiestradora colocando su cuerpo en lugares estratégicos, de particular utilidad en casos como ansiedad social o autismo.</w:t>
      </w:r>
    </w:p>
    <w:p w:rsidR="00883B83" w:rsidRDefault="00BF2591">
      <w:pPr>
        <w:pStyle w:val="Textoindependiente"/>
        <w:spacing w:before="200" w:line="276" w:lineRule="auto"/>
        <w:ind w:left="100" w:right="113"/>
        <w:jc w:val="both"/>
      </w:pPr>
      <w:r>
        <w:t>En adición a lo anterior, cabe señalar que los</w:t>
      </w:r>
      <w:r>
        <w:t xml:space="preserve"> estándares del derecho humano a la salud también resultan aplicables a “otros derechos conexos de las personas con discapacidad psicosocial”</w:t>
      </w:r>
      <w:r>
        <w:rPr>
          <w:vertAlign w:val="superscript"/>
        </w:rPr>
        <w:t>9</w:t>
      </w:r>
      <w:r>
        <w:t>. Si bien los principales tratados de derechos humanos no hacen referencia explícita a la discapacidad desde un en</w:t>
      </w:r>
      <w:r>
        <w:t>foque de derecho, se ha entendido que instrumentos como el Pacto Internacional de Derechos Económicos, Sociales y Culturales establecen un “marco jurídicamente vinculante para el derecho al disfrute del más alto nivel posible de salud</w:t>
      </w:r>
      <w:r>
        <w:rPr>
          <w:spacing w:val="-4"/>
        </w:rPr>
        <w:t xml:space="preserve"> </w:t>
      </w:r>
      <w:r>
        <w:t>mental”</w:t>
      </w:r>
      <w:r>
        <w:rPr>
          <w:vertAlign w:val="superscript"/>
        </w:rPr>
        <w:t>10</w:t>
      </w:r>
      <w:r>
        <w:t>.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suma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esfuerzos</w:t>
      </w:r>
      <w:r>
        <w:rPr>
          <w:spacing w:val="-4"/>
        </w:rPr>
        <w:t xml:space="preserve"> </w:t>
      </w:r>
      <w:r>
        <w:t>interpretativos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a las personas en situación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discapacidad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pacto</w:t>
      </w:r>
      <w:r>
        <w:rPr>
          <w:spacing w:val="-3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Pacto Internacional de Derechos Civiles y Políticos</w:t>
      </w:r>
      <w:r>
        <w:rPr>
          <w:vertAlign w:val="superscript"/>
        </w:rPr>
        <w:t>11</w:t>
      </w:r>
      <w:r>
        <w:t>. Marco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“</w:t>
      </w:r>
      <w:r>
        <w:t>el derecho a la salud mental incluye obligaciones</w:t>
      </w:r>
      <w:r>
        <w:rPr>
          <w:spacing w:val="-3"/>
        </w:rPr>
        <w:t xml:space="preserve"> </w:t>
      </w:r>
      <w:r>
        <w:t>inmediatas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exigencia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adoptar</w:t>
      </w:r>
      <w:r>
        <w:rPr>
          <w:spacing w:val="-3"/>
        </w:rPr>
        <w:t xml:space="preserve"> </w:t>
      </w:r>
      <w:r>
        <w:t>medidas deliberadas, concretas y orientadas a la realización progresiva de otras obligaciones”</w:t>
      </w:r>
      <w:r>
        <w:rPr>
          <w:vertAlign w:val="superscript"/>
        </w:rPr>
        <w:t>12</w:t>
      </w:r>
      <w:r>
        <w:t>.</w:t>
      </w:r>
    </w:p>
    <w:p w:rsidR="00883B83" w:rsidRDefault="00BF2591">
      <w:pPr>
        <w:pStyle w:val="Textoindependiente"/>
        <w:spacing w:before="200" w:line="276" w:lineRule="auto"/>
        <w:ind w:left="100" w:right="115"/>
        <w:jc w:val="both"/>
      </w:pPr>
      <w:r>
        <w:t>La Convención</w:t>
      </w:r>
      <w:r>
        <w:rPr>
          <w:spacing w:val="-4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Discapacidad,</w:t>
      </w:r>
      <w:r>
        <w:rPr>
          <w:spacing w:val="-4"/>
        </w:rPr>
        <w:t xml:space="preserve"> </w:t>
      </w:r>
      <w:r>
        <w:t>adoptada el 13 de diciembre de 2006 por la Asamblea General de la Organización de las Naciones Unidas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ratificada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Chile</w:t>
      </w:r>
      <w:r>
        <w:rPr>
          <w:spacing w:val="26"/>
        </w:rPr>
        <w:t xml:space="preserve"> </w:t>
      </w:r>
      <w:r>
        <w:t>durante</w:t>
      </w:r>
      <w:r>
        <w:rPr>
          <w:spacing w:val="26"/>
        </w:rPr>
        <w:t xml:space="preserve"> </w:t>
      </w:r>
      <w:r>
        <w:t>el año 2008, constituye el instrumento internacional</w:t>
      </w:r>
    </w:p>
    <w:p w:rsidR="00883B83" w:rsidRDefault="00BF2591">
      <w:pPr>
        <w:pStyle w:val="Textoindependiente"/>
        <w:spacing w:before="6"/>
        <w:rPr>
          <w:sz w:val="8"/>
        </w:rPr>
      </w:pPr>
      <w:r>
        <w:pict>
          <v:shape id="docshape4" o:spid="_x0000_s1027" style="position:absolute;margin-left:1in;margin-top:6.05pt;width:2in;height:.1pt;z-index:-15727616;mso-wrap-distance-left:0;mso-wrap-distance-right:0;mso-position-horizontal-relative:page" coordorigin="1440,121" coordsize="2880,0" path="m1440,121r2880,e" filled="f">
            <v:path arrowok="t"/>
            <w10:wrap type="topAndBottom" anchorx="page"/>
          </v:shape>
        </w:pict>
      </w:r>
    </w:p>
    <w:p w:rsidR="00883B83" w:rsidRDefault="00BF2591">
      <w:pPr>
        <w:spacing w:before="112"/>
        <w:ind w:left="100"/>
        <w:jc w:val="both"/>
        <w:rPr>
          <w:sz w:val="20"/>
        </w:rPr>
      </w:pPr>
      <w:r>
        <w:rPr>
          <w:spacing w:val="-2"/>
          <w:sz w:val="20"/>
          <w:vertAlign w:val="superscript"/>
        </w:rPr>
        <w:t>8</w:t>
      </w:r>
      <w:r>
        <w:rPr>
          <w:spacing w:val="48"/>
          <w:sz w:val="20"/>
        </w:rPr>
        <w:t xml:space="preserve"> </w:t>
      </w:r>
      <w:hyperlink r:id="rId11">
        <w:r>
          <w:rPr>
            <w:color w:val="1154CC"/>
            <w:spacing w:val="-2"/>
            <w:sz w:val="20"/>
            <w:u w:val="thick" w:color="1154CC"/>
          </w:rPr>
          <w:t>https://usserviceanimals.org/blog/psychiatric-service-dogs/</w:t>
        </w:r>
      </w:hyperlink>
    </w:p>
    <w:p w:rsidR="00883B83" w:rsidRDefault="00BF2591">
      <w:pPr>
        <w:ind w:left="100" w:right="115"/>
        <w:jc w:val="both"/>
        <w:rPr>
          <w:sz w:val="20"/>
        </w:rPr>
      </w:pPr>
      <w:r>
        <w:rPr>
          <w:rFonts w:ascii="Arial" w:hAnsi="Arial"/>
          <w:sz w:val="20"/>
          <w:vertAlign w:val="superscript"/>
        </w:rPr>
        <w:t>9</w:t>
      </w:r>
      <w:r>
        <w:rPr>
          <w:rFonts w:ascii="Arial" w:hAnsi="Arial"/>
          <w:sz w:val="20"/>
        </w:rPr>
        <w:t xml:space="preserve"> </w:t>
      </w:r>
      <w:r>
        <w:rPr>
          <w:sz w:val="20"/>
        </w:rPr>
        <w:t>Organización Panamericana de la Salud. Serie Derechos Humanos y Salud. 2. Salud mental: un enfoque basado en los dere</w:t>
      </w:r>
      <w:r>
        <w:rPr>
          <w:sz w:val="20"/>
        </w:rPr>
        <w:t>chos humanos, p. 2.</w:t>
      </w:r>
    </w:p>
    <w:p w:rsidR="00883B83" w:rsidRDefault="00BF2591">
      <w:pPr>
        <w:ind w:left="100" w:right="12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Consejo de Derechos Humanos. Informe del Relator Especial sobre el derecho de toda persona al </w:t>
      </w:r>
      <w:r>
        <w:rPr>
          <w:spacing w:val="-2"/>
          <w:sz w:val="20"/>
        </w:rPr>
        <w:t>disfrute</w:t>
      </w:r>
    </w:p>
    <w:p w:rsidR="00883B83" w:rsidRDefault="00BF2591">
      <w:pPr>
        <w:spacing w:before="4"/>
        <w:ind w:left="148"/>
        <w:jc w:val="both"/>
        <w:rPr>
          <w:sz w:val="20"/>
        </w:rPr>
      </w:pP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4"/>
          <w:sz w:val="20"/>
        </w:rPr>
        <w:t xml:space="preserve"> </w:t>
      </w:r>
      <w:r>
        <w:rPr>
          <w:sz w:val="20"/>
        </w:rPr>
        <w:t>alto</w:t>
      </w:r>
      <w:r>
        <w:rPr>
          <w:spacing w:val="-4"/>
          <w:sz w:val="20"/>
        </w:rPr>
        <w:t xml:space="preserve"> </w:t>
      </w:r>
      <w:r>
        <w:rPr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z w:val="20"/>
        </w:rPr>
        <w:t>posible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salud</w:t>
      </w:r>
      <w:r>
        <w:rPr>
          <w:spacing w:val="-4"/>
          <w:sz w:val="20"/>
        </w:rPr>
        <w:t xml:space="preserve"> </w:t>
      </w:r>
      <w:r>
        <w:rPr>
          <w:sz w:val="20"/>
        </w:rPr>
        <w:t>física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mental.</w:t>
      </w:r>
      <w:r>
        <w:rPr>
          <w:spacing w:val="-4"/>
          <w:sz w:val="20"/>
        </w:rPr>
        <w:t xml:space="preserve"> </w:t>
      </w:r>
      <w:r>
        <w:rPr>
          <w:sz w:val="20"/>
        </w:rPr>
        <w:t>28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marzo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2017,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10.</w:t>
      </w:r>
    </w:p>
    <w:p w:rsidR="00883B83" w:rsidRDefault="00BF2591">
      <w:pPr>
        <w:ind w:left="100" w:right="118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Palacios, Agustina. El modelo social de discapacidad: orígenes, caracterización y plasmación en la Convención Internacional sobre los Derechos de las Personas con Discapacidad. 2008. Grupo</w:t>
      </w:r>
      <w:r>
        <w:rPr>
          <w:spacing w:val="40"/>
          <w:sz w:val="20"/>
        </w:rPr>
        <w:t xml:space="preserve"> </w:t>
      </w:r>
      <w:r>
        <w:rPr>
          <w:sz w:val="20"/>
        </w:rPr>
        <w:t>editorial CINCA, pp. 209-217.</w:t>
      </w:r>
    </w:p>
    <w:p w:rsidR="00883B83" w:rsidRDefault="00BF2591">
      <w:pPr>
        <w:ind w:left="10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Consejo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Derechos</w:t>
      </w:r>
      <w:r>
        <w:rPr>
          <w:spacing w:val="-6"/>
          <w:sz w:val="20"/>
        </w:rPr>
        <w:t xml:space="preserve"> </w:t>
      </w:r>
      <w:r>
        <w:rPr>
          <w:sz w:val="20"/>
        </w:rPr>
        <w:t>Humanos.</w:t>
      </w:r>
      <w:r>
        <w:rPr>
          <w:spacing w:val="-6"/>
          <w:sz w:val="20"/>
        </w:rPr>
        <w:t xml:space="preserve"> </w:t>
      </w:r>
      <w:r>
        <w:rPr>
          <w:sz w:val="20"/>
        </w:rPr>
        <w:t>Op.</w:t>
      </w:r>
      <w:r>
        <w:rPr>
          <w:spacing w:val="-5"/>
          <w:sz w:val="20"/>
        </w:rPr>
        <w:t xml:space="preserve"> </w:t>
      </w:r>
      <w:r>
        <w:rPr>
          <w:sz w:val="20"/>
        </w:rPr>
        <w:t>Cit,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10.</w:t>
      </w:r>
    </w:p>
    <w:p w:rsidR="00883B83" w:rsidRDefault="00883B83">
      <w:pPr>
        <w:jc w:val="both"/>
        <w:rPr>
          <w:sz w:val="20"/>
        </w:rPr>
        <w:sectPr w:rsidR="00883B83">
          <w:pgSz w:w="11920" w:h="16840"/>
          <w:pgMar w:top="1360" w:right="1340" w:bottom="1000" w:left="1340" w:header="0" w:footer="802" w:gutter="0"/>
          <w:cols w:space="720"/>
        </w:sectPr>
      </w:pPr>
    </w:p>
    <w:p w:rsidR="00883B83" w:rsidRDefault="00BF2591">
      <w:pPr>
        <w:pStyle w:val="Textoindependiente"/>
        <w:spacing w:before="80" w:line="276" w:lineRule="auto"/>
        <w:ind w:left="100" w:right="113"/>
        <w:jc w:val="both"/>
      </w:pPr>
      <w:r>
        <w:lastRenderedPageBreak/>
        <w:t>más relevante en esta materia. Esto, pues dicha convención viene a consolidar a nivel de instrumentos internacionales el enfoque de derechos humanos sobre la discapacidad y el impulso, iniciado en las décadas de 1970 y 1980 de</w:t>
      </w:r>
      <w:r>
        <w:t xml:space="preserve"> un modelo social por sobre uno rehabilitador</w:t>
      </w:r>
      <w:r>
        <w:rPr>
          <w:vertAlign w:val="superscript"/>
        </w:rPr>
        <w:t>13</w:t>
      </w:r>
      <w:r>
        <w:t xml:space="preserve"> estableciendo obligaciones para el Estado de Chile y mecanismos de cumplimiento de estos deberes.</w:t>
      </w:r>
    </w:p>
    <w:p w:rsidR="00883B83" w:rsidRDefault="00BF2591">
      <w:pPr>
        <w:pStyle w:val="Textoindependiente"/>
        <w:spacing w:before="200" w:line="276" w:lineRule="auto"/>
        <w:ind w:left="100" w:right="112"/>
        <w:jc w:val="both"/>
      </w:pPr>
      <w:r>
        <w:t>Dentro de los cambios que busca consolidar esta Convención, mediante un lenguaje de derechos, destacan aquello</w:t>
      </w:r>
      <w:r>
        <w:t>s relativos a las personas que presentan una</w:t>
      </w:r>
      <w:r>
        <w:rPr>
          <w:spacing w:val="-4"/>
        </w:rPr>
        <w:t xml:space="preserve"> </w:t>
      </w:r>
      <w:r>
        <w:t>discapacidad</w:t>
      </w:r>
      <w:r>
        <w:rPr>
          <w:spacing w:val="-4"/>
        </w:rPr>
        <w:t xml:space="preserve"> </w:t>
      </w:r>
      <w:r>
        <w:t>mental</w:t>
      </w:r>
      <w:r>
        <w:rPr>
          <w:spacing w:val="40"/>
        </w:rPr>
        <w:t xml:space="preserve"> </w:t>
      </w:r>
      <w:r>
        <w:t>o psicosocial, debido a que “por primera vez un instrumento jurídico no sólo reconoce,</w:t>
      </w:r>
      <w:r>
        <w:rPr>
          <w:spacing w:val="-3"/>
        </w:rPr>
        <w:t xml:space="preserve"> </w:t>
      </w:r>
      <w:r>
        <w:t>sino que distingue y diferencia de las personas que presentan otro tipo de discapacidad: física, sensorial, y en particular, intelectual”</w:t>
      </w:r>
      <w:r>
        <w:rPr>
          <w:vertAlign w:val="superscript"/>
        </w:rPr>
        <w:t>14</w:t>
      </w:r>
      <w:r>
        <w:t xml:space="preserve">. Lo que se traduce en la adopción de un modelo multinivel de igualdad y no discriminación para el tratamiento de la </w:t>
      </w:r>
      <w:r>
        <w:t>discapacidad</w:t>
      </w:r>
      <w:r>
        <w:rPr>
          <w:vertAlign w:val="superscript"/>
        </w:rPr>
        <w:t>15</w:t>
      </w:r>
      <w:r>
        <w:t xml:space="preserve"> y el fortalecimiento y adaptación del</w:t>
      </w:r>
      <w:r>
        <w:rPr>
          <w:spacing w:val="-4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“que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determinadas</w:t>
      </w:r>
      <w:r>
        <w:rPr>
          <w:spacing w:val="-4"/>
        </w:rPr>
        <w:t xml:space="preserve"> </w:t>
      </w:r>
      <w:r>
        <w:t>circunstancias requieren de un plus”</w:t>
      </w:r>
      <w:r>
        <w:rPr>
          <w:vertAlign w:val="superscript"/>
        </w:rPr>
        <w:t>16</w:t>
      </w:r>
      <w:r>
        <w:t>.</w:t>
      </w:r>
    </w:p>
    <w:p w:rsidR="00883B83" w:rsidRDefault="00BF2591">
      <w:pPr>
        <w:pStyle w:val="Textoindependiente"/>
        <w:spacing w:before="200" w:line="276" w:lineRule="auto"/>
        <w:ind w:left="100" w:right="112"/>
        <w:jc w:val="both"/>
      </w:pPr>
      <w:r>
        <w:t>El reconocimiento de la dignidad, la autonomía y la independencia de las personas con discapacidad y la defensa de la id</w:t>
      </w:r>
      <w:r>
        <w:t>ea de igualdad mediante los principios de no discriminación, participación e inclusión plenas y efectivas en la sociedad, respeto por la diferencia y la aceptación de las personas con discapacidad como parte de la diversidad y</w:t>
      </w:r>
      <w:r>
        <w:rPr>
          <w:spacing w:val="-3"/>
        </w:rPr>
        <w:t xml:space="preserve"> </w:t>
      </w:r>
      <w:r>
        <w:t>la condición humanas y la igu</w:t>
      </w:r>
      <w:r>
        <w:t>aldad de oportunidades</w:t>
      </w:r>
      <w:r>
        <w:rPr>
          <w:vertAlign w:val="superscript"/>
        </w:rPr>
        <w:t>17</w:t>
      </w:r>
      <w:r>
        <w:t>, permiten sustentar medidas en el derecho interno tales como las que propone el presente proyecto de ley.</w:t>
      </w:r>
    </w:p>
    <w:p w:rsidR="00883B83" w:rsidRDefault="00BF2591">
      <w:pPr>
        <w:pStyle w:val="Prrafodelista"/>
        <w:numPr>
          <w:ilvl w:val="0"/>
          <w:numId w:val="2"/>
        </w:numPr>
        <w:tabs>
          <w:tab w:val="left" w:pos="820"/>
        </w:tabs>
        <w:spacing w:before="200"/>
      </w:pPr>
      <w:r>
        <w:t>Idea</w:t>
      </w:r>
      <w:r>
        <w:rPr>
          <w:spacing w:val="-6"/>
        </w:rPr>
        <w:t xml:space="preserve"> </w:t>
      </w:r>
      <w:r>
        <w:rPr>
          <w:spacing w:val="-2"/>
        </w:rPr>
        <w:t>Matriz</w:t>
      </w:r>
    </w:p>
    <w:p w:rsidR="00883B83" w:rsidRDefault="00883B83">
      <w:pPr>
        <w:pStyle w:val="Textoindependiente"/>
        <w:spacing w:before="10"/>
        <w:rPr>
          <w:sz w:val="20"/>
        </w:rPr>
      </w:pPr>
    </w:p>
    <w:p w:rsidR="00883B83" w:rsidRDefault="00BF2591">
      <w:pPr>
        <w:pStyle w:val="Textoindependiente"/>
        <w:spacing w:line="276" w:lineRule="auto"/>
        <w:ind w:left="100" w:right="115"/>
        <w:jc w:val="both"/>
      </w:pPr>
      <w:r>
        <w:t>Modificar la ley N°19.284, que establece normas para la plena integración social de las personas con discapacidad, en su parte no derogada 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N°20.422,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en el párrafo II del capítulo I de su título IV denominado “De los perros de asi</w:t>
      </w:r>
      <w:r>
        <w:t>stencia para personas con discapacidad” la categoría de “perro de asistencia psiquiátrica”.</w:t>
      </w:r>
    </w:p>
    <w:p w:rsidR="00883B83" w:rsidRDefault="00BF2591">
      <w:pPr>
        <w:pStyle w:val="Prrafodelista"/>
        <w:numPr>
          <w:ilvl w:val="0"/>
          <w:numId w:val="2"/>
        </w:numPr>
        <w:tabs>
          <w:tab w:val="left" w:pos="820"/>
        </w:tabs>
        <w:spacing w:before="200"/>
      </w:pPr>
      <w:r>
        <w:rPr>
          <w:spacing w:val="-2"/>
        </w:rPr>
        <w:t>Contenido</w:t>
      </w:r>
    </w:p>
    <w:p w:rsidR="00883B83" w:rsidRDefault="00883B83">
      <w:pPr>
        <w:pStyle w:val="Textoindependiente"/>
        <w:spacing w:before="10"/>
        <w:rPr>
          <w:sz w:val="20"/>
        </w:rPr>
      </w:pPr>
    </w:p>
    <w:p w:rsidR="00883B83" w:rsidRDefault="00BF2591">
      <w:pPr>
        <w:pStyle w:val="Textoindependiente"/>
        <w:spacing w:line="276" w:lineRule="auto"/>
        <w:ind w:left="100" w:right="114"/>
        <w:jc w:val="both"/>
      </w:pPr>
      <w:r>
        <w:t>El presente proyecto de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reconocer</w:t>
      </w:r>
      <w:r>
        <w:rPr>
          <w:spacing w:val="-3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categoría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perros de asistencia psiquiátrica. En el entendido que el</w:t>
      </w:r>
      <w:r>
        <w:rPr>
          <w:spacing w:val="-4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m</w:t>
      </w:r>
      <w:r>
        <w:t>arco</w:t>
      </w:r>
      <w:r>
        <w:rPr>
          <w:spacing w:val="-4"/>
        </w:rPr>
        <w:t xml:space="preserve"> </w:t>
      </w:r>
      <w:r>
        <w:t>normativo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materia sólo contempla legalmente dentro de los tipos de perros de asistencia a los perros guías, de señal, de servicio y de otro tipo, que incluye reglamentariamente la categoría de perros de respuesta, mediante un artículo único</w:t>
      </w:r>
      <w:r>
        <w:t xml:space="preserve"> se modifica el artículo 25-C de ley N°19.284, con el objeto de incorporar a los perros de asistencia siquiátrica dentro de las categorías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perros de asistencia que contempla la ley.</w:t>
      </w:r>
    </w:p>
    <w:p w:rsidR="00883B83" w:rsidRDefault="00883B83">
      <w:pPr>
        <w:pStyle w:val="Textoindependiente"/>
        <w:rPr>
          <w:sz w:val="20"/>
        </w:rPr>
      </w:pPr>
    </w:p>
    <w:p w:rsidR="00883B83" w:rsidRDefault="00883B83">
      <w:pPr>
        <w:pStyle w:val="Textoindependiente"/>
        <w:rPr>
          <w:sz w:val="20"/>
        </w:rPr>
      </w:pPr>
    </w:p>
    <w:p w:rsidR="00883B83" w:rsidRDefault="00883B83">
      <w:pPr>
        <w:pStyle w:val="Textoindependiente"/>
        <w:rPr>
          <w:sz w:val="20"/>
        </w:rPr>
      </w:pPr>
    </w:p>
    <w:p w:rsidR="00883B83" w:rsidRDefault="00883B83">
      <w:pPr>
        <w:pStyle w:val="Textoindependiente"/>
        <w:rPr>
          <w:sz w:val="20"/>
        </w:rPr>
      </w:pPr>
    </w:p>
    <w:p w:rsidR="00883B83" w:rsidRDefault="00BF2591">
      <w:pPr>
        <w:pStyle w:val="Textoindependiente"/>
        <w:spacing w:before="2"/>
        <w:rPr>
          <w:sz w:val="21"/>
        </w:rPr>
      </w:pPr>
      <w:r>
        <w:pict>
          <v:shape id="docshape5" o:spid="_x0000_s1026" style="position:absolute;margin-left:1in;margin-top:13.25pt;width:2in;height:.1pt;z-index:-15727104;mso-wrap-distance-left:0;mso-wrap-distance-right:0;mso-position-horizontal-relative:page" coordorigin="1440,265" coordsize="2880,0" path="m1440,265r2880,e" filled="f">
            <v:path arrowok="t"/>
            <w10:wrap type="topAndBottom" anchorx="page"/>
          </v:shape>
        </w:pict>
      </w:r>
    </w:p>
    <w:p w:rsidR="00883B83" w:rsidRDefault="00BF2591">
      <w:pPr>
        <w:spacing w:before="101"/>
        <w:ind w:left="10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Palacios,</w:t>
      </w:r>
      <w:r>
        <w:rPr>
          <w:spacing w:val="-8"/>
          <w:sz w:val="20"/>
        </w:rPr>
        <w:t xml:space="preserve"> </w:t>
      </w:r>
      <w:r>
        <w:rPr>
          <w:sz w:val="20"/>
        </w:rPr>
        <w:t>Agustina.</w:t>
      </w:r>
      <w:r>
        <w:rPr>
          <w:spacing w:val="-8"/>
          <w:sz w:val="20"/>
        </w:rPr>
        <w:t xml:space="preserve"> </w:t>
      </w:r>
      <w:r>
        <w:rPr>
          <w:sz w:val="20"/>
        </w:rPr>
        <w:t>2008.</w:t>
      </w:r>
      <w:r>
        <w:rPr>
          <w:spacing w:val="-8"/>
          <w:sz w:val="20"/>
        </w:rPr>
        <w:t xml:space="preserve"> </w:t>
      </w:r>
      <w:r>
        <w:rPr>
          <w:sz w:val="20"/>
        </w:rPr>
        <w:t>pp.</w:t>
      </w:r>
      <w:r>
        <w:rPr>
          <w:spacing w:val="-9"/>
          <w:sz w:val="20"/>
        </w:rPr>
        <w:t xml:space="preserve"> </w:t>
      </w:r>
      <w:r>
        <w:rPr>
          <w:sz w:val="20"/>
        </w:rPr>
        <w:t>217-</w:t>
      </w:r>
      <w:r>
        <w:rPr>
          <w:spacing w:val="-4"/>
          <w:sz w:val="20"/>
        </w:rPr>
        <w:t>229.</w:t>
      </w:r>
    </w:p>
    <w:p w:rsidR="00883B83" w:rsidRDefault="00BF2591">
      <w:pPr>
        <w:ind w:left="100" w:right="11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Fernández, María Teresa. La discapacidad mental o psicosocial y la</w:t>
      </w:r>
      <w:r>
        <w:rPr>
          <w:spacing w:val="-3"/>
          <w:sz w:val="20"/>
        </w:rPr>
        <w:t xml:space="preserve"> </w:t>
      </w:r>
      <w:r>
        <w:rPr>
          <w:sz w:val="20"/>
        </w:rPr>
        <w:t>Convención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Derechos de las Personas con Discapacidad. En Revista de derechos humanos - Dfensor. Número 11 -</w:t>
      </w:r>
      <w:r>
        <w:rPr>
          <w:spacing w:val="40"/>
          <w:sz w:val="20"/>
        </w:rPr>
        <w:t xml:space="preserve"> </w:t>
      </w:r>
      <w:r>
        <w:rPr>
          <w:sz w:val="20"/>
        </w:rPr>
        <w:t>Noviembre 2010, p. 10.</w:t>
      </w:r>
    </w:p>
    <w:p w:rsidR="00883B83" w:rsidRDefault="00BF2591">
      <w:pPr>
        <w:ind w:left="100" w:right="114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 Dichos niveles dicen relación con la protecc</w:t>
      </w:r>
      <w:r>
        <w:rPr>
          <w:sz w:val="20"/>
        </w:rPr>
        <w:t>ión contra abusos,</w:t>
      </w:r>
      <w:r>
        <w:rPr>
          <w:spacing w:val="-3"/>
          <w:sz w:val="20"/>
        </w:rPr>
        <w:t xml:space="preserve"> </w:t>
      </w:r>
      <w:r>
        <w:rPr>
          <w:sz w:val="20"/>
        </w:rPr>
        <w:t>violencia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explotación</w:t>
      </w:r>
      <w:r>
        <w:rPr>
          <w:spacing w:val="-3"/>
          <w:sz w:val="20"/>
        </w:rPr>
        <w:t xml:space="preserve"> </w:t>
      </w:r>
      <w:r>
        <w:rPr>
          <w:sz w:val="20"/>
        </w:rPr>
        <w:t>basadas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 condición de discapacidad o potenciadas por la suma de discapacidad y otros factores de vulnerabilidad,</w:t>
      </w:r>
      <w:r>
        <w:rPr>
          <w:spacing w:val="40"/>
          <w:sz w:val="20"/>
        </w:rPr>
        <w:t xml:space="preserve"> </w:t>
      </w:r>
      <w:r>
        <w:rPr>
          <w:sz w:val="20"/>
        </w:rPr>
        <w:t>el aseguramiento de la igualdad de</w:t>
      </w:r>
      <w:r>
        <w:rPr>
          <w:spacing w:val="-3"/>
          <w:sz w:val="20"/>
        </w:rPr>
        <w:t xml:space="preserve"> </w:t>
      </w:r>
      <w:r>
        <w:rPr>
          <w:sz w:val="20"/>
        </w:rPr>
        <w:t>trato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igualdad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oportunidades.</w:t>
      </w:r>
      <w:r>
        <w:rPr>
          <w:spacing w:val="-3"/>
          <w:sz w:val="20"/>
        </w:rPr>
        <w:t xml:space="preserve"> </w:t>
      </w:r>
      <w:r>
        <w:rPr>
          <w:sz w:val="20"/>
        </w:rPr>
        <w:t>Siguiendo</w:t>
      </w:r>
      <w:r>
        <w:rPr>
          <w:spacing w:val="-3"/>
          <w:sz w:val="20"/>
        </w:rPr>
        <w:t xml:space="preserve"> </w:t>
      </w:r>
      <w:r>
        <w:rPr>
          <w:sz w:val="20"/>
        </w:rPr>
        <w:t>lo planteado</w:t>
      </w:r>
      <w:r>
        <w:rPr>
          <w:sz w:val="20"/>
        </w:rPr>
        <w:t xml:space="preserve"> por Christian Courtis, Fernández, María Teresa. 2010, p. 13.</w:t>
      </w:r>
    </w:p>
    <w:p w:rsidR="00883B83" w:rsidRDefault="00BF2591">
      <w:pPr>
        <w:ind w:left="10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8"/>
          <w:sz w:val="20"/>
        </w:rPr>
        <w:t xml:space="preserve"> </w:t>
      </w:r>
      <w:r>
        <w:rPr>
          <w:sz w:val="20"/>
        </w:rPr>
        <w:t>Palacios,</w:t>
      </w:r>
      <w:r>
        <w:rPr>
          <w:spacing w:val="-7"/>
          <w:sz w:val="20"/>
        </w:rPr>
        <w:t xml:space="preserve"> </w:t>
      </w:r>
      <w:r>
        <w:rPr>
          <w:sz w:val="20"/>
        </w:rPr>
        <w:t>Agustina.</w:t>
      </w:r>
      <w:r>
        <w:rPr>
          <w:spacing w:val="-7"/>
          <w:sz w:val="20"/>
        </w:rPr>
        <w:t xml:space="preserve"> </w:t>
      </w:r>
      <w:r>
        <w:rPr>
          <w:sz w:val="20"/>
        </w:rPr>
        <w:t>2008.</w:t>
      </w:r>
      <w:r>
        <w:rPr>
          <w:spacing w:val="-8"/>
          <w:sz w:val="20"/>
        </w:rPr>
        <w:t xml:space="preserve"> </w:t>
      </w:r>
      <w:r>
        <w:rPr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269.</w:t>
      </w:r>
    </w:p>
    <w:p w:rsidR="00883B83" w:rsidRDefault="00BF2591">
      <w:pPr>
        <w:ind w:left="100"/>
        <w:jc w:val="both"/>
        <w:rPr>
          <w:sz w:val="20"/>
        </w:rPr>
      </w:pPr>
      <w:r>
        <w:rPr>
          <w:rFonts w:ascii="Arial" w:hAnsi="Arial"/>
          <w:sz w:val="20"/>
          <w:vertAlign w:val="superscript"/>
        </w:rPr>
        <w:t>17</w:t>
      </w:r>
      <w:r>
        <w:rPr>
          <w:rFonts w:ascii="Arial" w:hAnsi="Arial"/>
          <w:spacing w:val="-8"/>
          <w:sz w:val="20"/>
        </w:rPr>
        <w:t xml:space="preserve"> </w:t>
      </w:r>
      <w:r>
        <w:rPr>
          <w:sz w:val="20"/>
        </w:rPr>
        <w:t>Íbidem.</w:t>
      </w:r>
      <w:r>
        <w:rPr>
          <w:spacing w:val="-7"/>
          <w:sz w:val="20"/>
        </w:rPr>
        <w:t xml:space="preserve"> </w:t>
      </w:r>
      <w:r>
        <w:rPr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275.</w:t>
      </w:r>
    </w:p>
    <w:p w:rsidR="00883B83" w:rsidRDefault="00883B83">
      <w:pPr>
        <w:jc w:val="both"/>
        <w:rPr>
          <w:sz w:val="20"/>
        </w:rPr>
        <w:sectPr w:rsidR="00883B83">
          <w:pgSz w:w="11920" w:h="16840"/>
          <w:pgMar w:top="1360" w:right="1340" w:bottom="1000" w:left="1340" w:header="0" w:footer="802" w:gutter="0"/>
          <w:cols w:space="720"/>
        </w:sectPr>
      </w:pPr>
    </w:p>
    <w:p w:rsidR="00883B83" w:rsidRDefault="00BF2591">
      <w:pPr>
        <w:pStyle w:val="Textoindependiente"/>
        <w:spacing w:before="80"/>
        <w:ind w:left="3536" w:right="3548"/>
        <w:jc w:val="center"/>
      </w:pPr>
      <w:r>
        <w:lastRenderedPageBreak/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BF2591">
      <w:pPr>
        <w:pStyle w:val="Textoindependiente"/>
        <w:spacing w:before="179"/>
        <w:ind w:left="100"/>
      </w:pPr>
      <w:r>
        <w:t>Artículo</w:t>
      </w:r>
      <w:r>
        <w:rPr>
          <w:spacing w:val="-9"/>
        </w:rPr>
        <w:t xml:space="preserve"> </w:t>
      </w:r>
      <w:r>
        <w:t>único:</w:t>
      </w:r>
      <w:r>
        <w:rPr>
          <w:spacing w:val="-7"/>
        </w:rPr>
        <w:t xml:space="preserve"> </w:t>
      </w:r>
      <w:r>
        <w:t>Introdúzcanse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modificaciones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rPr>
          <w:spacing w:val="-2"/>
        </w:rPr>
        <w:t>N°19.284:</w:t>
      </w:r>
    </w:p>
    <w:p w:rsidR="00883B83" w:rsidRDefault="00883B83">
      <w:pPr>
        <w:pStyle w:val="Textoindependiente"/>
        <w:spacing w:before="10"/>
        <w:rPr>
          <w:sz w:val="20"/>
        </w:rPr>
      </w:pPr>
    </w:p>
    <w:p w:rsidR="00883B83" w:rsidRDefault="00BF2591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1" w:line="276" w:lineRule="auto"/>
        <w:ind w:right="124"/>
      </w:pPr>
      <w:r>
        <w:t>Suprímase</w:t>
      </w:r>
      <w:r>
        <w:rPr>
          <w:spacing w:val="26"/>
        </w:rPr>
        <w:t xml:space="preserve"> </w:t>
      </w:r>
      <w:r>
        <w:t>en el inciso primero del artículo 25-A la siguiente frase: “, no obstante lo señalado en el artículo 6°”.</w:t>
      </w:r>
    </w:p>
    <w:p w:rsidR="00883B83" w:rsidRDefault="00BF2591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24"/>
      </w:pPr>
      <w:r>
        <w:t>Intercálese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25-C,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frase</w:t>
      </w:r>
      <w:r>
        <w:rPr>
          <w:spacing w:val="-3"/>
        </w:rPr>
        <w:t xml:space="preserve"> </w:t>
      </w:r>
      <w:r>
        <w:t>“de</w:t>
      </w:r>
      <w:r>
        <w:rPr>
          <w:spacing w:val="-3"/>
        </w:rPr>
        <w:t xml:space="preserve"> </w:t>
      </w:r>
      <w:r>
        <w:t>servicio”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frase “o de otro tipo” la expresión “, de asistencia psiquiátrica”.</w:t>
      </w: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883B83">
      <w:pPr>
        <w:pStyle w:val="Textoindependiente"/>
        <w:rPr>
          <w:sz w:val="24"/>
        </w:rPr>
      </w:pPr>
    </w:p>
    <w:p w:rsidR="00883B83" w:rsidRDefault="00BF2591">
      <w:pPr>
        <w:pStyle w:val="Textoindependiente"/>
        <w:spacing w:before="183" w:line="468" w:lineRule="auto"/>
        <w:ind w:left="3536" w:right="3549"/>
        <w:jc w:val="center"/>
      </w:pPr>
      <w:r>
        <w:t>Lorena</w:t>
      </w:r>
      <w:r>
        <w:rPr>
          <w:spacing w:val="-14"/>
        </w:rPr>
        <w:t xml:space="preserve"> </w:t>
      </w:r>
      <w:r>
        <w:t>Fries</w:t>
      </w:r>
      <w:r>
        <w:rPr>
          <w:spacing w:val="-13"/>
        </w:rPr>
        <w:t xml:space="preserve"> </w:t>
      </w:r>
      <w:r>
        <w:t>Monleón Diputada distrito 10</w:t>
      </w:r>
    </w:p>
    <w:sectPr w:rsidR="00883B83">
      <w:pgSz w:w="11920" w:h="16840"/>
      <w:pgMar w:top="1360" w:right="1340" w:bottom="1000" w:left="134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91" w:rsidRDefault="00BF2591">
      <w:r>
        <w:separator/>
      </w:r>
    </w:p>
  </w:endnote>
  <w:endnote w:type="continuationSeparator" w:id="0">
    <w:p w:rsidR="00BF2591" w:rsidRDefault="00B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83" w:rsidRDefault="00BF259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4.15pt;margin-top:790.9pt;width:13.15pt;height:14.5pt;z-index:-251658752;mso-position-horizontal-relative:page;mso-position-vertical-relative:page" filled="f" stroked="f">
          <v:textbox inset="0,0,0,0">
            <w:txbxContent>
              <w:p w:rsidR="00883B83" w:rsidRDefault="00BF2591">
                <w:pPr>
                  <w:pStyle w:val="Textoindependiente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395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91" w:rsidRDefault="00BF2591">
      <w:r>
        <w:separator/>
      </w:r>
    </w:p>
  </w:footnote>
  <w:footnote w:type="continuationSeparator" w:id="0">
    <w:p w:rsidR="00BF2591" w:rsidRDefault="00BF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23065"/>
    <w:multiLevelType w:val="hybridMultilevel"/>
    <w:tmpl w:val="A0E04422"/>
    <w:lvl w:ilvl="0" w:tplc="616E2C30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510A710">
      <w:numFmt w:val="bullet"/>
      <w:lvlText w:val="-"/>
      <w:lvlJc w:val="left"/>
      <w:pPr>
        <w:ind w:left="8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7B5C05B6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63D8CE64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8542BE0E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AECA1548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F2007ACC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7CDC9EDA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7D22F736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D627600"/>
    <w:multiLevelType w:val="hybridMultilevel"/>
    <w:tmpl w:val="7FF41166"/>
    <w:lvl w:ilvl="0" w:tplc="EB5E2148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E28C0CA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ABB82A30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F440D85E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05A2513C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D5687AA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4E9E60AA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EF28887A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21C4BB94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3B83"/>
    <w:rsid w:val="00883B83"/>
    <w:rsid w:val="0097395A"/>
    <w:rsid w:val="00B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DBE7D724-C953-4FBA-A9EA-0CE8DE4C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00"/>
      <w:ind w:left="500" w:hanging="22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serviceanimals.org/blog/psychiatric-service-dog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kc.org/expert-advice/news/what-its-really-like-to-have-a-service-dog-national-service-dog-mon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c.org/expert-advice/news/what-its-really-like-to-have-a-service-dog-national-service-dog-mon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2153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perros de asistencia siquiátrica 1.0</dc:title>
  <dc:creator>Leonardo Lueiza Ureta</dc:creator>
  <cp:lastModifiedBy>Leonardo Lueiza Ureta</cp:lastModifiedBy>
  <cp:revision>1</cp:revision>
  <dcterms:created xsi:type="dcterms:W3CDTF">2022-12-26T13:02:00Z</dcterms:created>
  <dcterms:modified xsi:type="dcterms:W3CDTF">2023-01-16T22:45:00Z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