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EE" w:rsidRDefault="00502461">
      <w:pPr>
        <w:pStyle w:val="Textoindependiente"/>
        <w:ind w:left="372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019175" cy="1009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5EE" w:rsidRDefault="009855EE">
      <w:pPr>
        <w:pStyle w:val="Textoindependiente"/>
        <w:spacing w:before="3"/>
        <w:rPr>
          <w:rFonts w:ascii="Times New Roman"/>
          <w:sz w:val="8"/>
        </w:rPr>
      </w:pPr>
    </w:p>
    <w:p w:rsidR="009855EE" w:rsidRDefault="00502461">
      <w:pPr>
        <w:pStyle w:val="Ttulo1"/>
        <w:spacing w:line="256" w:lineRule="auto"/>
        <w:ind w:left="568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ESTABLECE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OBLIGACIÓN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ORGANIZACIONES</w:t>
      </w:r>
      <w:r>
        <w:rPr>
          <w:spacing w:val="-4"/>
        </w:rPr>
        <w:t xml:space="preserve"> </w:t>
      </w:r>
      <w:r>
        <w:t xml:space="preserve">NO GUBERNAMENTALES DE TRANSPARENTAR SUS INGRESOS Y MECANISMO DE </w:t>
      </w:r>
      <w:r>
        <w:rPr>
          <w:spacing w:val="-2"/>
        </w:rPr>
        <w:t>FINANCIAMIENTO.</w:t>
      </w:r>
    </w:p>
    <w:p w:rsidR="009855EE" w:rsidRDefault="00502461">
      <w:pPr>
        <w:spacing w:before="168"/>
        <w:ind w:left="109"/>
        <w:rPr>
          <w:b/>
          <w:sz w:val="24"/>
        </w:rPr>
      </w:pPr>
      <w:r>
        <w:rPr>
          <w:b/>
          <w:spacing w:val="-2"/>
          <w:sz w:val="24"/>
        </w:rPr>
        <w:t>CONSIDERANDO:</w:t>
      </w:r>
    </w:p>
    <w:p w:rsidR="009855EE" w:rsidRDefault="00502461">
      <w:pPr>
        <w:pStyle w:val="Prrafodelista"/>
        <w:numPr>
          <w:ilvl w:val="0"/>
          <w:numId w:val="1"/>
        </w:numPr>
        <w:tabs>
          <w:tab w:val="left" w:pos="830"/>
        </w:tabs>
        <w:spacing w:before="182" w:line="259" w:lineRule="auto"/>
        <w:jc w:val="both"/>
        <w:rPr>
          <w:sz w:val="24"/>
        </w:rPr>
      </w:pPr>
      <w:r>
        <w:rPr>
          <w:sz w:val="24"/>
        </w:rPr>
        <w:t>Dentro del abanico de entidades existentes que contribuyen con los asuntos y debates públicos y sociales, se encuentran las organizaciones no gubernamentales o bien conocidas como ONG´S, asociadas normalmente al Tercer Sector, es decir, todo aquello que no</w:t>
      </w:r>
      <w:r>
        <w:rPr>
          <w:sz w:val="24"/>
        </w:rPr>
        <w:t xml:space="preserve"> es estatal ni empresarial. Éstas se caracterizan por ser instituciones jurídicas de derecho privado sin fines de lucro dirigidas hacia el logro de objetivos sociales o de interés público, a través de esfuerzos cooperativos o a través de contrato de servic</w:t>
      </w:r>
      <w:r>
        <w:rPr>
          <w:sz w:val="24"/>
        </w:rPr>
        <w:t>ios, pudiendo ser nacionales o internacionales</w:t>
      </w:r>
      <w:r>
        <w:rPr>
          <w:position w:val="8"/>
          <w:sz w:val="16"/>
        </w:rPr>
        <w:t>1</w:t>
      </w:r>
      <w:r>
        <w:rPr>
          <w:sz w:val="24"/>
        </w:rPr>
        <w:t>.</w:t>
      </w:r>
    </w:p>
    <w:p w:rsidR="009855EE" w:rsidRDefault="009855EE">
      <w:pPr>
        <w:pStyle w:val="Textoindependiente"/>
        <w:spacing w:before="6"/>
        <w:rPr>
          <w:sz w:val="25"/>
        </w:rPr>
      </w:pPr>
    </w:p>
    <w:p w:rsidR="009855EE" w:rsidRDefault="00502461">
      <w:pPr>
        <w:pStyle w:val="Prrafodelista"/>
        <w:numPr>
          <w:ilvl w:val="0"/>
          <w:numId w:val="1"/>
        </w:numPr>
        <w:tabs>
          <w:tab w:val="left" w:pos="830"/>
        </w:tabs>
        <w:spacing w:line="259" w:lineRule="auto"/>
        <w:jc w:val="both"/>
        <w:rPr>
          <w:sz w:val="24"/>
        </w:rPr>
      </w:pPr>
      <w:r>
        <w:rPr>
          <w:sz w:val="24"/>
        </w:rPr>
        <w:t xml:space="preserve">En este contexto, cabe señalar que no son pocas las </w:t>
      </w:r>
      <w:proofErr w:type="spellStart"/>
      <w:r>
        <w:rPr>
          <w:sz w:val="24"/>
        </w:rPr>
        <w:t>ONG´s</w:t>
      </w:r>
      <w:proofErr w:type="spellEnd"/>
      <w:r>
        <w:rPr>
          <w:sz w:val="24"/>
        </w:rPr>
        <w:t xml:space="preserve"> existentes en Chile que ejercen sus actividades para representación, defensa y promoción de sus intereses y fines. En efecto, dichas entidades parti</w:t>
      </w:r>
      <w:r>
        <w:rPr>
          <w:sz w:val="24"/>
        </w:rPr>
        <w:t xml:space="preserve">cipan habitualmente en diálogos con autoridades y funcionarios públicos para lograr incidencia en las decisiones que les corresponde adoptar en el ejercicio de sus funciones y competencias. Sin ir más lejos, en reiteradas ocasiones estas instituciones han </w:t>
      </w:r>
      <w:r>
        <w:rPr>
          <w:sz w:val="24"/>
        </w:rPr>
        <w:t>sido convocadas a participar en las discusiones legislativas en este Congreso Nacional.</w:t>
      </w:r>
    </w:p>
    <w:p w:rsidR="009855EE" w:rsidRDefault="009855EE">
      <w:pPr>
        <w:pStyle w:val="Textoindependiente"/>
        <w:rPr>
          <w:sz w:val="28"/>
        </w:rPr>
      </w:pPr>
    </w:p>
    <w:p w:rsidR="009855EE" w:rsidRDefault="009855EE">
      <w:pPr>
        <w:pStyle w:val="Textoindependiente"/>
        <w:spacing w:before="9"/>
        <w:rPr>
          <w:sz w:val="23"/>
        </w:rPr>
      </w:pPr>
    </w:p>
    <w:p w:rsidR="009855EE" w:rsidRDefault="00502461">
      <w:pPr>
        <w:pStyle w:val="Prrafodelista"/>
        <w:numPr>
          <w:ilvl w:val="0"/>
          <w:numId w:val="1"/>
        </w:numPr>
        <w:tabs>
          <w:tab w:val="left" w:pos="830"/>
        </w:tabs>
        <w:spacing w:line="259" w:lineRule="auto"/>
        <w:jc w:val="both"/>
        <w:rPr>
          <w:sz w:val="24"/>
        </w:rPr>
      </w:pPr>
      <w:r>
        <w:pict>
          <v:shape id="docshape1" o:spid="_x0000_s1029" style="position:absolute;left:0;text-align:left;margin-left:71.8pt;margin-top:173.65pt;width:1.45pt;height:27.6pt;z-index:15729152;mso-position-horizontal-relative:page" coordorigin="1436,3473" coordsize="29,552" path="m1465,3473r-29,l1436,3761r,264l1465,4025r,-264l1465,3473xe" fillcolor="#5b9bd5" stroked="f">
            <v:path arrowok="t"/>
            <w10:wrap anchorx="page"/>
          </v:shape>
        </w:pict>
      </w:r>
      <w:r>
        <w:rPr>
          <w:sz w:val="24"/>
        </w:rPr>
        <w:t xml:space="preserve">Sin embargo, atendida la continua necesidad de más transparencia, publicidad, probidad y una mejor regulación en las relaciones entre entidades privadas y públicas, </w:t>
      </w:r>
      <w:r>
        <w:rPr>
          <w:sz w:val="24"/>
        </w:rPr>
        <w:t xml:space="preserve">es menester preguntarse qué intereses, personas, poderes y recursos se encuentran detrás de estas instituciones. Concretamente, es indispensable para la probidad que la relación entre las entidades privadas que se vinculan a los </w:t>
      </w:r>
      <w:r>
        <w:rPr>
          <w:spacing w:val="-2"/>
          <w:sz w:val="24"/>
        </w:rPr>
        <w:t>organismos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públicos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2"/>
          <w:sz w:val="24"/>
        </w:rPr>
        <w:t>cidir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toma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decisiones,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más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transparentes </w:t>
      </w:r>
      <w:r>
        <w:rPr>
          <w:sz w:val="24"/>
        </w:rPr>
        <w:t>y públicas posibles.</w:t>
      </w:r>
    </w:p>
    <w:p w:rsidR="009855EE" w:rsidRDefault="009855EE">
      <w:pPr>
        <w:pStyle w:val="Textoindependiente"/>
        <w:rPr>
          <w:sz w:val="20"/>
        </w:rPr>
      </w:pPr>
    </w:p>
    <w:p w:rsidR="009855EE" w:rsidRDefault="009855EE">
      <w:pPr>
        <w:pStyle w:val="Textoindependiente"/>
        <w:rPr>
          <w:sz w:val="20"/>
        </w:rPr>
      </w:pPr>
    </w:p>
    <w:p w:rsidR="009855EE" w:rsidRDefault="009855EE">
      <w:pPr>
        <w:pStyle w:val="Textoindependiente"/>
        <w:rPr>
          <w:sz w:val="20"/>
        </w:rPr>
      </w:pPr>
    </w:p>
    <w:p w:rsidR="009855EE" w:rsidRDefault="009855EE">
      <w:pPr>
        <w:pStyle w:val="Textoindependiente"/>
        <w:rPr>
          <w:sz w:val="20"/>
        </w:rPr>
      </w:pPr>
    </w:p>
    <w:p w:rsidR="009855EE" w:rsidRDefault="00502461">
      <w:pPr>
        <w:pStyle w:val="Textoindependiente"/>
        <w:spacing w:before="8"/>
        <w:rPr>
          <w:sz w:val="11"/>
        </w:rPr>
      </w:pPr>
      <w:r>
        <w:pict>
          <v:rect id="docshape2" o:spid="_x0000_s1028" style="position:absolute;margin-left:85.5pt;margin-top:8.3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9855EE" w:rsidRDefault="00502461">
      <w:pPr>
        <w:spacing w:before="121" w:line="264" w:lineRule="auto"/>
        <w:ind w:left="109" w:right="1475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Parodi Luna, M.B. (2010). Creación de marco legal propio para </w:t>
      </w:r>
      <w:proofErr w:type="spellStart"/>
      <w:r>
        <w:rPr>
          <w:sz w:val="20"/>
        </w:rPr>
        <w:t>ONG´s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https://</w:t>
      </w:r>
      <w:hyperlink r:id="rId6">
        <w:r>
          <w:rPr>
            <w:spacing w:val="-2"/>
            <w:sz w:val="20"/>
          </w:rPr>
          <w:t>www.icnl.org/resources/research/ijnl/creacion-de-un-marco-legal-propio-para-ongs</w:t>
        </w:r>
      </w:hyperlink>
    </w:p>
    <w:p w:rsidR="009855EE" w:rsidRDefault="009855EE">
      <w:pPr>
        <w:spacing w:line="264" w:lineRule="auto"/>
        <w:rPr>
          <w:sz w:val="20"/>
        </w:rPr>
        <w:sectPr w:rsidR="009855EE">
          <w:type w:val="continuous"/>
          <w:pgSz w:w="12240" w:h="15840"/>
          <w:pgMar w:top="1420" w:right="1580" w:bottom="280" w:left="1600" w:header="720" w:footer="720" w:gutter="0"/>
          <w:cols w:space="720"/>
        </w:sectPr>
      </w:pPr>
    </w:p>
    <w:p w:rsidR="009855EE" w:rsidRDefault="00502461">
      <w:pPr>
        <w:pStyle w:val="Prrafodelista"/>
        <w:numPr>
          <w:ilvl w:val="0"/>
          <w:numId w:val="1"/>
        </w:numPr>
        <w:tabs>
          <w:tab w:val="left" w:pos="830"/>
        </w:tabs>
        <w:spacing w:before="90" w:line="259" w:lineRule="auto"/>
        <w:jc w:val="both"/>
        <w:rPr>
          <w:sz w:val="24"/>
        </w:rPr>
      </w:pPr>
      <w:r>
        <w:rPr>
          <w:sz w:val="24"/>
        </w:rPr>
        <w:lastRenderedPageBreak/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este</w:t>
      </w:r>
      <w:r>
        <w:rPr>
          <w:spacing w:val="-14"/>
          <w:sz w:val="24"/>
        </w:rPr>
        <w:t xml:space="preserve"> </w:t>
      </w:r>
      <w:r>
        <w:rPr>
          <w:sz w:val="24"/>
        </w:rPr>
        <w:t>sentido,</w:t>
      </w:r>
      <w:r>
        <w:rPr>
          <w:spacing w:val="-13"/>
          <w:sz w:val="24"/>
        </w:rPr>
        <w:t xml:space="preserve"> </w:t>
      </w:r>
      <w:r>
        <w:rPr>
          <w:sz w:val="24"/>
        </w:rPr>
        <w:t>resulta</w:t>
      </w:r>
      <w:r>
        <w:rPr>
          <w:spacing w:val="-14"/>
          <w:sz w:val="24"/>
        </w:rPr>
        <w:t xml:space="preserve"> </w:t>
      </w:r>
      <w:r>
        <w:rPr>
          <w:sz w:val="24"/>
        </w:rPr>
        <w:t>imprescindible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ciudadanía,</w:t>
      </w:r>
      <w:r>
        <w:rPr>
          <w:spacing w:val="-14"/>
          <w:sz w:val="24"/>
        </w:rPr>
        <w:t xml:space="preserve"> </w:t>
      </w:r>
      <w:r>
        <w:rPr>
          <w:sz w:val="24"/>
        </w:rPr>
        <w:t>autoridades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funcionarios conozcan las forma y procedencia del financiamiento de las organizaciones no gubernamentales que operan en nuestro país para efectos de prevenir y fiscalizar de mejor manera eventuales situaciones irregulares, como, por ejemplo,</w:t>
      </w:r>
      <w:r>
        <w:rPr>
          <w:sz w:val="24"/>
        </w:rPr>
        <w:t xml:space="preserve"> conflictos de interés, encubrimiento de actividades ilícitas, tráfico de influencia, entre otras.</w:t>
      </w:r>
    </w:p>
    <w:p w:rsidR="009855EE" w:rsidRDefault="009855EE">
      <w:pPr>
        <w:pStyle w:val="Textoindependiente"/>
        <w:rPr>
          <w:sz w:val="20"/>
        </w:rPr>
      </w:pPr>
    </w:p>
    <w:p w:rsidR="009855EE" w:rsidRDefault="00502461">
      <w:pPr>
        <w:pStyle w:val="Ttulo1"/>
        <w:spacing w:before="233"/>
        <w:ind w:left="567"/>
      </w:pP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5"/>
        </w:rPr>
        <w:t>LEY</w:t>
      </w:r>
    </w:p>
    <w:p w:rsidR="009855EE" w:rsidRDefault="00502461">
      <w:pPr>
        <w:spacing w:before="182"/>
        <w:ind w:left="109"/>
        <w:rPr>
          <w:b/>
          <w:sz w:val="24"/>
        </w:rPr>
      </w:pPr>
      <w:r>
        <w:rPr>
          <w:b/>
          <w:sz w:val="24"/>
        </w:rPr>
        <w:t xml:space="preserve">Artículo </w:t>
      </w:r>
      <w:r>
        <w:rPr>
          <w:b/>
          <w:spacing w:val="-5"/>
          <w:sz w:val="24"/>
        </w:rPr>
        <w:t>1°:</w:t>
      </w:r>
    </w:p>
    <w:p w:rsidR="009855EE" w:rsidRDefault="00502461">
      <w:pPr>
        <w:pStyle w:val="Textoindependiente"/>
        <w:spacing w:before="182" w:line="259" w:lineRule="auto"/>
        <w:ind w:left="109" w:right="109"/>
        <w:jc w:val="both"/>
      </w:pPr>
      <w:r>
        <w:t>Incorpórese un nuevo inciso segundo al actual artículo 10 de la Ley N°20.500, pasando el actual inciso segundo a ser tercero, d</w:t>
      </w:r>
      <w:r>
        <w:t>el siguiente tenor:</w:t>
      </w:r>
    </w:p>
    <w:p w:rsidR="009855EE" w:rsidRDefault="00502461">
      <w:pPr>
        <w:pStyle w:val="Textoindependiente"/>
        <w:spacing w:before="159" w:line="259" w:lineRule="auto"/>
        <w:ind w:left="109" w:right="109"/>
        <w:jc w:val="both"/>
      </w:pPr>
      <w:r>
        <w:t>“Asimismo, las organizaciones no gubernamentales deberán inscribir anualmente en el Registro de ingresos y mecanismos de financiamiento, incluyendo a lo menos los montos, procedencia u origen y, si corresponde, la identificación del o l</w:t>
      </w:r>
      <w:r>
        <w:t>os aportantes. Para estos efectos, el reglamento determinará las características que debe reunir una organización para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considerada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gubernamental,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oportunidad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dar cumplimiento a la obligación”.</w:t>
      </w:r>
    </w:p>
    <w:p w:rsidR="009855EE" w:rsidRDefault="009855EE">
      <w:pPr>
        <w:pStyle w:val="Textoindependiente"/>
        <w:rPr>
          <w:sz w:val="28"/>
        </w:rPr>
      </w:pPr>
    </w:p>
    <w:p w:rsidR="009855EE" w:rsidRDefault="009855EE">
      <w:pPr>
        <w:pStyle w:val="Textoindependiente"/>
        <w:spacing w:before="1"/>
      </w:pPr>
    </w:p>
    <w:p w:rsidR="009855EE" w:rsidRDefault="00502461">
      <w:pPr>
        <w:ind w:left="109"/>
        <w:jc w:val="both"/>
        <w:rPr>
          <w:b/>
          <w:sz w:val="24"/>
        </w:rPr>
      </w:pPr>
      <w:r>
        <w:rPr>
          <w:b/>
          <w:sz w:val="24"/>
        </w:rPr>
        <w:t xml:space="preserve">Artículo </w:t>
      </w:r>
      <w:r>
        <w:rPr>
          <w:b/>
          <w:spacing w:val="-5"/>
          <w:sz w:val="24"/>
        </w:rPr>
        <w:t>2:</w:t>
      </w:r>
    </w:p>
    <w:p w:rsidR="009855EE" w:rsidRDefault="00502461">
      <w:pPr>
        <w:pStyle w:val="Textoindependiente"/>
        <w:spacing w:before="183"/>
        <w:ind w:left="109"/>
        <w:jc w:val="both"/>
      </w:pPr>
      <w:r>
        <w:t>Agréguese</w:t>
      </w:r>
      <w:r>
        <w:rPr>
          <w:spacing w:val="-1"/>
        </w:rPr>
        <w:t xml:space="preserve"> </w:t>
      </w:r>
      <w:r>
        <w:t xml:space="preserve">un numeral quinto al inciso primero del artículo 12 de la Ley </w:t>
      </w:r>
      <w:r>
        <w:rPr>
          <w:spacing w:val="-2"/>
        </w:rPr>
        <w:t>20.730:</w:t>
      </w:r>
    </w:p>
    <w:p w:rsidR="009855EE" w:rsidRDefault="00502461">
      <w:pPr>
        <w:pStyle w:val="Textoindependiente"/>
        <w:spacing w:before="182" w:line="259" w:lineRule="auto"/>
        <w:ind w:left="109" w:right="110"/>
        <w:jc w:val="both"/>
      </w:pPr>
      <w:r>
        <w:t>“Proporcionar,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jurídicas</w:t>
      </w:r>
      <w:r>
        <w:rPr>
          <w:spacing w:val="-9"/>
        </w:rPr>
        <w:t xml:space="preserve"> </w:t>
      </w:r>
      <w:r>
        <w:t>sujetas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obligación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inciso</w:t>
      </w:r>
      <w:r>
        <w:rPr>
          <w:spacing w:val="-9"/>
        </w:rPr>
        <w:t xml:space="preserve"> </w:t>
      </w:r>
      <w:r>
        <w:t>segundo de la Ley 20.500, copia de la información ingresada al Registro Nacional de Personas Juríd</w:t>
      </w:r>
      <w:r>
        <w:t>icas sin Fines de Lucro relativa a sus ingresos y financiamiento. En caso que esta información no se proporcione, no esté actualizada o no haya sido registrada, la audiencia deberá ser denegada”.</w:t>
      </w:r>
    </w:p>
    <w:p w:rsidR="009855EE" w:rsidRDefault="009855EE">
      <w:pPr>
        <w:pStyle w:val="Textoindependiente"/>
        <w:rPr>
          <w:sz w:val="20"/>
        </w:rPr>
      </w:pPr>
    </w:p>
    <w:p w:rsidR="009855EE" w:rsidRDefault="009855EE">
      <w:pPr>
        <w:pStyle w:val="Textoindependiente"/>
        <w:rPr>
          <w:sz w:val="20"/>
        </w:rPr>
      </w:pPr>
    </w:p>
    <w:p w:rsidR="009855EE" w:rsidRDefault="009855EE">
      <w:pPr>
        <w:pStyle w:val="Textoindependiente"/>
        <w:rPr>
          <w:sz w:val="20"/>
        </w:rPr>
      </w:pPr>
    </w:p>
    <w:p w:rsidR="009855EE" w:rsidRDefault="009855EE">
      <w:pPr>
        <w:pStyle w:val="Textoindependiente"/>
        <w:rPr>
          <w:sz w:val="20"/>
        </w:rPr>
      </w:pPr>
    </w:p>
    <w:p w:rsidR="009855EE" w:rsidRDefault="009855EE">
      <w:pPr>
        <w:pStyle w:val="Textoindependiente"/>
        <w:rPr>
          <w:sz w:val="20"/>
        </w:rPr>
      </w:pPr>
    </w:p>
    <w:p w:rsidR="009855EE" w:rsidRDefault="009855EE">
      <w:pPr>
        <w:pStyle w:val="Textoindependiente"/>
        <w:rPr>
          <w:sz w:val="20"/>
        </w:rPr>
      </w:pPr>
    </w:p>
    <w:p w:rsidR="009855EE" w:rsidRDefault="00502461">
      <w:pPr>
        <w:pStyle w:val="Textoindependiente"/>
        <w:spacing w:before="3"/>
        <w:rPr>
          <w:sz w:val="18"/>
        </w:rPr>
      </w:pPr>
      <w:r>
        <w:pict>
          <v:polyline id="docshape3" o:spid="_x0000_s1027" style="position:absolute;z-index:-15727616;mso-wrap-distance-left:0;mso-wrap-distance-right:0;mso-position-horizontal-relative:page" points="724pt,49.35pt,724.4pt,49.1pt,724.85pt,48.85pt,725.25pt,48.6pt,725.7pt,48.3pt,726.05pt,47.95pt,726.45pt,47.65pt,726.8pt,47.3pt,727.4pt,46.65pt,730.75pt,42.55pt,733.25pt,39.35pt,737.8pt,33.7pt,744.8pt,25.1pt,745.15pt,24.7pt" coordorigin="7240,247" coordsize="423,493" filled="f" strokeweight=".5mm">
            <v:path arrowok="t"/>
            <w10:wrap type="topAndBottom" anchorx="page"/>
          </v:polyline>
        </w:pict>
      </w:r>
    </w:p>
    <w:p w:rsidR="009855EE" w:rsidRDefault="009855EE">
      <w:pPr>
        <w:pStyle w:val="Textoindependiente"/>
        <w:spacing w:before="5"/>
        <w:rPr>
          <w:sz w:val="26"/>
        </w:rPr>
      </w:pPr>
    </w:p>
    <w:p w:rsidR="009855EE" w:rsidRDefault="00502461">
      <w:pPr>
        <w:ind w:left="568" w:right="568"/>
        <w:jc w:val="center"/>
        <w:rPr>
          <w:b/>
          <w:sz w:val="24"/>
        </w:rPr>
      </w:pPr>
      <w:r>
        <w:pict>
          <v:shape id="docshape4" o:spid="_x0000_s1026" style="position:absolute;left:0;text-align:left;margin-left:232.35pt;margin-top:-44.35pt;width:113.35pt;height:60.45pt;z-index:-15765504;mso-position-horizontal-relative:page" coordorigin="4647,-887" coordsize="2267,1209" o:spt="100" adj="0,,0" path="m4647,321r1,l4655,314r13,-11l4672,300r2,-1l4677,296r4,-1l4684,293r3,-2l4694,288r30,-10l4844,233r53,-23l4974,172r123,-70l5328,-28r148,-87l5619,-205r187,-131l5977,-474r62,-56l6130,-623r18,-19l6164,-662r27,-38l6196,-707r4,-8l6204,-723r3,-8l6211,-739r2,-9l6215,-756r1,-9l6218,-773r,-12l6218,-789r,-4l6217,-796r-1,-4l6215,-803r-1,-4l6213,-810r-2,-4l6209,-817r-2,-3l6205,-824r-3,-3l6200,-830r-5,-5l6192,-839r-4,-2l6183,-845r-4,-3l6175,-851r-6,-3l6164,-857r-4,-2l6154,-861r-5,-3l6139,-867r-12,-3l6114,-874r-13,-3l6088,-879r-13,-2l6057,-883r-32,-3l5971,-887r-58,l5854,-885r-115,11l5666,-864r-73,12l5513,-835r-43,10l5428,-813r-41,12l5347,-786r-42,16l5263,-752r-58,28l5189,-714r-16,9l5158,-695r-15,10l5118,-664r-6,5l5107,-653r-5,5l5097,-642r-4,6l5089,-630r-4,6l5082,-617r-3,6l5075,-599r-1,5l5072,-589r,5l5071,-578r,5l5071,-568r,5l5072,-557r1,5l5074,-547r2,5l5078,-536r3,7l5084,-523r3,5l5090,-514r4,5l5097,-505r5,5l5106,-496r4,4l5118,-486r7,5l5133,-476r7,5l5148,-467r9,4l5172,-456r15,6l5202,-446r16,5m5218,-441r18,5l5263,-430r38,6l5350,-417r48,5l5483,-407r185,1l5701,-406r69,-1l5904,-415r23,-2l5949,-421r23,-4l5994,-430r22,-6l6040,-443r4,-1l6047,-445r3,-1l6053,-447r3,-2l6059,-450r4,-3l6064,-454r1,l6065,-454r1,-1l6066,-455r1,-1l6067,-457r1,l6068,-458r1,l6069,-459r,l6070,-460r,l6070,-461r,-1l6070,-462r1,-1l6071,-463r,-1l6071,-465r,-1l6071,-466r-1,-1l6070,-467r,-1l6070,-469r,l6069,-470r,-1l6068,-472r-1,-1l6066,-474r-1,-1l6064,-476r-1,-2l6062,-478r-1,-1l6059,-480r-1,-1l6056,-481r-1,-1l6053,-483r-2,l6049,-484r-6,-3l6037,-488r-6,-1l6023,-491r-29,-6l5965,-501r-29,-4l5907,-508r-35,-1l5860,-509r-13,l5834,-508r-13,1l5808,-505r-13,1l5783,-501r-18,4l5762,-496r-3,1l5756,-494r-2,1l5751,-492r-3,1l5745,-489r,1l5744,-488r-1,l5743,-488r-1,1l5742,-487r-1,1l5741,-485r-1,l5740,-485r,1l5739,-484r,1l5739,-482r,l5739,-481r,l5738,-481r,1l5739,-480r,l5739,-480r,1l5739,-479r,l5739,-478r,l5739,-478r,l5740,-477r,l5740,-476r,l5741,-476r,m5741,-476r,1l5742,-475r1,1l5745,-473r1,1l5748,-471r2,1l5752,-469r2,1l5756,-468r2,1l5760,-467r2,1l5764,-466r3,1l5775,-464r9,1l5796,-462r54,2l5918,-461r52,-1l5979,-462r66,-1l6059,-464r14,-1l6087,-467r23,-4l6116,-472r18,-4l6164,-484r34,-9l6212,-497r14,-4l6243,-506r10,-4l6263,-513r10,-3l6284,-519r10,-2l6310,-524r3,-1l6316,-525r2,l6320,-526r3,l6326,-527r2,l6330,-529r2,l6334,-530r2,l6338,-531r2,l6342,-531r2,-1l6347,-532r1,l6350,-532r2,-1l6354,-534r1,l6359,-535r9,-3l6375,-539r5,-1l6385,-541r6,-1l6396,-543r5,l6407,-543r10,l6417,-543r,l6417,-543r,l6417,-543r,l6417,-542r1,l6418,-542r,l6418,-542r,l6418,-542r,l6418,-542r,l6418,-541r,l6418,-541r,l6418,-541r,l6418,-541r,1l6418,-540r,l6418,-540r,l6418,-540r,l6417,-540r,l6417,-540r,l6417,-539r-2,4l6409,-527r-7,8l6395,-512r-8,9l6377,-493r-14,17l6360,-472r-2,3l6356,-466r-2,4l6353,-459r-2,3l6350,-453r-2,7l6348,-445r,1l6348,-443r,l6348,-442r,1m6348,-441r,l6348,-440r1,1l6349,-438r,l6349,-438r,l6349,-438r,1l6349,-437r1,l6350,-437r,l6350,-437r,l6351,-437r,1l6351,-436r,l6351,-436r1,l6353,-436r,l6353,-436r,l6354,-435r,l6354,-435r,l6354,-435r1,l6364,-434r9,l6382,-434r16,-1l6417,-436r35,l6483,-436r31,-1l6559,-440r76,-11l6737,-469r16,-3l6769,-475r17,-3l6803,-479r32,-1l6836,-480r1,l6838,-481r2,l6841,-481r1,l6843,-481r1,l6845,-482r1,l6847,-483r2,l6851,-484r3,-1l6855,-487r3,-1l6860,-490r4,-3l6866,-494r5,-3l6875,-500r4,-2l6887,-506r2,-1l6890,-508r2,l6893,-509r2,l6896,-509r1,-1l6899,-510r2,l6902,-510r2,l6905,-510r2,l6909,-510r1,l6913,-510r,l6914,-510e" filled="f" strokeweight=".5mm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4"/>
        </w:rPr>
        <w:t>Miguel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Ángel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Calisto </w:t>
      </w:r>
      <w:r>
        <w:rPr>
          <w:b/>
          <w:spacing w:val="-2"/>
          <w:sz w:val="24"/>
        </w:rPr>
        <w:t>Águila</w:t>
      </w:r>
    </w:p>
    <w:p w:rsidR="009855EE" w:rsidRDefault="00502461">
      <w:pPr>
        <w:spacing w:before="182"/>
        <w:ind w:left="3145"/>
        <w:rPr>
          <w:b/>
          <w:sz w:val="24"/>
        </w:rPr>
      </w:pPr>
      <w:r>
        <w:rPr>
          <w:b/>
          <w:sz w:val="24"/>
        </w:rPr>
        <w:t>H. Diputado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 la </w:t>
      </w:r>
      <w:r>
        <w:rPr>
          <w:b/>
          <w:spacing w:val="-2"/>
          <w:sz w:val="24"/>
        </w:rPr>
        <w:t>República</w:t>
      </w:r>
    </w:p>
    <w:p w:rsidR="009855EE" w:rsidRDefault="009855EE">
      <w:pPr>
        <w:rPr>
          <w:sz w:val="24"/>
        </w:rPr>
        <w:sectPr w:rsidR="009855EE">
          <w:pgSz w:w="12240" w:h="15840"/>
          <w:pgMar w:top="1340" w:right="1580" w:bottom="280" w:left="1600" w:header="720" w:footer="720" w:gutter="0"/>
          <w:cols w:space="720"/>
        </w:sectPr>
      </w:pPr>
    </w:p>
    <w:p w:rsidR="009855EE" w:rsidRDefault="009855EE">
      <w:pPr>
        <w:pStyle w:val="Textoindependiente"/>
        <w:spacing w:before="4"/>
        <w:rPr>
          <w:b/>
          <w:sz w:val="16"/>
        </w:rPr>
      </w:pPr>
    </w:p>
    <w:sectPr w:rsidR="009855EE">
      <w:pgSz w:w="12240" w:h="15840"/>
      <w:pgMar w:top="18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B2704"/>
    <w:multiLevelType w:val="hybridMultilevel"/>
    <w:tmpl w:val="16D42FEA"/>
    <w:lvl w:ilvl="0" w:tplc="6ABE5624">
      <w:start w:val="1"/>
      <w:numFmt w:val="decimal"/>
      <w:lvlText w:val="%1."/>
      <w:lvlJc w:val="left"/>
      <w:pPr>
        <w:ind w:left="82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09FA34F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66C6134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A60EEAF2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03D8B350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7656348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7B5E5A22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30EC2528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F54866F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55EE"/>
    <w:rsid w:val="00502461"/>
    <w:rsid w:val="0098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F2A5E47C-2035-4EC4-9823-D16A35E7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01"/>
      <w:ind w:left="109" w:right="568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9" w:right="10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nl.org/resources/research/ijnl/creacion-de-un-marco-legal-propio-para-ong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Proyecto de Ley TRANSPARENCIA ONG.docx</dc:title>
  <dc:creator>Leonardo Lueiza Ureta</dc:creator>
  <cp:lastModifiedBy>Leonardo Lueiza Ureta</cp:lastModifiedBy>
  <cp:revision>1</cp:revision>
  <dcterms:created xsi:type="dcterms:W3CDTF">2022-12-13T14:20:00Z</dcterms:created>
  <dcterms:modified xsi:type="dcterms:W3CDTF">2023-01-05T00:32:00Z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Word</vt:lpwstr>
  </property>
  <property fmtid="{D5CDD505-2E9C-101B-9397-08002B2CF9AE}" pid="4" name="LastSaved">
    <vt:filetime>2022-12-13T00:00:00Z</vt:filetime>
  </property>
  <property fmtid="{D5CDD505-2E9C-101B-9397-08002B2CF9AE}" pid="5" name="Producer">
    <vt:lpwstr>macOS Versión 11.6.2 (Compilación 20G314) Quartz PDFContext</vt:lpwstr>
  </property>
</Properties>
</file>