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359" w:rsidRDefault="00EC193F">
      <w:pPr>
        <w:pStyle w:val="Textoindependiente"/>
        <w:ind w:left="118"/>
        <w:rPr>
          <w:sz w:val="20"/>
        </w:rPr>
      </w:pPr>
      <w:bookmarkStart w:id="0" w:name="_GoBack"/>
      <w:bookmarkEnd w:id="0"/>
      <w:r>
        <w:rPr>
          <w:noProof/>
          <w:sz w:val="20"/>
          <w:lang w:val="es-CL" w:eastAsia="es-CL"/>
        </w:rPr>
        <w:drawing>
          <wp:inline distT="0" distB="0" distL="0" distR="0">
            <wp:extent cx="761304" cy="749807"/>
            <wp:effectExtent l="0" t="0" r="0" b="0"/>
            <wp:docPr id="1" name="image1.pn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04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359" w:rsidRDefault="00B95359">
      <w:pPr>
        <w:pStyle w:val="Textoindependiente"/>
        <w:rPr>
          <w:sz w:val="20"/>
        </w:rPr>
      </w:pPr>
    </w:p>
    <w:p w:rsidR="00B95359" w:rsidRDefault="00B95359">
      <w:pPr>
        <w:pStyle w:val="Textoindependiente"/>
        <w:rPr>
          <w:sz w:val="20"/>
        </w:rPr>
      </w:pPr>
    </w:p>
    <w:p w:rsidR="00B95359" w:rsidRDefault="00B95359">
      <w:pPr>
        <w:pStyle w:val="Textoindependiente"/>
        <w:spacing w:before="10"/>
      </w:pPr>
    </w:p>
    <w:p w:rsidR="00B95359" w:rsidRDefault="00EC193F">
      <w:pPr>
        <w:pStyle w:val="Ttulo1"/>
        <w:spacing w:before="90" w:line="480" w:lineRule="auto"/>
        <w:ind w:left="922" w:right="116"/>
        <w:jc w:val="both"/>
      </w:pPr>
      <w:r>
        <w:pict>
          <v:line id="_x0000_s1026" style="position:absolute;left:0;text-align:left;z-index:-251658752;mso-position-horizontal-relative:page" from="79.6pt,75.15pt" to="526.65pt,75.2pt" strokeweight=".5pt">
            <w10:wrap anchorx="page"/>
          </v:line>
        </w:pict>
      </w:r>
      <w:r>
        <w:t>PROYECTO DE LEY QUE MODIFICA LA LEY DE LOBBY CON FIN DE OTORGAR PRIORIDAD A LOS DIRIGENTES DE JUNTAS DE VECINOS EN EL ACCESO A AUDIENCIAS CON AUTORIDADES ESTATALES</w:t>
      </w:r>
    </w:p>
    <w:p w:rsidR="00B95359" w:rsidRDefault="00EC193F">
      <w:pPr>
        <w:pStyle w:val="Prrafodelista"/>
        <w:numPr>
          <w:ilvl w:val="0"/>
          <w:numId w:val="1"/>
        </w:numPr>
        <w:tabs>
          <w:tab w:val="left" w:pos="1642"/>
        </w:tabs>
        <w:spacing w:before="161"/>
        <w:jc w:val="both"/>
        <w:rPr>
          <w:b/>
          <w:sz w:val="24"/>
        </w:rPr>
      </w:pPr>
      <w:r>
        <w:rPr>
          <w:b/>
          <w:spacing w:val="-2"/>
          <w:sz w:val="24"/>
        </w:rPr>
        <w:t>FUNDAMENTOS.</w:t>
      </w:r>
    </w:p>
    <w:p w:rsidR="00B95359" w:rsidRDefault="00B95359">
      <w:pPr>
        <w:pStyle w:val="Textoindependiente"/>
        <w:rPr>
          <w:b/>
        </w:rPr>
      </w:pPr>
    </w:p>
    <w:p w:rsidR="00B95359" w:rsidRDefault="00EC193F">
      <w:pPr>
        <w:pStyle w:val="Prrafodelista"/>
        <w:numPr>
          <w:ilvl w:val="1"/>
          <w:numId w:val="1"/>
        </w:numPr>
        <w:tabs>
          <w:tab w:val="left" w:pos="2002"/>
        </w:tabs>
        <w:spacing w:line="480" w:lineRule="auto"/>
        <w:ind w:right="117"/>
        <w:jc w:val="both"/>
        <w:rPr>
          <w:sz w:val="24"/>
        </w:rPr>
      </w:pPr>
      <w:r>
        <w:rPr>
          <w:sz w:val="24"/>
        </w:rPr>
        <w:t>Que,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artículo</w:t>
      </w:r>
      <w:r>
        <w:rPr>
          <w:spacing w:val="-6"/>
          <w:sz w:val="24"/>
        </w:rPr>
        <w:t xml:space="preserve"> </w:t>
      </w:r>
      <w:r>
        <w:rPr>
          <w:sz w:val="24"/>
        </w:rPr>
        <w:t>1°</w:t>
      </w:r>
      <w:r>
        <w:rPr>
          <w:spacing w:val="-8"/>
          <w:sz w:val="24"/>
        </w:rPr>
        <w:t xml:space="preserve"> </w:t>
      </w:r>
      <w:r>
        <w:rPr>
          <w:sz w:val="24"/>
        </w:rPr>
        <w:t>inciso</w:t>
      </w:r>
      <w:r>
        <w:rPr>
          <w:spacing w:val="-6"/>
          <w:sz w:val="24"/>
        </w:rPr>
        <w:t xml:space="preserve"> </w:t>
      </w:r>
      <w:r>
        <w:rPr>
          <w:sz w:val="24"/>
        </w:rPr>
        <w:t>tercero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nuestra</w:t>
      </w:r>
      <w:r>
        <w:rPr>
          <w:spacing w:val="-7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5"/>
          <w:sz w:val="24"/>
        </w:rPr>
        <w:t xml:space="preserve"> </w:t>
      </w:r>
      <w:r>
        <w:rPr>
          <w:sz w:val="24"/>
        </w:rPr>
        <w:t>Política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República establece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“El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Estado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servicio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humana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finalidad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z w:val="24"/>
        </w:rPr>
        <w:t xml:space="preserve"> promover el bien común, para lo cual debe contribuir a crear las condiciones sociales que permitan a todos y a cada uno de los integrantes de la comunidad nacional su mayor realización espiritual y material posible, con pleno respeto a los derechos y gara</w:t>
      </w:r>
      <w:r>
        <w:rPr>
          <w:i/>
          <w:sz w:val="24"/>
        </w:rPr>
        <w:t>ntías que esta Constitución establece.”</w:t>
      </w:r>
    </w:p>
    <w:p w:rsidR="00B95359" w:rsidRDefault="00B95359">
      <w:pPr>
        <w:pStyle w:val="Textoindependiente"/>
        <w:rPr>
          <w:i/>
          <w:sz w:val="26"/>
        </w:rPr>
      </w:pPr>
    </w:p>
    <w:p w:rsidR="00B95359" w:rsidRDefault="00B95359">
      <w:pPr>
        <w:pStyle w:val="Textoindependiente"/>
        <w:spacing w:before="1"/>
        <w:rPr>
          <w:i/>
          <w:sz w:val="22"/>
        </w:rPr>
      </w:pPr>
    </w:p>
    <w:p w:rsidR="00B95359" w:rsidRDefault="00EC193F">
      <w:pPr>
        <w:pStyle w:val="Prrafodelista"/>
        <w:numPr>
          <w:ilvl w:val="1"/>
          <w:numId w:val="1"/>
        </w:numPr>
        <w:tabs>
          <w:tab w:val="left" w:pos="2002"/>
        </w:tabs>
        <w:spacing w:line="475" w:lineRule="auto"/>
        <w:ind w:right="119"/>
        <w:jc w:val="both"/>
        <w:rPr>
          <w:rFonts w:ascii="Calibri" w:hAnsi="Calibri"/>
        </w:rPr>
      </w:pPr>
      <w:r>
        <w:rPr>
          <w:sz w:val="24"/>
        </w:rPr>
        <w:t>Que, en virtud de lo anterior, el Estado debe establecer</w:t>
      </w:r>
      <w:r>
        <w:rPr>
          <w:spacing w:val="-1"/>
          <w:sz w:val="24"/>
        </w:rPr>
        <w:t xml:space="preserve"> </w:t>
      </w:r>
      <w:r>
        <w:rPr>
          <w:sz w:val="24"/>
        </w:rPr>
        <w:t>mecanismos para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que las personas puedan poner en conocimiento de las autoridades sus intereses particulares, sean estos colectivos o individuales, pues sólo </w:t>
      </w:r>
      <w:r>
        <w:rPr>
          <w:sz w:val="24"/>
        </w:rPr>
        <w:t>así es posible hacer efectivo que las autoridades del Estado funcionen al servicio de las personas.</w:t>
      </w:r>
    </w:p>
    <w:p w:rsidR="00B95359" w:rsidRDefault="00B95359">
      <w:pPr>
        <w:pStyle w:val="Textoindependiente"/>
        <w:spacing w:before="3"/>
        <w:rPr>
          <w:sz w:val="27"/>
        </w:rPr>
      </w:pPr>
    </w:p>
    <w:p w:rsidR="00B95359" w:rsidRDefault="00EC193F">
      <w:pPr>
        <w:pStyle w:val="Prrafodelista"/>
        <w:numPr>
          <w:ilvl w:val="1"/>
          <w:numId w:val="1"/>
        </w:numPr>
        <w:tabs>
          <w:tab w:val="left" w:pos="2002"/>
        </w:tabs>
        <w:spacing w:line="480" w:lineRule="auto"/>
        <w:ind w:right="119"/>
        <w:jc w:val="both"/>
        <w:rPr>
          <w:sz w:val="24"/>
        </w:rPr>
      </w:pPr>
      <w:r>
        <w:rPr>
          <w:sz w:val="24"/>
        </w:rPr>
        <w:t>Que, normalmente son los dirigentes de juntas de vecinos quienes ponen en conocimiento de las autoridades los problemas y peticiones que tienen sus comunid</w:t>
      </w:r>
      <w:r>
        <w:rPr>
          <w:sz w:val="24"/>
        </w:rPr>
        <w:t>ades locales y, lamentablemente, se dan casos en los que deben esperar un</w:t>
      </w:r>
      <w:r>
        <w:rPr>
          <w:spacing w:val="16"/>
          <w:sz w:val="24"/>
        </w:rPr>
        <w:t xml:space="preserve"> </w:t>
      </w:r>
      <w:r>
        <w:rPr>
          <w:sz w:val="24"/>
        </w:rPr>
        <w:t>largo</w:t>
      </w:r>
      <w:r>
        <w:rPr>
          <w:spacing w:val="16"/>
          <w:sz w:val="24"/>
        </w:rPr>
        <w:t xml:space="preserve"> </w:t>
      </w:r>
      <w:r>
        <w:rPr>
          <w:sz w:val="24"/>
        </w:rPr>
        <w:t>tiempo</w:t>
      </w:r>
      <w:r>
        <w:rPr>
          <w:spacing w:val="17"/>
          <w:sz w:val="24"/>
        </w:rPr>
        <w:t xml:space="preserve"> </w:t>
      </w:r>
      <w:r>
        <w:rPr>
          <w:sz w:val="24"/>
        </w:rPr>
        <w:t>para</w:t>
      </w:r>
      <w:r>
        <w:rPr>
          <w:spacing w:val="19"/>
          <w:sz w:val="24"/>
        </w:rPr>
        <w:t xml:space="preserve"> </w:t>
      </w:r>
      <w:r>
        <w:rPr>
          <w:sz w:val="24"/>
        </w:rPr>
        <w:t>acceder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una</w:t>
      </w:r>
      <w:r>
        <w:rPr>
          <w:spacing w:val="16"/>
          <w:sz w:val="24"/>
        </w:rPr>
        <w:t xml:space="preserve"> </w:t>
      </w:r>
      <w:r>
        <w:rPr>
          <w:sz w:val="24"/>
        </w:rPr>
        <w:t>audiencia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9"/>
          <w:sz w:val="24"/>
        </w:rPr>
        <w:t xml:space="preserve"> </w:t>
      </w:r>
      <w:r>
        <w:rPr>
          <w:sz w:val="24"/>
        </w:rPr>
        <w:t>reunión</w:t>
      </w:r>
      <w:r>
        <w:rPr>
          <w:spacing w:val="17"/>
          <w:sz w:val="24"/>
        </w:rPr>
        <w:t xml:space="preserve"> </w:t>
      </w:r>
      <w:r>
        <w:rPr>
          <w:sz w:val="24"/>
        </w:rPr>
        <w:t>con</w:t>
      </w:r>
      <w:r>
        <w:rPr>
          <w:spacing w:val="16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autoridad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su</w:t>
      </w:r>
    </w:p>
    <w:p w:rsidR="00B95359" w:rsidRDefault="00B95359">
      <w:pPr>
        <w:spacing w:line="480" w:lineRule="auto"/>
        <w:jc w:val="both"/>
        <w:rPr>
          <w:sz w:val="24"/>
        </w:rPr>
        <w:sectPr w:rsidR="00B95359">
          <w:type w:val="continuous"/>
          <w:pgSz w:w="12240" w:h="15840"/>
          <w:pgMar w:top="1460" w:right="1580" w:bottom="280" w:left="780" w:header="720" w:footer="720" w:gutter="0"/>
          <w:cols w:space="720"/>
        </w:sectPr>
      </w:pPr>
    </w:p>
    <w:p w:rsidR="00B95359" w:rsidRDefault="00EC193F">
      <w:pPr>
        <w:pStyle w:val="Textoindependiente"/>
        <w:spacing w:before="75" w:line="480" w:lineRule="auto"/>
        <w:ind w:left="2002"/>
      </w:pPr>
      <w:proofErr w:type="gramStart"/>
      <w:r>
        <w:lastRenderedPageBreak/>
        <w:t>interés</w:t>
      </w:r>
      <w:proofErr w:type="gramEnd"/>
      <w:r>
        <w:t>,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configura un</w:t>
      </w:r>
      <w:r>
        <w:rPr>
          <w:spacing w:val="-3"/>
        </w:rPr>
        <w:t xml:space="preserve"> </w:t>
      </w:r>
      <w:r>
        <w:t>grave</w:t>
      </w:r>
      <w:r>
        <w:rPr>
          <w:spacing w:val="-4"/>
        </w:rPr>
        <w:t xml:space="preserve"> </w:t>
      </w:r>
      <w:r>
        <w:t>problema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aquellos</w:t>
      </w:r>
      <w:r>
        <w:rPr>
          <w:spacing w:val="-3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vecinos necesitan soluciones inmediatas.</w:t>
      </w:r>
    </w:p>
    <w:p w:rsidR="00B95359" w:rsidRDefault="00B95359">
      <w:pPr>
        <w:pStyle w:val="Textoindependiente"/>
        <w:spacing w:before="10"/>
        <w:rPr>
          <w:sz w:val="25"/>
        </w:rPr>
      </w:pPr>
    </w:p>
    <w:p w:rsidR="00B95359" w:rsidRDefault="00EC193F">
      <w:pPr>
        <w:pStyle w:val="Prrafodelista"/>
        <w:numPr>
          <w:ilvl w:val="1"/>
          <w:numId w:val="1"/>
        </w:numPr>
        <w:tabs>
          <w:tab w:val="left" w:pos="2002"/>
        </w:tabs>
        <w:spacing w:line="477" w:lineRule="auto"/>
        <w:ind w:right="116"/>
        <w:jc w:val="both"/>
        <w:rPr>
          <w:rFonts w:ascii="Calibri" w:hAnsi="Calibri"/>
        </w:rPr>
      </w:pPr>
      <w:r>
        <w:rPr>
          <w:sz w:val="24"/>
        </w:rPr>
        <w:t>Que,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organizaciones</w:t>
      </w:r>
      <w:r>
        <w:rPr>
          <w:spacing w:val="-6"/>
          <w:sz w:val="24"/>
        </w:rPr>
        <w:t xml:space="preserve"> </w:t>
      </w:r>
      <w:r>
        <w:rPr>
          <w:sz w:val="24"/>
        </w:rPr>
        <w:t>comunitarias</w:t>
      </w:r>
      <w:r>
        <w:rPr>
          <w:spacing w:val="-6"/>
          <w:sz w:val="24"/>
        </w:rPr>
        <w:t xml:space="preserve"> </w:t>
      </w:r>
      <w:r>
        <w:rPr>
          <w:sz w:val="24"/>
        </w:rPr>
        <w:t>más</w:t>
      </w:r>
      <w:r>
        <w:rPr>
          <w:spacing w:val="-4"/>
          <w:sz w:val="24"/>
        </w:rPr>
        <w:t xml:space="preserve"> </w:t>
      </w:r>
      <w:r>
        <w:rPr>
          <w:sz w:val="24"/>
        </w:rPr>
        <w:t>icónicas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nuestro</w:t>
      </w:r>
      <w:r>
        <w:rPr>
          <w:spacing w:val="-6"/>
          <w:sz w:val="24"/>
        </w:rPr>
        <w:t xml:space="preserve"> </w:t>
      </w:r>
      <w:r>
        <w:rPr>
          <w:sz w:val="24"/>
        </w:rPr>
        <w:t>país</w:t>
      </w:r>
      <w:r>
        <w:rPr>
          <w:spacing w:val="-6"/>
          <w:sz w:val="24"/>
        </w:rPr>
        <w:t xml:space="preserve"> </w:t>
      </w:r>
      <w:r>
        <w:rPr>
          <w:sz w:val="24"/>
        </w:rPr>
        <w:t>son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las </w:t>
      </w:r>
      <w:r>
        <w:rPr>
          <w:spacing w:val="-2"/>
          <w:sz w:val="24"/>
        </w:rPr>
        <w:t>juntas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vecinos,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quienes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colaborado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desinteresadamente en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mejoramiento </w:t>
      </w:r>
      <w:r>
        <w:rPr>
          <w:sz w:val="24"/>
        </w:rPr>
        <w:t>de las condiciones de vida de las comunidades, especi</w:t>
      </w:r>
      <w:r>
        <w:rPr>
          <w:sz w:val="24"/>
        </w:rPr>
        <w:t>almente de las más vulnerables. Estos grupos son regulados por la Ley 19.418, la cual establece la manera en que se constituyen las juntas de vecinos y otras organizaciones comunitarias y cómo se regula su funcionamiento, atribuciones y patrimonio.</w:t>
      </w:r>
    </w:p>
    <w:p w:rsidR="00B95359" w:rsidRDefault="00B95359">
      <w:pPr>
        <w:pStyle w:val="Textoindependiente"/>
        <w:spacing w:before="9"/>
        <w:rPr>
          <w:sz w:val="26"/>
        </w:rPr>
      </w:pPr>
    </w:p>
    <w:p w:rsidR="00B95359" w:rsidRDefault="00EC193F">
      <w:pPr>
        <w:pStyle w:val="Prrafodelista"/>
        <w:numPr>
          <w:ilvl w:val="1"/>
          <w:numId w:val="1"/>
        </w:numPr>
        <w:tabs>
          <w:tab w:val="left" w:pos="2002"/>
        </w:tabs>
        <w:spacing w:line="480" w:lineRule="auto"/>
        <w:ind w:right="120"/>
        <w:jc w:val="both"/>
        <w:rPr>
          <w:sz w:val="24"/>
        </w:rPr>
      </w:pPr>
      <w:r>
        <w:rPr>
          <w:sz w:val="24"/>
        </w:rPr>
        <w:t>Que, t</w:t>
      </w:r>
      <w:r>
        <w:rPr>
          <w:sz w:val="24"/>
        </w:rPr>
        <w:t>anto las juntas de vecinos como otro tipo de organizaciones sociales se sujetan a la Ley 20.730 en lo que respecta a la gestión de intereses particulares, ya sean estos individuales o colectivos. Así, son sus dirigentes quienes asisten a reuniones con auto</w:t>
      </w:r>
      <w:r>
        <w:rPr>
          <w:sz w:val="24"/>
        </w:rPr>
        <w:t>ridades para promover y representar estos intereses.</w:t>
      </w:r>
    </w:p>
    <w:p w:rsidR="00B95359" w:rsidRDefault="00B95359">
      <w:pPr>
        <w:pStyle w:val="Textoindependiente"/>
        <w:spacing w:before="11"/>
        <w:rPr>
          <w:sz w:val="25"/>
        </w:rPr>
      </w:pPr>
    </w:p>
    <w:p w:rsidR="00B95359" w:rsidRDefault="00EC193F">
      <w:pPr>
        <w:pStyle w:val="Prrafodelista"/>
        <w:numPr>
          <w:ilvl w:val="1"/>
          <w:numId w:val="1"/>
        </w:numPr>
        <w:tabs>
          <w:tab w:val="left" w:pos="2002"/>
        </w:tabs>
        <w:spacing w:line="480" w:lineRule="auto"/>
        <w:ind w:right="115"/>
        <w:jc w:val="both"/>
        <w:rPr>
          <w:sz w:val="24"/>
        </w:rPr>
      </w:pPr>
      <w:r>
        <w:rPr>
          <w:sz w:val="24"/>
        </w:rPr>
        <w:t>Que,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hace</w:t>
      </w:r>
      <w:r>
        <w:rPr>
          <w:spacing w:val="-3"/>
          <w:sz w:val="24"/>
        </w:rPr>
        <w:t xml:space="preserve"> </w:t>
      </w:r>
      <w:r>
        <w:rPr>
          <w:sz w:val="24"/>
        </w:rPr>
        <w:t>necesario</w:t>
      </w:r>
      <w:r>
        <w:rPr>
          <w:spacing w:val="-2"/>
          <w:sz w:val="24"/>
        </w:rPr>
        <w:t xml:space="preserve"> </w:t>
      </w:r>
      <w:r>
        <w:rPr>
          <w:sz w:val="24"/>
        </w:rPr>
        <w:t>fortalecer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rol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dirigentes</w:t>
      </w:r>
      <w:r>
        <w:rPr>
          <w:spacing w:val="-2"/>
          <w:sz w:val="24"/>
        </w:rPr>
        <w:t xml:space="preserve"> </w:t>
      </w:r>
      <w:r>
        <w:rPr>
          <w:sz w:val="24"/>
        </w:rPr>
        <w:t>de las</w:t>
      </w:r>
      <w:r>
        <w:rPr>
          <w:spacing w:val="-2"/>
          <w:sz w:val="24"/>
        </w:rPr>
        <w:t xml:space="preserve"> </w:t>
      </w:r>
      <w:r>
        <w:rPr>
          <w:sz w:val="24"/>
        </w:rPr>
        <w:t>juntas de</w:t>
      </w:r>
      <w:r>
        <w:rPr>
          <w:spacing w:val="-3"/>
          <w:sz w:val="24"/>
        </w:rPr>
        <w:t xml:space="preserve"> </w:t>
      </w:r>
      <w:r>
        <w:rPr>
          <w:sz w:val="24"/>
        </w:rPr>
        <w:t>vecinos, otorgándoles preferencia para poder acceder a audiencias con las autoridades y funcionarios sujetas a la Ley 20.730.</w:t>
      </w:r>
    </w:p>
    <w:p w:rsidR="00B95359" w:rsidRDefault="00B95359">
      <w:pPr>
        <w:pStyle w:val="Textoindependiente"/>
        <w:spacing w:before="1"/>
        <w:rPr>
          <w:sz w:val="26"/>
        </w:rPr>
      </w:pPr>
    </w:p>
    <w:p w:rsidR="00B95359" w:rsidRDefault="00EC193F">
      <w:pPr>
        <w:pStyle w:val="Prrafodelista"/>
        <w:numPr>
          <w:ilvl w:val="1"/>
          <w:numId w:val="1"/>
        </w:numPr>
        <w:tabs>
          <w:tab w:val="left" w:pos="2062"/>
        </w:tabs>
        <w:spacing w:line="480" w:lineRule="auto"/>
        <w:ind w:right="122"/>
        <w:jc w:val="both"/>
        <w:rPr>
          <w:sz w:val="24"/>
        </w:rPr>
      </w:pPr>
      <w:r>
        <w:rPr>
          <w:sz w:val="24"/>
        </w:rPr>
        <w:t>Que,</w:t>
      </w:r>
      <w:r>
        <w:rPr>
          <w:spacing w:val="-11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lo</w:t>
      </w:r>
      <w:r>
        <w:rPr>
          <w:spacing w:val="-11"/>
          <w:sz w:val="24"/>
        </w:rPr>
        <w:t xml:space="preserve"> </w:t>
      </w:r>
      <w:r>
        <w:rPr>
          <w:sz w:val="24"/>
        </w:rPr>
        <w:t>demás</w:t>
      </w:r>
      <w:r>
        <w:rPr>
          <w:spacing w:val="-12"/>
          <w:sz w:val="24"/>
        </w:rPr>
        <w:t xml:space="preserve"> </w:t>
      </w:r>
      <w:r>
        <w:rPr>
          <w:sz w:val="24"/>
        </w:rPr>
        <w:t>cabe</w:t>
      </w:r>
      <w:r>
        <w:rPr>
          <w:spacing w:val="-10"/>
          <w:sz w:val="24"/>
        </w:rPr>
        <w:t xml:space="preserve"> </w:t>
      </w:r>
      <w:r>
        <w:rPr>
          <w:sz w:val="24"/>
        </w:rPr>
        <w:t>destacar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Ley</w:t>
      </w:r>
      <w:r>
        <w:rPr>
          <w:spacing w:val="-11"/>
          <w:sz w:val="24"/>
        </w:rPr>
        <w:t xml:space="preserve"> </w:t>
      </w:r>
      <w:r>
        <w:rPr>
          <w:sz w:val="24"/>
        </w:rPr>
        <w:t>20.730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reglamento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11"/>
          <w:sz w:val="24"/>
        </w:rPr>
        <w:t xml:space="preserve"> </w:t>
      </w:r>
      <w:r>
        <w:rPr>
          <w:sz w:val="24"/>
        </w:rPr>
        <w:t>establecen un plazo en que se debe llevar a cabo la audiencia que soliciten los gestores de intereses</w:t>
      </w:r>
      <w:r>
        <w:rPr>
          <w:spacing w:val="-13"/>
          <w:sz w:val="24"/>
        </w:rPr>
        <w:t xml:space="preserve"> </w:t>
      </w:r>
      <w:r>
        <w:rPr>
          <w:sz w:val="24"/>
        </w:rPr>
        <w:t>particulares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lobistas,</w:t>
      </w:r>
      <w:r>
        <w:rPr>
          <w:spacing w:val="-13"/>
          <w:sz w:val="24"/>
        </w:rPr>
        <w:t xml:space="preserve"> </w:t>
      </w:r>
      <w:r>
        <w:rPr>
          <w:sz w:val="24"/>
        </w:rPr>
        <w:t>sino</w:t>
      </w:r>
      <w:r>
        <w:rPr>
          <w:spacing w:val="-12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solamente</w:t>
      </w:r>
      <w:r>
        <w:rPr>
          <w:spacing w:val="-14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establece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artículo</w:t>
      </w:r>
      <w:r>
        <w:rPr>
          <w:spacing w:val="-13"/>
          <w:sz w:val="24"/>
        </w:rPr>
        <w:t xml:space="preserve"> </w:t>
      </w:r>
      <w:r>
        <w:rPr>
          <w:sz w:val="24"/>
        </w:rPr>
        <w:t>10° del</w:t>
      </w:r>
      <w:r>
        <w:rPr>
          <w:spacing w:val="-15"/>
          <w:sz w:val="24"/>
        </w:rPr>
        <w:t xml:space="preserve"> </w:t>
      </w:r>
      <w:r>
        <w:rPr>
          <w:sz w:val="24"/>
        </w:rPr>
        <w:t>regl</w:t>
      </w:r>
      <w:r>
        <w:rPr>
          <w:sz w:val="24"/>
        </w:rPr>
        <w:t>amento,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autoridad</w:t>
      </w:r>
      <w:r>
        <w:rPr>
          <w:spacing w:val="-15"/>
          <w:sz w:val="24"/>
        </w:rPr>
        <w:t xml:space="preserve"> </w:t>
      </w:r>
      <w:r>
        <w:rPr>
          <w:sz w:val="24"/>
        </w:rPr>
        <w:t>debe</w:t>
      </w:r>
      <w:r>
        <w:rPr>
          <w:spacing w:val="-15"/>
          <w:sz w:val="24"/>
        </w:rPr>
        <w:t xml:space="preserve"> </w:t>
      </w:r>
      <w:r>
        <w:rPr>
          <w:sz w:val="24"/>
        </w:rPr>
        <w:t>pronunciarse</w:t>
      </w:r>
      <w:r>
        <w:rPr>
          <w:spacing w:val="-14"/>
          <w:sz w:val="24"/>
        </w:rPr>
        <w:t xml:space="preserve"> </w:t>
      </w:r>
      <w:r>
        <w:rPr>
          <w:sz w:val="24"/>
        </w:rPr>
        <w:t>sobre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solicitud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audiencia en un plazo de 3 días hábiles.</w:t>
      </w:r>
    </w:p>
    <w:p w:rsidR="00B95359" w:rsidRDefault="00B95359">
      <w:pPr>
        <w:spacing w:line="480" w:lineRule="auto"/>
        <w:jc w:val="both"/>
        <w:rPr>
          <w:sz w:val="24"/>
        </w:rPr>
        <w:sectPr w:rsidR="00B95359">
          <w:pgSz w:w="12240" w:h="15840"/>
          <w:pgMar w:top="1340" w:right="1580" w:bottom="280" w:left="780" w:header="720" w:footer="720" w:gutter="0"/>
          <w:cols w:space="720"/>
        </w:sectPr>
      </w:pPr>
    </w:p>
    <w:p w:rsidR="00B95359" w:rsidRDefault="00EC193F">
      <w:pPr>
        <w:pStyle w:val="Ttulo1"/>
        <w:numPr>
          <w:ilvl w:val="0"/>
          <w:numId w:val="1"/>
        </w:numPr>
        <w:tabs>
          <w:tab w:val="left" w:pos="1641"/>
          <w:tab w:val="left" w:pos="1642"/>
        </w:tabs>
        <w:spacing w:before="75"/>
        <w:ind w:hanging="608"/>
        <w:jc w:val="left"/>
      </w:pPr>
      <w:r>
        <w:lastRenderedPageBreak/>
        <w:t>PROPUESTA</w:t>
      </w:r>
      <w:r>
        <w:rPr>
          <w:spacing w:val="-13"/>
        </w:rPr>
        <w:t xml:space="preserve"> </w:t>
      </w:r>
      <w:r>
        <w:rPr>
          <w:spacing w:val="-2"/>
        </w:rPr>
        <w:t>LEGISLATIVA.</w:t>
      </w:r>
    </w:p>
    <w:p w:rsidR="00B95359" w:rsidRDefault="00B95359">
      <w:pPr>
        <w:pStyle w:val="Textoindependiente"/>
        <w:rPr>
          <w:b/>
        </w:rPr>
      </w:pPr>
    </w:p>
    <w:p w:rsidR="00B95359" w:rsidRDefault="00EC193F">
      <w:pPr>
        <w:pStyle w:val="Textoindependiente"/>
        <w:spacing w:line="480" w:lineRule="auto"/>
        <w:ind w:left="1642" w:right="115"/>
        <w:jc w:val="both"/>
      </w:pPr>
      <w:r>
        <w:t>Este proyecto de ley busca implementar una medida que otorgue celeridad a</w:t>
      </w:r>
      <w:r>
        <w:t xml:space="preserve"> las solicitudes que tengan las juntas de vecinos, todo con fin de facilitar el acceso que tienen sus dirigentes como gestores de intereses particulares para poder contactarse con</w:t>
      </w:r>
      <w:r>
        <w:rPr>
          <w:spacing w:val="-14"/>
        </w:rPr>
        <w:t xml:space="preserve"> </w:t>
      </w:r>
      <w:r>
        <w:t>autoridades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funcionarios</w:t>
      </w:r>
      <w:r>
        <w:rPr>
          <w:spacing w:val="-13"/>
        </w:rPr>
        <w:t xml:space="preserve"> </w:t>
      </w:r>
      <w:r>
        <w:t>sujetos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Lobby.</w:t>
      </w:r>
      <w:r>
        <w:rPr>
          <w:spacing w:val="-13"/>
        </w:rPr>
        <w:t xml:space="preserve"> </w:t>
      </w:r>
      <w:r>
        <w:t>Así,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dirigentes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juntas de</w:t>
      </w:r>
      <w:r>
        <w:rPr>
          <w:spacing w:val="-15"/>
        </w:rPr>
        <w:t xml:space="preserve"> </w:t>
      </w:r>
      <w:r>
        <w:t>vecinos</w:t>
      </w:r>
      <w:r>
        <w:rPr>
          <w:spacing w:val="-15"/>
        </w:rPr>
        <w:t xml:space="preserve"> </w:t>
      </w:r>
      <w:r>
        <w:t>tendrán</w:t>
      </w:r>
      <w:r>
        <w:rPr>
          <w:spacing w:val="-15"/>
        </w:rPr>
        <w:t xml:space="preserve"> </w:t>
      </w:r>
      <w:r>
        <w:t>derecho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audiencia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soliciten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lleve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cabo</w:t>
      </w:r>
      <w:r>
        <w:rPr>
          <w:spacing w:val="-14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plazo no mayor a 30 días hábiles.</w:t>
      </w:r>
    </w:p>
    <w:p w:rsidR="00B95359" w:rsidRDefault="00B95359">
      <w:pPr>
        <w:pStyle w:val="Textoindependiente"/>
        <w:rPr>
          <w:sz w:val="26"/>
        </w:rPr>
      </w:pPr>
    </w:p>
    <w:p w:rsidR="00B95359" w:rsidRDefault="00B95359">
      <w:pPr>
        <w:pStyle w:val="Textoindependiente"/>
        <w:spacing w:before="1"/>
        <w:rPr>
          <w:sz w:val="22"/>
        </w:rPr>
      </w:pPr>
    </w:p>
    <w:p w:rsidR="00B95359" w:rsidRDefault="00EC193F">
      <w:pPr>
        <w:pStyle w:val="Ttulo1"/>
        <w:numPr>
          <w:ilvl w:val="0"/>
          <w:numId w:val="1"/>
        </w:numPr>
        <w:tabs>
          <w:tab w:val="left" w:pos="1641"/>
          <w:tab w:val="left" w:pos="1642"/>
        </w:tabs>
        <w:ind w:hanging="701"/>
        <w:jc w:val="left"/>
      </w:pP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4"/>
        </w:rPr>
        <w:t>LEY.</w:t>
      </w:r>
    </w:p>
    <w:p w:rsidR="00B95359" w:rsidRDefault="00B95359">
      <w:pPr>
        <w:pStyle w:val="Textoindependiente"/>
        <w:rPr>
          <w:b/>
        </w:rPr>
      </w:pPr>
    </w:p>
    <w:p w:rsidR="00B95359" w:rsidRDefault="00EC193F">
      <w:pPr>
        <w:pStyle w:val="Textoindependiente"/>
        <w:spacing w:line="480" w:lineRule="auto"/>
        <w:ind w:left="1642" w:right="120"/>
        <w:jc w:val="both"/>
      </w:pPr>
      <w:r>
        <w:t>Modifícase la Ley 20.730 que Regula el Lobby y las gestiones que representen intereses particulares ante las autoridades y funcionarios, agregando el siguiente inciso final en su artículo 11°:</w:t>
      </w:r>
    </w:p>
    <w:p w:rsidR="00B95359" w:rsidRDefault="00EC193F">
      <w:pPr>
        <w:spacing w:line="480" w:lineRule="auto"/>
        <w:ind w:left="1709" w:right="186"/>
        <w:jc w:val="center"/>
        <w:rPr>
          <w:i/>
          <w:sz w:val="24"/>
        </w:rPr>
      </w:pPr>
      <w:r>
        <w:rPr>
          <w:i/>
          <w:sz w:val="24"/>
        </w:rPr>
        <w:t>“Sin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embargo,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dirigentes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juntas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vecinos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tendrán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derec</w:t>
      </w:r>
      <w:r>
        <w:rPr>
          <w:i/>
          <w:sz w:val="24"/>
        </w:rPr>
        <w:t>ho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preferente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 fijación de la audiencia que soliciten, debiendo ésta efectuarse en un plazo no mayor a 30 días hábiles contados desde la fecha del pronunciamiento de la autoridad sobre la solicitud de audiencia.”</w:t>
      </w:r>
    </w:p>
    <w:p w:rsidR="00B95359" w:rsidRDefault="00B95359">
      <w:pPr>
        <w:pStyle w:val="Textoindependiente"/>
        <w:rPr>
          <w:i/>
          <w:sz w:val="26"/>
        </w:rPr>
      </w:pPr>
    </w:p>
    <w:p w:rsidR="00B95359" w:rsidRDefault="00B95359">
      <w:pPr>
        <w:pStyle w:val="Textoindependiente"/>
        <w:rPr>
          <w:i/>
          <w:sz w:val="26"/>
        </w:rPr>
      </w:pPr>
    </w:p>
    <w:p w:rsidR="00B95359" w:rsidRDefault="00B95359">
      <w:pPr>
        <w:pStyle w:val="Textoindependiente"/>
        <w:rPr>
          <w:i/>
          <w:sz w:val="26"/>
        </w:rPr>
      </w:pPr>
    </w:p>
    <w:p w:rsidR="00B95359" w:rsidRDefault="00EC193F">
      <w:pPr>
        <w:spacing w:before="208" w:line="480" w:lineRule="auto"/>
        <w:ind w:left="3937" w:right="2414"/>
        <w:jc w:val="center"/>
        <w:rPr>
          <w:b/>
          <w:sz w:val="24"/>
        </w:rPr>
      </w:pPr>
      <w:r>
        <w:rPr>
          <w:b/>
          <w:sz w:val="24"/>
        </w:rPr>
        <w:t>MARLENE PÉREZ CARTES DIPUTADA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REPÚBLICA</w:t>
      </w:r>
    </w:p>
    <w:sectPr w:rsidR="00B95359">
      <w:pgSz w:w="12240" w:h="15840"/>
      <w:pgMar w:top="1340" w:right="15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775CA"/>
    <w:multiLevelType w:val="hybridMultilevel"/>
    <w:tmpl w:val="53C4DE34"/>
    <w:lvl w:ilvl="0" w:tplc="1F14CA46">
      <w:start w:val="1"/>
      <w:numFmt w:val="upperRoman"/>
      <w:lvlText w:val="%1."/>
      <w:lvlJc w:val="left"/>
      <w:pPr>
        <w:ind w:left="1642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es-ES" w:eastAsia="en-US" w:bidi="ar-SA"/>
      </w:rPr>
    </w:lvl>
    <w:lvl w:ilvl="1" w:tplc="7EBA219A">
      <w:start w:val="1"/>
      <w:numFmt w:val="lowerRoman"/>
      <w:lvlText w:val="%2)"/>
      <w:lvlJc w:val="left"/>
      <w:pPr>
        <w:ind w:left="2002" w:hanging="360"/>
        <w:jc w:val="left"/>
      </w:pPr>
      <w:rPr>
        <w:rFonts w:hint="default"/>
        <w:w w:val="99"/>
        <w:lang w:val="es-ES" w:eastAsia="en-US" w:bidi="ar-SA"/>
      </w:rPr>
    </w:lvl>
    <w:lvl w:ilvl="2" w:tplc="519E8956">
      <w:numFmt w:val="bullet"/>
      <w:lvlText w:val="•"/>
      <w:lvlJc w:val="left"/>
      <w:pPr>
        <w:ind w:left="2875" w:hanging="360"/>
      </w:pPr>
      <w:rPr>
        <w:rFonts w:hint="default"/>
        <w:lang w:val="es-ES" w:eastAsia="en-US" w:bidi="ar-SA"/>
      </w:rPr>
    </w:lvl>
    <w:lvl w:ilvl="3" w:tplc="4CA01A2C">
      <w:numFmt w:val="bullet"/>
      <w:lvlText w:val="•"/>
      <w:lvlJc w:val="left"/>
      <w:pPr>
        <w:ind w:left="3751" w:hanging="360"/>
      </w:pPr>
      <w:rPr>
        <w:rFonts w:hint="default"/>
        <w:lang w:val="es-ES" w:eastAsia="en-US" w:bidi="ar-SA"/>
      </w:rPr>
    </w:lvl>
    <w:lvl w:ilvl="4" w:tplc="801AF51A">
      <w:numFmt w:val="bullet"/>
      <w:lvlText w:val="•"/>
      <w:lvlJc w:val="left"/>
      <w:pPr>
        <w:ind w:left="4626" w:hanging="360"/>
      </w:pPr>
      <w:rPr>
        <w:rFonts w:hint="default"/>
        <w:lang w:val="es-ES" w:eastAsia="en-US" w:bidi="ar-SA"/>
      </w:rPr>
    </w:lvl>
    <w:lvl w:ilvl="5" w:tplc="9C7A5C56">
      <w:numFmt w:val="bullet"/>
      <w:lvlText w:val="•"/>
      <w:lvlJc w:val="left"/>
      <w:pPr>
        <w:ind w:left="5502" w:hanging="360"/>
      </w:pPr>
      <w:rPr>
        <w:rFonts w:hint="default"/>
        <w:lang w:val="es-ES" w:eastAsia="en-US" w:bidi="ar-SA"/>
      </w:rPr>
    </w:lvl>
    <w:lvl w:ilvl="6" w:tplc="CDA0FDD0">
      <w:numFmt w:val="bullet"/>
      <w:lvlText w:val="•"/>
      <w:lvlJc w:val="left"/>
      <w:pPr>
        <w:ind w:left="6377" w:hanging="360"/>
      </w:pPr>
      <w:rPr>
        <w:rFonts w:hint="default"/>
        <w:lang w:val="es-ES" w:eastAsia="en-US" w:bidi="ar-SA"/>
      </w:rPr>
    </w:lvl>
    <w:lvl w:ilvl="7" w:tplc="DE70FFDE">
      <w:numFmt w:val="bullet"/>
      <w:lvlText w:val="•"/>
      <w:lvlJc w:val="left"/>
      <w:pPr>
        <w:ind w:left="7253" w:hanging="360"/>
      </w:pPr>
      <w:rPr>
        <w:rFonts w:hint="default"/>
        <w:lang w:val="es-ES" w:eastAsia="en-US" w:bidi="ar-SA"/>
      </w:rPr>
    </w:lvl>
    <w:lvl w:ilvl="8" w:tplc="7CB0E140">
      <w:numFmt w:val="bullet"/>
      <w:lvlText w:val="•"/>
      <w:lvlJc w:val="left"/>
      <w:pPr>
        <w:ind w:left="81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5359"/>
    <w:rsid w:val="00B95359"/>
    <w:rsid w:val="00EC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2FE9E9BC-23E1-4EBD-9EBA-2ECFBDC6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164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00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 Isidora Salinas Carvajal</dc:creator>
  <cp:lastModifiedBy>Leonardo Lueiza Ureta</cp:lastModifiedBy>
  <cp:revision>1</cp:revision>
  <dcterms:created xsi:type="dcterms:W3CDTF">2022-12-20T18:51:00Z</dcterms:created>
  <dcterms:modified xsi:type="dcterms:W3CDTF">2023-01-05T00:31:00Z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2022-12-20T00:00:00Z</vt:filetime>
  </property>
  <property fmtid="{D5CDD505-2E9C-101B-9397-08002B2CF9AE}" pid="5" name="Producer">
    <vt:lpwstr>Microsoft® Word para Microsoft 365</vt:lpwstr>
  </property>
</Properties>
</file>