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04" w:rsidRDefault="002D1604">
      <w:pPr>
        <w:pStyle w:val="Textoindependiente"/>
        <w:spacing w:before="5"/>
        <w:ind w:left="0"/>
        <w:rPr>
          <w:sz w:val="22"/>
        </w:rPr>
      </w:pPr>
      <w:bookmarkStart w:id="0" w:name="_GoBack"/>
      <w:bookmarkEnd w:id="0"/>
    </w:p>
    <w:p w:rsidR="002D1604" w:rsidRDefault="00144CB5">
      <w:pPr>
        <w:pStyle w:val="Textoindependiente"/>
        <w:ind w:left="3623"/>
        <w:rPr>
          <w:sz w:val="20"/>
        </w:rPr>
      </w:pPr>
      <w:r>
        <w:rPr>
          <w:noProof/>
          <w:sz w:val="20"/>
          <w:lang w:val="es-CL" w:eastAsia="es-CL"/>
        </w:rPr>
        <w:drawing>
          <wp:inline distT="0" distB="0" distL="0" distR="0">
            <wp:extent cx="993468" cy="9921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3468" cy="992124"/>
                    </a:xfrm>
                    <a:prstGeom prst="rect">
                      <a:avLst/>
                    </a:prstGeom>
                  </pic:spPr>
                </pic:pic>
              </a:graphicData>
            </a:graphic>
          </wp:inline>
        </w:drawing>
      </w:r>
    </w:p>
    <w:p w:rsidR="002D1604" w:rsidRDefault="002D1604">
      <w:pPr>
        <w:pStyle w:val="Textoindependiente"/>
        <w:ind w:left="0"/>
        <w:rPr>
          <w:sz w:val="20"/>
        </w:rPr>
      </w:pPr>
    </w:p>
    <w:p w:rsidR="002D1604" w:rsidRDefault="002D1604">
      <w:pPr>
        <w:pStyle w:val="Textoindependiente"/>
        <w:ind w:left="0"/>
        <w:rPr>
          <w:sz w:val="20"/>
        </w:rPr>
      </w:pPr>
    </w:p>
    <w:p w:rsidR="002D1604" w:rsidRDefault="002D1604">
      <w:pPr>
        <w:pStyle w:val="Textoindependiente"/>
        <w:ind w:left="0"/>
        <w:rPr>
          <w:sz w:val="20"/>
        </w:rPr>
      </w:pPr>
    </w:p>
    <w:p w:rsidR="002D1604" w:rsidRDefault="002D1604">
      <w:pPr>
        <w:pStyle w:val="Textoindependiente"/>
        <w:spacing w:before="2"/>
        <w:ind w:left="0"/>
        <w:rPr>
          <w:sz w:val="17"/>
        </w:rPr>
      </w:pPr>
    </w:p>
    <w:p w:rsidR="002D1604" w:rsidRDefault="00144CB5">
      <w:pPr>
        <w:spacing w:before="95" w:line="367" w:lineRule="auto"/>
        <w:ind w:left="116" w:right="484"/>
        <w:jc w:val="both"/>
        <w:rPr>
          <w:b/>
          <w:sz w:val="21"/>
        </w:rPr>
      </w:pPr>
      <w:r>
        <w:rPr>
          <w:b/>
          <w:sz w:val="21"/>
        </w:rPr>
        <w:t>PROYECTO DE LEY QUE MODIFICA LA LEGÍTIMA DEFENSA, CLARIFICANDO LA REDACCIÓN DE LA NORMA, Y TIPIFICANDO MEDIOS DE DEFENSA PERSONAL.</w:t>
      </w:r>
    </w:p>
    <w:p w:rsidR="002D1604" w:rsidRDefault="002D1604">
      <w:pPr>
        <w:pStyle w:val="Textoindependiente"/>
        <w:ind w:left="0"/>
        <w:rPr>
          <w:b/>
          <w:sz w:val="24"/>
        </w:rPr>
      </w:pPr>
    </w:p>
    <w:p w:rsidR="002D1604" w:rsidRDefault="002D1604">
      <w:pPr>
        <w:pStyle w:val="Textoindependiente"/>
        <w:ind w:left="0"/>
        <w:rPr>
          <w:b/>
          <w:sz w:val="24"/>
        </w:rPr>
      </w:pPr>
    </w:p>
    <w:p w:rsidR="002D1604" w:rsidRDefault="002D1604">
      <w:pPr>
        <w:pStyle w:val="Textoindependiente"/>
        <w:ind w:left="0"/>
        <w:rPr>
          <w:b/>
          <w:sz w:val="27"/>
        </w:rPr>
      </w:pPr>
    </w:p>
    <w:p w:rsidR="002D1604" w:rsidRDefault="00144CB5">
      <w:pPr>
        <w:pStyle w:val="Prrafodelista"/>
        <w:numPr>
          <w:ilvl w:val="0"/>
          <w:numId w:val="1"/>
        </w:numPr>
        <w:tabs>
          <w:tab w:val="left" w:pos="1167"/>
          <w:tab w:val="left" w:pos="1168"/>
        </w:tabs>
        <w:ind w:hanging="702"/>
        <w:rPr>
          <w:b/>
          <w:sz w:val="21"/>
        </w:rPr>
      </w:pPr>
      <w:r>
        <w:rPr>
          <w:b/>
          <w:sz w:val="21"/>
        </w:rPr>
        <w:t>Ideas</w:t>
      </w:r>
      <w:r>
        <w:rPr>
          <w:b/>
          <w:spacing w:val="8"/>
          <w:sz w:val="21"/>
        </w:rPr>
        <w:t xml:space="preserve"> </w:t>
      </w:r>
      <w:r>
        <w:rPr>
          <w:b/>
          <w:spacing w:val="-2"/>
          <w:sz w:val="21"/>
        </w:rPr>
        <w:t>Generales</w:t>
      </w:r>
    </w:p>
    <w:p w:rsidR="002D1604" w:rsidRDefault="002D1604">
      <w:pPr>
        <w:pStyle w:val="Textoindependiente"/>
        <w:ind w:left="0"/>
        <w:rPr>
          <w:b/>
          <w:sz w:val="24"/>
        </w:rPr>
      </w:pPr>
    </w:p>
    <w:p w:rsidR="002D1604" w:rsidRDefault="002D1604">
      <w:pPr>
        <w:pStyle w:val="Textoindependiente"/>
        <w:spacing w:before="3"/>
        <w:ind w:left="0"/>
        <w:rPr>
          <w:b/>
          <w:sz w:val="28"/>
        </w:rPr>
      </w:pPr>
    </w:p>
    <w:p w:rsidR="002D1604" w:rsidRDefault="00144CB5">
      <w:pPr>
        <w:pStyle w:val="Prrafodelista"/>
        <w:numPr>
          <w:ilvl w:val="1"/>
          <w:numId w:val="1"/>
        </w:numPr>
        <w:tabs>
          <w:tab w:val="left" w:pos="817"/>
        </w:tabs>
        <w:rPr>
          <w:b/>
          <w:sz w:val="21"/>
        </w:rPr>
      </w:pPr>
      <w:r>
        <w:rPr>
          <w:b/>
          <w:sz w:val="21"/>
        </w:rPr>
        <w:t>Antecedentes</w:t>
      </w:r>
      <w:r>
        <w:rPr>
          <w:b/>
          <w:spacing w:val="19"/>
          <w:sz w:val="21"/>
        </w:rPr>
        <w:t xml:space="preserve"> </w:t>
      </w:r>
      <w:r>
        <w:rPr>
          <w:b/>
          <w:spacing w:val="-2"/>
          <w:sz w:val="21"/>
        </w:rPr>
        <w:t>generales</w:t>
      </w:r>
    </w:p>
    <w:p w:rsidR="002D1604" w:rsidRDefault="002D1604">
      <w:pPr>
        <w:pStyle w:val="Textoindependiente"/>
        <w:ind w:left="0"/>
        <w:rPr>
          <w:b/>
          <w:sz w:val="24"/>
        </w:rPr>
      </w:pPr>
    </w:p>
    <w:p w:rsidR="002D1604" w:rsidRDefault="00144CB5">
      <w:pPr>
        <w:pStyle w:val="Textoindependiente"/>
        <w:spacing w:before="169" w:line="264" w:lineRule="auto"/>
        <w:ind w:right="484"/>
        <w:jc w:val="both"/>
      </w:pPr>
      <w:r>
        <w:t>No podemos desconocer que el Estado chileno tiene el deber constitucional de otorgar seguridad a la población, tal como se desprende del artículo 1 inciso quinto de la Carta Fundamental.</w:t>
      </w:r>
    </w:p>
    <w:p w:rsidR="002D1604" w:rsidRDefault="00144CB5">
      <w:pPr>
        <w:pStyle w:val="Textoindependiente"/>
        <w:spacing w:before="155" w:line="264" w:lineRule="auto"/>
        <w:ind w:right="484"/>
        <w:jc w:val="both"/>
      </w:pPr>
      <w:r>
        <w:t>Sin embargo, actualmente atravesamos la peor crisis en materia de seg</w:t>
      </w:r>
      <w:r>
        <w:t>uridad de los últimos treinta años, donde sólo en lo que va del año, los homicidios han aumentado un 55% mientras que el robo</w:t>
      </w:r>
      <w:r>
        <w:rPr>
          <w:spacing w:val="40"/>
        </w:rPr>
        <w:t xml:space="preserve"> </w:t>
      </w:r>
      <w:r>
        <w:t>con violencia de vehículos motorizados lo ha hecho un 116%</w:t>
      </w:r>
      <w:r>
        <w:rPr>
          <w:vertAlign w:val="superscript"/>
        </w:rPr>
        <w:t>1</w:t>
      </w:r>
      <w:r>
        <w:t>.</w:t>
      </w:r>
    </w:p>
    <w:p w:rsidR="002D1604" w:rsidRDefault="00144CB5">
      <w:pPr>
        <w:pStyle w:val="Textoindependiente"/>
        <w:spacing w:before="156" w:line="264" w:lineRule="auto"/>
        <w:ind w:right="482"/>
        <w:jc w:val="both"/>
      </w:pPr>
      <w:r>
        <w:t>El resto de las cifras también son preocupantes: han aumentado las denuncias de robos con intimidación y de robo en lugar no habitado</w:t>
      </w:r>
      <w:r>
        <w:rPr>
          <w:vertAlign w:val="superscript"/>
        </w:rPr>
        <w:t>2</w:t>
      </w:r>
      <w:r>
        <w:t>, además del incremento en la violencia y la utilización</w:t>
      </w:r>
      <w:r>
        <w:rPr>
          <w:spacing w:val="40"/>
        </w:rPr>
        <w:t xml:space="preserve"> </w:t>
      </w:r>
      <w:r>
        <w:t>de armas de fuego para cometer estos delitos. En tal sentido, qui</w:t>
      </w:r>
      <w:r>
        <w:t>enes cometen estos delitos están dispuestos a agredir a sus víctimas, incluso privándolas de la propia vida.</w:t>
      </w:r>
    </w:p>
    <w:p w:rsidR="002D1604" w:rsidRDefault="00144CB5">
      <w:pPr>
        <w:spacing w:before="156" w:line="264" w:lineRule="auto"/>
        <w:ind w:left="116" w:right="482"/>
        <w:jc w:val="both"/>
        <w:rPr>
          <w:sz w:val="21"/>
        </w:rPr>
      </w:pPr>
      <w:r>
        <w:rPr>
          <w:sz w:val="21"/>
        </w:rPr>
        <w:t>Así ha quedado en evidencia con el gran número de casos investigados como robos con homicidio</w:t>
      </w:r>
      <w:r>
        <w:rPr>
          <w:sz w:val="21"/>
          <w:vertAlign w:val="superscript"/>
        </w:rPr>
        <w:t>3</w:t>
      </w:r>
      <w:r>
        <w:rPr>
          <w:sz w:val="21"/>
        </w:rPr>
        <w:t>, probablemente</w:t>
      </w:r>
      <w:r>
        <w:rPr>
          <w:spacing w:val="-1"/>
          <w:sz w:val="21"/>
        </w:rPr>
        <w:t xml:space="preserve"> </w:t>
      </w:r>
      <w:r>
        <w:rPr>
          <w:sz w:val="21"/>
        </w:rPr>
        <w:t>el más reciente perpetrado</w:t>
      </w:r>
      <w:r>
        <w:rPr>
          <w:spacing w:val="-2"/>
          <w:sz w:val="21"/>
        </w:rPr>
        <w:t xml:space="preserve"> </w:t>
      </w:r>
      <w:r>
        <w:rPr>
          <w:sz w:val="21"/>
        </w:rPr>
        <w:t>en</w:t>
      </w:r>
      <w:r>
        <w:rPr>
          <w:spacing w:val="-2"/>
          <w:sz w:val="21"/>
        </w:rPr>
        <w:t xml:space="preserve"> </w:t>
      </w:r>
      <w:r>
        <w:rPr>
          <w:sz w:val="21"/>
        </w:rPr>
        <w:t>la comu</w:t>
      </w:r>
      <w:r>
        <w:rPr>
          <w:sz w:val="21"/>
        </w:rPr>
        <w:t>na de Ovalle, donde, de acuerdo con lo</w:t>
      </w:r>
      <w:r>
        <w:rPr>
          <w:spacing w:val="-2"/>
          <w:sz w:val="21"/>
        </w:rPr>
        <w:t xml:space="preserve"> </w:t>
      </w:r>
      <w:r>
        <w:rPr>
          <w:sz w:val="21"/>
        </w:rPr>
        <w:t>señalado por el Fiscal Jaume Rojas Gatica “</w:t>
      </w:r>
      <w:r>
        <w:rPr>
          <w:i/>
          <w:sz w:val="21"/>
        </w:rPr>
        <w:t>al menos 15 sujetos -quienes tenían gran poder de fuego- ingresaron al lugar. Además de sustraer diversas especies, golpearon, torturaron y dieron muerte a uno de los residen</w:t>
      </w:r>
      <w:r>
        <w:rPr>
          <w:i/>
          <w:sz w:val="21"/>
        </w:rPr>
        <w:t>tes, luego de lo cual huyeron en vehículos que sustrajeron a las víctimas</w:t>
      </w:r>
      <w:r>
        <w:rPr>
          <w:sz w:val="21"/>
        </w:rPr>
        <w:t>”</w:t>
      </w:r>
      <w:r>
        <w:rPr>
          <w:sz w:val="21"/>
          <w:vertAlign w:val="superscript"/>
        </w:rPr>
        <w:t>4</w:t>
      </w:r>
      <w:r>
        <w:rPr>
          <w:sz w:val="21"/>
        </w:rPr>
        <w:t>.</w:t>
      </w:r>
    </w:p>
    <w:p w:rsidR="002D1604" w:rsidRDefault="00144CB5">
      <w:pPr>
        <w:pStyle w:val="Textoindependiente"/>
        <w:spacing w:before="158" w:line="261" w:lineRule="auto"/>
        <w:ind w:right="483"/>
        <w:jc w:val="both"/>
      </w:pPr>
      <w:r>
        <w:t>De</w:t>
      </w:r>
      <w:r>
        <w:rPr>
          <w:spacing w:val="-1"/>
        </w:rPr>
        <w:t xml:space="preserve"> </w:t>
      </w:r>
      <w:r>
        <w:t>este</w:t>
      </w:r>
      <w:r>
        <w:rPr>
          <w:spacing w:val="-3"/>
        </w:rPr>
        <w:t xml:space="preserve"> </w:t>
      </w:r>
      <w:r>
        <w:t>modo,</w:t>
      </w:r>
      <w:r>
        <w:rPr>
          <w:spacing w:val="-5"/>
        </w:rPr>
        <w:t xml:space="preserve"> </w:t>
      </w:r>
      <w:r>
        <w:t>existe</w:t>
      </w:r>
      <w:r>
        <w:rPr>
          <w:spacing w:val="-1"/>
        </w:rPr>
        <w:t xml:space="preserve"> </w:t>
      </w:r>
      <w:r>
        <w:t>una</w:t>
      </w:r>
      <w:r>
        <w:rPr>
          <w:spacing w:val="-1"/>
        </w:rPr>
        <w:t xml:space="preserve"> </w:t>
      </w:r>
      <w:r>
        <w:t>escalada</w:t>
      </w:r>
      <w:r>
        <w:rPr>
          <w:spacing w:val="-2"/>
        </w:rPr>
        <w:t xml:space="preserve"> </w:t>
      </w:r>
      <w:r>
        <w:t>en</w:t>
      </w:r>
      <w:r>
        <w:rPr>
          <w:spacing w:val="-7"/>
        </w:rPr>
        <w:t xml:space="preserve"> </w:t>
      </w:r>
      <w:r>
        <w:t>la</w:t>
      </w:r>
      <w:r>
        <w:rPr>
          <w:spacing w:val="-3"/>
        </w:rPr>
        <w:t xml:space="preserve"> </w:t>
      </w:r>
      <w:r>
        <w:t>comisión</w:t>
      </w:r>
      <w:r>
        <w:rPr>
          <w:spacing w:val="-7"/>
        </w:rPr>
        <w:t xml:space="preserve"> </w:t>
      </w:r>
      <w:r>
        <w:t>de</w:t>
      </w:r>
      <w:r>
        <w:rPr>
          <w:spacing w:val="-1"/>
        </w:rPr>
        <w:t xml:space="preserve"> </w:t>
      </w:r>
      <w:r>
        <w:t>delitos</w:t>
      </w:r>
      <w:r>
        <w:rPr>
          <w:spacing w:val="-2"/>
        </w:rPr>
        <w:t xml:space="preserve"> </w:t>
      </w:r>
      <w:r>
        <w:t>violentos</w:t>
      </w:r>
      <w:r>
        <w:rPr>
          <w:spacing w:val="-5"/>
        </w:rPr>
        <w:t xml:space="preserve"> </w:t>
      </w:r>
      <w:r>
        <w:t>que</w:t>
      </w:r>
      <w:r>
        <w:rPr>
          <w:spacing w:val="-6"/>
        </w:rPr>
        <w:t xml:space="preserve"> </w:t>
      </w:r>
      <w:r>
        <w:t>están</w:t>
      </w:r>
      <w:r>
        <w:rPr>
          <w:spacing w:val="-2"/>
        </w:rPr>
        <w:t xml:space="preserve"> </w:t>
      </w:r>
      <w:r>
        <w:t>sufriendo</w:t>
      </w:r>
      <w:r>
        <w:rPr>
          <w:spacing w:val="-7"/>
        </w:rPr>
        <w:t xml:space="preserve"> </w:t>
      </w:r>
      <w:r>
        <w:t>los</w:t>
      </w:r>
      <w:r>
        <w:rPr>
          <w:spacing w:val="-5"/>
        </w:rPr>
        <w:t xml:space="preserve"> </w:t>
      </w:r>
      <w:r>
        <w:t>chilenos, donde</w:t>
      </w:r>
      <w:r>
        <w:rPr>
          <w:spacing w:val="21"/>
        </w:rPr>
        <w:t xml:space="preserve"> </w:t>
      </w:r>
      <w:r>
        <w:t>por</w:t>
      </w:r>
      <w:r>
        <w:rPr>
          <w:spacing w:val="23"/>
        </w:rPr>
        <w:t xml:space="preserve"> </w:t>
      </w:r>
      <w:r>
        <w:t>falta</w:t>
      </w:r>
      <w:r>
        <w:rPr>
          <w:spacing w:val="24"/>
        </w:rPr>
        <w:t xml:space="preserve"> </w:t>
      </w:r>
      <w:r>
        <w:t>de</w:t>
      </w:r>
      <w:r>
        <w:rPr>
          <w:spacing w:val="21"/>
        </w:rPr>
        <w:t xml:space="preserve"> </w:t>
      </w:r>
      <w:r>
        <w:t>recursos</w:t>
      </w:r>
      <w:r>
        <w:rPr>
          <w:spacing w:val="23"/>
        </w:rPr>
        <w:t xml:space="preserve"> </w:t>
      </w:r>
      <w:r>
        <w:t>humanos</w:t>
      </w:r>
      <w:r>
        <w:rPr>
          <w:spacing w:val="23"/>
        </w:rPr>
        <w:t xml:space="preserve"> </w:t>
      </w:r>
      <w:r>
        <w:t>y</w:t>
      </w:r>
      <w:r>
        <w:rPr>
          <w:spacing w:val="20"/>
        </w:rPr>
        <w:t xml:space="preserve"> </w:t>
      </w:r>
      <w:r>
        <w:t>técnicos,</w:t>
      </w:r>
      <w:r>
        <w:rPr>
          <w:spacing w:val="23"/>
        </w:rPr>
        <w:t xml:space="preserve"> </w:t>
      </w:r>
      <w:r>
        <w:t>las</w:t>
      </w:r>
      <w:r>
        <w:rPr>
          <w:spacing w:val="25"/>
        </w:rPr>
        <w:t xml:space="preserve"> </w:t>
      </w:r>
      <w:r>
        <w:t>policías</w:t>
      </w:r>
      <w:r>
        <w:rPr>
          <w:spacing w:val="23"/>
        </w:rPr>
        <w:t xml:space="preserve"> </w:t>
      </w:r>
      <w:r>
        <w:t>no</w:t>
      </w:r>
      <w:r>
        <w:rPr>
          <w:spacing w:val="22"/>
        </w:rPr>
        <w:t xml:space="preserve"> </w:t>
      </w:r>
      <w:r>
        <w:t>alcanzan</w:t>
      </w:r>
      <w:r>
        <w:rPr>
          <w:spacing w:val="21"/>
        </w:rPr>
        <w:t xml:space="preserve"> </w:t>
      </w:r>
      <w:r>
        <w:t>a</w:t>
      </w:r>
      <w:r>
        <w:rPr>
          <w:spacing w:val="23"/>
        </w:rPr>
        <w:t xml:space="preserve"> </w:t>
      </w:r>
      <w:r>
        <w:t>defender</w:t>
      </w:r>
      <w:r>
        <w:rPr>
          <w:spacing w:val="20"/>
        </w:rPr>
        <w:t xml:space="preserve"> </w:t>
      </w:r>
      <w:r>
        <w:t>a</w:t>
      </w:r>
      <w:r>
        <w:rPr>
          <w:spacing w:val="26"/>
        </w:rPr>
        <w:t xml:space="preserve"> </w:t>
      </w:r>
      <w:r>
        <w:t>quiénes</w:t>
      </w:r>
      <w:r>
        <w:rPr>
          <w:spacing w:val="21"/>
        </w:rPr>
        <w:t xml:space="preserve"> </w:t>
      </w:r>
      <w:r>
        <w:rPr>
          <w:spacing w:val="-5"/>
        </w:rPr>
        <w:t>son</w:t>
      </w:r>
    </w:p>
    <w:p w:rsidR="002D1604" w:rsidRDefault="00144CB5">
      <w:pPr>
        <w:pStyle w:val="Textoindependiente"/>
        <w:spacing w:before="5"/>
        <w:ind w:left="0"/>
        <w:rPr>
          <w:sz w:val="18"/>
        </w:rPr>
      </w:pPr>
      <w:r>
        <w:pict>
          <v:rect id="docshape1" o:spid="_x0000_s1027" style="position:absolute;margin-left:82.8pt;margin-top:11.8pt;width:140.15pt;height:.7pt;z-index:-15728640;mso-wrap-distance-left:0;mso-wrap-distance-right:0;mso-position-horizontal-relative:page" fillcolor="black" stroked="f">
            <w10:wrap type="topAndBottom" anchorx="page"/>
          </v:rect>
        </w:pict>
      </w:r>
    </w:p>
    <w:p w:rsidR="002D1604" w:rsidRDefault="00144CB5">
      <w:pPr>
        <w:spacing w:before="102" w:line="244" w:lineRule="auto"/>
        <w:ind w:left="116" w:right="491"/>
        <w:rPr>
          <w:rFonts w:ascii="Calibri"/>
          <w:sz w:val="19"/>
        </w:rPr>
      </w:pPr>
      <w:r>
        <w:rPr>
          <w:rFonts w:ascii="Calibri"/>
          <w:sz w:val="19"/>
          <w:vertAlign w:val="superscript"/>
        </w:rPr>
        <w:t>1</w:t>
      </w:r>
      <w:r>
        <w:rPr>
          <w:rFonts w:ascii="Calibri"/>
          <w:sz w:val="19"/>
        </w:rPr>
        <w:t xml:space="preserve"> Disponible en: </w:t>
      </w:r>
      <w:r>
        <w:rPr>
          <w:rFonts w:ascii="Calibri"/>
          <w:color w:val="0562C1"/>
          <w:sz w:val="19"/>
          <w:u w:val="single" w:color="0562C1"/>
        </w:rPr>
        <w:t>https://</w:t>
      </w:r>
      <w:hyperlink r:id="rId6">
        <w:r>
          <w:rPr>
            <w:rFonts w:ascii="Calibri"/>
            <w:color w:val="0562C1"/>
            <w:sz w:val="19"/>
            <w:u w:val="single" w:color="0562C1"/>
          </w:rPr>
          <w:t>www.biobiochile.cl/noticias/nacional/chile/2022/10/18/estadistica-revela-aumento-</w:t>
        </w:r>
      </w:hyperlink>
      <w:r>
        <w:rPr>
          <w:rFonts w:ascii="Calibri"/>
          <w:color w:val="0562C1"/>
          <w:sz w:val="19"/>
        </w:rPr>
        <w:t xml:space="preserve"> </w:t>
      </w:r>
      <w:r>
        <w:rPr>
          <w:rFonts w:ascii="Calibri"/>
          <w:color w:val="0562C1"/>
          <w:spacing w:val="-2"/>
          <w:sz w:val="19"/>
          <w:u w:val="single" w:color="0562C1"/>
        </w:rPr>
        <w:t>de-55-en-homicidios-y-116-en-robo-violento-de-vehiculos-en-ultimo-ano.shtml</w:t>
      </w:r>
    </w:p>
    <w:p w:rsidR="002D1604" w:rsidRDefault="00144CB5">
      <w:pPr>
        <w:spacing w:before="2" w:line="244" w:lineRule="auto"/>
        <w:ind w:left="116" w:right="891"/>
        <w:rPr>
          <w:rFonts w:ascii="Calibri"/>
          <w:sz w:val="19"/>
        </w:rPr>
      </w:pPr>
      <w:r>
        <w:rPr>
          <w:rFonts w:ascii="Calibri"/>
          <w:sz w:val="19"/>
          <w:vertAlign w:val="superscript"/>
        </w:rPr>
        <w:t>2</w:t>
      </w:r>
      <w:r>
        <w:rPr>
          <w:rFonts w:ascii="Calibri"/>
          <w:sz w:val="19"/>
        </w:rPr>
        <w:t xml:space="preserve"> Disponible en: </w:t>
      </w:r>
      <w:r>
        <w:rPr>
          <w:rFonts w:ascii="Calibri"/>
          <w:color w:val="0562C1"/>
          <w:sz w:val="19"/>
          <w:u w:val="single" w:color="0562C1"/>
        </w:rPr>
        <w:t>https://</w:t>
      </w:r>
      <w:hyperlink r:id="rId7">
        <w:r>
          <w:rPr>
            <w:rFonts w:ascii="Calibri"/>
            <w:color w:val="0562C1"/>
            <w:sz w:val="19"/>
            <w:u w:val="single" w:color="0562C1"/>
          </w:rPr>
          <w:t>www.latercera.com/nacional/noticia/pdi-denuncias-por-ro</w:t>
        </w:r>
        <w:r>
          <w:rPr>
            <w:rFonts w:ascii="Calibri"/>
            <w:color w:val="0562C1"/>
            <w:sz w:val="19"/>
            <w:u w:val="single" w:color="0562C1"/>
          </w:rPr>
          <w:t>bos-aumentaron-41-</w:t>
        </w:r>
      </w:hyperlink>
      <w:r>
        <w:rPr>
          <w:rFonts w:ascii="Calibri"/>
          <w:color w:val="0562C1"/>
          <w:sz w:val="19"/>
        </w:rPr>
        <w:t xml:space="preserve"> </w:t>
      </w:r>
      <w:r>
        <w:rPr>
          <w:rFonts w:ascii="Calibri"/>
          <w:color w:val="0562C1"/>
          <w:spacing w:val="-2"/>
          <w:sz w:val="19"/>
          <w:u w:val="single" w:color="0562C1"/>
        </w:rPr>
        <w:t>entre-enero-y-septiembre-en-12-meses/SUDB5NXQXNCOBKJDEFCLP7HMKQ/</w:t>
      </w:r>
    </w:p>
    <w:p w:rsidR="002D1604" w:rsidRDefault="00144CB5">
      <w:pPr>
        <w:spacing w:before="2"/>
        <w:ind w:left="116"/>
        <w:rPr>
          <w:rFonts w:ascii="Calibri"/>
          <w:sz w:val="19"/>
        </w:rPr>
      </w:pPr>
      <w:r>
        <w:rPr>
          <w:rFonts w:ascii="Calibri"/>
          <w:sz w:val="19"/>
          <w:vertAlign w:val="superscript"/>
        </w:rPr>
        <w:t>3</w:t>
      </w:r>
      <w:r>
        <w:rPr>
          <w:rFonts w:ascii="Calibri"/>
          <w:spacing w:val="33"/>
          <w:sz w:val="19"/>
        </w:rPr>
        <w:t xml:space="preserve"> </w:t>
      </w:r>
      <w:r>
        <w:rPr>
          <w:rFonts w:ascii="Calibri"/>
          <w:sz w:val="19"/>
        </w:rPr>
        <w:t>Disponible</w:t>
      </w:r>
      <w:r>
        <w:rPr>
          <w:rFonts w:ascii="Calibri"/>
          <w:spacing w:val="30"/>
          <w:sz w:val="19"/>
        </w:rPr>
        <w:t xml:space="preserve"> </w:t>
      </w:r>
      <w:r>
        <w:rPr>
          <w:rFonts w:ascii="Calibri"/>
          <w:sz w:val="19"/>
        </w:rPr>
        <w:t>en:</w:t>
      </w:r>
      <w:r>
        <w:rPr>
          <w:rFonts w:ascii="Calibri"/>
          <w:spacing w:val="27"/>
          <w:sz w:val="19"/>
        </w:rPr>
        <w:t xml:space="preserve"> </w:t>
      </w:r>
      <w:r>
        <w:rPr>
          <w:rFonts w:ascii="Calibri"/>
          <w:color w:val="0562C1"/>
          <w:sz w:val="19"/>
          <w:u w:val="single" w:color="0562C1"/>
        </w:rPr>
        <w:t>https://</w:t>
      </w:r>
      <w:hyperlink r:id="rId8">
        <w:r>
          <w:rPr>
            <w:rFonts w:ascii="Calibri"/>
            <w:color w:val="0562C1"/>
            <w:sz w:val="19"/>
            <w:u w:val="single" w:color="0562C1"/>
          </w:rPr>
          <w:t>www.t13.cl/etiqueta/robo-con-</w:t>
        </w:r>
        <w:r>
          <w:rPr>
            <w:rFonts w:ascii="Calibri"/>
            <w:color w:val="0562C1"/>
            <w:spacing w:val="-2"/>
            <w:sz w:val="19"/>
            <w:u w:val="single" w:color="0562C1"/>
          </w:rPr>
          <w:t>homicidio</w:t>
        </w:r>
      </w:hyperlink>
    </w:p>
    <w:p w:rsidR="002D1604" w:rsidRDefault="00144CB5">
      <w:pPr>
        <w:spacing w:before="6" w:line="244" w:lineRule="auto"/>
        <w:ind w:left="116" w:right="867"/>
        <w:rPr>
          <w:rFonts w:ascii="Calibri"/>
          <w:sz w:val="19"/>
        </w:rPr>
      </w:pPr>
      <w:r>
        <w:rPr>
          <w:rFonts w:ascii="Calibri"/>
          <w:sz w:val="19"/>
          <w:vertAlign w:val="superscript"/>
        </w:rPr>
        <w:t>4</w:t>
      </w:r>
      <w:r>
        <w:rPr>
          <w:rFonts w:ascii="Calibri"/>
          <w:sz w:val="19"/>
        </w:rPr>
        <w:t xml:space="preserve"> Disponible en: </w:t>
      </w:r>
      <w:r>
        <w:rPr>
          <w:rFonts w:ascii="Calibri"/>
          <w:color w:val="0562C1"/>
          <w:sz w:val="19"/>
          <w:u w:val="single" w:color="0562C1"/>
        </w:rPr>
        <w:t>https://</w:t>
      </w:r>
      <w:hyperlink r:id="rId9">
        <w:r>
          <w:rPr>
            <w:rFonts w:ascii="Calibri"/>
            <w:color w:val="0562C1"/>
            <w:sz w:val="19"/>
            <w:u w:val="single" w:color="0562C1"/>
          </w:rPr>
          <w:t>www.biobiochile.cl/noticias/nacional/region-de-coquimbo/2022/12/14/prision-</w:t>
        </w:r>
      </w:hyperlink>
      <w:r>
        <w:rPr>
          <w:rFonts w:ascii="Calibri"/>
          <w:color w:val="0562C1"/>
          <w:sz w:val="19"/>
        </w:rPr>
        <w:t xml:space="preserve"> </w:t>
      </w:r>
      <w:r>
        <w:rPr>
          <w:rFonts w:ascii="Calibri"/>
          <w:color w:val="0562C1"/>
          <w:spacing w:val="-2"/>
          <w:sz w:val="19"/>
          <w:u w:val="single" w:color="0562C1"/>
        </w:rPr>
        <w:t>preventiva-para-sujeto-imputado-por-robo-con-homicidio-en-ovalle.shtml</w:t>
      </w:r>
    </w:p>
    <w:p w:rsidR="002D1604" w:rsidRDefault="002D1604">
      <w:pPr>
        <w:spacing w:line="244" w:lineRule="auto"/>
        <w:rPr>
          <w:rFonts w:ascii="Calibri"/>
          <w:sz w:val="19"/>
        </w:rPr>
        <w:sectPr w:rsidR="002D1604">
          <w:type w:val="continuous"/>
          <w:pgSz w:w="11910" w:h="16840"/>
          <w:pgMar w:top="1920" w:right="1160" w:bottom="280" w:left="1540" w:header="720" w:footer="720" w:gutter="0"/>
          <w:cols w:space="720"/>
        </w:sectPr>
      </w:pPr>
    </w:p>
    <w:p w:rsidR="002D1604" w:rsidRDefault="00144CB5">
      <w:pPr>
        <w:pStyle w:val="Textoindependiente"/>
        <w:spacing w:before="160" w:line="264" w:lineRule="auto"/>
        <w:ind w:right="484"/>
        <w:jc w:val="both"/>
      </w:pPr>
      <w:r>
        <w:lastRenderedPageBreak/>
        <w:t xml:space="preserve">víctimas </w:t>
      </w:r>
      <w:r>
        <w:t>de estos ataques. Así, la legítima defensa consagrada en nuestro Código Penal como causal de</w:t>
      </w:r>
      <w:r>
        <w:rPr>
          <w:spacing w:val="-1"/>
        </w:rPr>
        <w:t xml:space="preserve"> </w:t>
      </w:r>
      <w:r>
        <w:t>justificación, se vuelve</w:t>
      </w:r>
      <w:r>
        <w:rPr>
          <w:spacing w:val="-1"/>
        </w:rPr>
        <w:t xml:space="preserve"> </w:t>
      </w:r>
      <w:r>
        <w:t>muchas veces la</w:t>
      </w:r>
      <w:r>
        <w:rPr>
          <w:spacing w:val="-2"/>
        </w:rPr>
        <w:t xml:space="preserve"> </w:t>
      </w:r>
      <w:r>
        <w:t>única forma</w:t>
      </w:r>
      <w:r>
        <w:rPr>
          <w:spacing w:val="-1"/>
        </w:rPr>
        <w:t xml:space="preserve"> </w:t>
      </w:r>
      <w:r>
        <w:t>de</w:t>
      </w:r>
      <w:r>
        <w:rPr>
          <w:spacing w:val="-1"/>
        </w:rPr>
        <w:t xml:space="preserve"> </w:t>
      </w:r>
      <w:r>
        <w:t>cautelar</w:t>
      </w:r>
      <w:r>
        <w:rPr>
          <w:spacing w:val="-3"/>
        </w:rPr>
        <w:t xml:space="preserve"> </w:t>
      </w:r>
      <w:r>
        <w:t>la vida</w:t>
      </w:r>
      <w:r>
        <w:rPr>
          <w:spacing w:val="-2"/>
        </w:rPr>
        <w:t xml:space="preserve"> </w:t>
      </w:r>
      <w:r>
        <w:t>e integridad</w:t>
      </w:r>
      <w:r>
        <w:rPr>
          <w:spacing w:val="-2"/>
        </w:rPr>
        <w:t xml:space="preserve"> </w:t>
      </w:r>
      <w:r>
        <w:t>corporal, tanto propia como de familiares o terceros.</w:t>
      </w:r>
    </w:p>
    <w:p w:rsidR="002D1604" w:rsidRDefault="00144CB5">
      <w:pPr>
        <w:pStyle w:val="Textoindependiente"/>
        <w:spacing w:before="156" w:line="264" w:lineRule="auto"/>
        <w:ind w:right="485"/>
        <w:jc w:val="both"/>
      </w:pPr>
      <w:r>
        <w:t>A pesar de</w:t>
      </w:r>
      <w:r>
        <w:rPr>
          <w:spacing w:val="-1"/>
        </w:rPr>
        <w:t xml:space="preserve"> </w:t>
      </w:r>
      <w:r>
        <w:t>lo</w:t>
      </w:r>
      <w:r>
        <w:rPr>
          <w:spacing w:val="-2"/>
        </w:rPr>
        <w:t xml:space="preserve"> </w:t>
      </w:r>
      <w:r>
        <w:t>anterior, existe</w:t>
      </w:r>
      <w:r>
        <w:rPr>
          <w:spacing w:val="-1"/>
        </w:rPr>
        <w:t xml:space="preserve"> </w:t>
      </w:r>
      <w:r>
        <w:t>poca claridad</w:t>
      </w:r>
      <w:r>
        <w:rPr>
          <w:spacing w:val="-2"/>
        </w:rPr>
        <w:t xml:space="preserve"> </w:t>
      </w:r>
      <w:r>
        <w:t>en</w:t>
      </w:r>
      <w:r>
        <w:rPr>
          <w:spacing w:val="-2"/>
        </w:rPr>
        <w:t xml:space="preserve"> </w:t>
      </w:r>
      <w:r>
        <w:t>los</w:t>
      </w:r>
      <w:r>
        <w:rPr>
          <w:spacing w:val="-2"/>
        </w:rPr>
        <w:t xml:space="preserve"> </w:t>
      </w:r>
      <w:r>
        <w:t>términos</w:t>
      </w:r>
      <w:r>
        <w:rPr>
          <w:spacing w:val="-2"/>
        </w:rPr>
        <w:t xml:space="preserve"> </w:t>
      </w:r>
      <w:r>
        <w:t>utilizados</w:t>
      </w:r>
      <w:r>
        <w:rPr>
          <w:spacing w:val="-2"/>
        </w:rPr>
        <w:t xml:space="preserve"> </w:t>
      </w:r>
      <w:r>
        <w:t>por</w:t>
      </w:r>
      <w:r>
        <w:rPr>
          <w:spacing w:val="-2"/>
        </w:rPr>
        <w:t xml:space="preserve"> </w:t>
      </w:r>
      <w:r>
        <w:t>el Código</w:t>
      </w:r>
      <w:r>
        <w:rPr>
          <w:spacing w:val="-5"/>
        </w:rPr>
        <w:t xml:space="preserve"> </w:t>
      </w:r>
      <w:r>
        <w:t>Penal</w:t>
      </w:r>
      <w:r>
        <w:rPr>
          <w:spacing w:val="-2"/>
        </w:rPr>
        <w:t xml:space="preserve"> </w:t>
      </w:r>
      <w:r>
        <w:t>para</w:t>
      </w:r>
      <w:r>
        <w:rPr>
          <w:spacing w:val="-1"/>
        </w:rPr>
        <w:t xml:space="preserve"> </w:t>
      </w:r>
      <w:r>
        <w:t>señalar cuáles son los requisitos legales necesarios para que concurra la</w:t>
      </w:r>
      <w:r>
        <w:rPr>
          <w:spacing w:val="14"/>
        </w:rPr>
        <w:t xml:space="preserve"> </w:t>
      </w:r>
      <w:r>
        <w:t>legítima</w:t>
      </w:r>
      <w:r>
        <w:rPr>
          <w:spacing w:val="14"/>
        </w:rPr>
        <w:t xml:space="preserve"> </w:t>
      </w:r>
      <w:r>
        <w:t>defensa, lo</w:t>
      </w:r>
      <w:r>
        <w:rPr>
          <w:spacing w:val="16"/>
        </w:rPr>
        <w:t xml:space="preserve"> </w:t>
      </w:r>
      <w:r>
        <w:t>que deviene en</w:t>
      </w:r>
      <w:r>
        <w:rPr>
          <w:spacing w:val="40"/>
        </w:rPr>
        <w:t xml:space="preserve"> </w:t>
      </w:r>
      <w:r>
        <w:t xml:space="preserve">la necesidad de generar criterios interpretativos diversos por </w:t>
      </w:r>
      <w:r>
        <w:t>parte de la doctrina.</w:t>
      </w:r>
    </w:p>
    <w:p w:rsidR="002D1604" w:rsidRDefault="00144CB5">
      <w:pPr>
        <w:pStyle w:val="Textoindependiente"/>
        <w:spacing w:before="155" w:line="264" w:lineRule="auto"/>
        <w:ind w:right="481"/>
        <w:jc w:val="both"/>
      </w:pPr>
      <w:r>
        <w:t>Lo anterior significa que la interpretación y forma de fallar varía radicalmente de un caso a otro, no siendo igualitaria y equitativa para todos. De este modo, a pesar de que el sentido común nos llevaría</w:t>
      </w:r>
      <w:r>
        <w:rPr>
          <w:spacing w:val="40"/>
        </w:rPr>
        <w:t xml:space="preserve"> </w:t>
      </w:r>
      <w:r>
        <w:t>a interpretar en muchos casos la concurrencia de la legítima defensa, la interpretación diversa en manos</w:t>
      </w:r>
      <w:r>
        <w:rPr>
          <w:spacing w:val="20"/>
        </w:rPr>
        <w:t xml:space="preserve"> </w:t>
      </w:r>
      <w:r>
        <w:t>de Fiscales y Jueces se</w:t>
      </w:r>
      <w:r>
        <w:rPr>
          <w:spacing w:val="21"/>
        </w:rPr>
        <w:t xml:space="preserve"> </w:t>
      </w:r>
      <w:r>
        <w:t>traduce en que en casos de similares características, la diversidad en</w:t>
      </w:r>
      <w:r>
        <w:rPr>
          <w:spacing w:val="40"/>
        </w:rPr>
        <w:t xml:space="preserve"> </w:t>
      </w:r>
      <w:r>
        <w:t>los</w:t>
      </w:r>
      <w:r>
        <w:rPr>
          <w:spacing w:val="28"/>
        </w:rPr>
        <w:t xml:space="preserve"> </w:t>
      </w:r>
      <w:r>
        <w:t>criterios</w:t>
      </w:r>
      <w:r>
        <w:rPr>
          <w:spacing w:val="30"/>
        </w:rPr>
        <w:t xml:space="preserve"> </w:t>
      </w:r>
      <w:r>
        <w:t>puede llevar</w:t>
      </w:r>
      <w:r>
        <w:rPr>
          <w:spacing w:val="27"/>
        </w:rPr>
        <w:t xml:space="preserve"> </w:t>
      </w:r>
      <w:r>
        <w:t>a</w:t>
      </w:r>
      <w:r>
        <w:rPr>
          <w:spacing w:val="25"/>
        </w:rPr>
        <w:t xml:space="preserve"> </w:t>
      </w:r>
      <w:r>
        <w:t>resultados</w:t>
      </w:r>
      <w:r>
        <w:rPr>
          <w:spacing w:val="26"/>
        </w:rPr>
        <w:t xml:space="preserve"> </w:t>
      </w:r>
      <w:r>
        <w:t>completamente</w:t>
      </w:r>
      <w:r>
        <w:rPr>
          <w:spacing w:val="25"/>
        </w:rPr>
        <w:t xml:space="preserve"> </w:t>
      </w:r>
      <w:r>
        <w:t>co</w:t>
      </w:r>
      <w:r>
        <w:t>ntrarios. Como</w:t>
      </w:r>
      <w:r>
        <w:rPr>
          <w:spacing w:val="28"/>
        </w:rPr>
        <w:t xml:space="preserve"> </w:t>
      </w:r>
      <w:r>
        <w:t>resultado,</w:t>
      </w:r>
      <w:r>
        <w:rPr>
          <w:spacing w:val="26"/>
        </w:rPr>
        <w:t xml:space="preserve"> </w:t>
      </w:r>
      <w:r>
        <w:t>algunos estudios de corte académico han demostrado que, aunque se aplica, se aplica poco. Así, “de un universo de</w:t>
      </w:r>
      <w:r>
        <w:rPr>
          <w:spacing w:val="80"/>
        </w:rPr>
        <w:t xml:space="preserve"> </w:t>
      </w:r>
      <w:r>
        <w:t>180 fallos revisados, sólo el 10,5 % acoge la eximente de legítima defensa; el 15,5 % acoge la atenuante incompleta;</w:t>
      </w:r>
      <w:r>
        <w:t xml:space="preserve"> y el 74 % rechaza la invocación de la eximente”</w:t>
      </w:r>
      <w:r>
        <w:rPr>
          <w:vertAlign w:val="superscript"/>
        </w:rPr>
        <w:t>5</w:t>
      </w:r>
      <w:r>
        <w:t>.</w:t>
      </w:r>
    </w:p>
    <w:p w:rsidR="002D1604" w:rsidRDefault="00144CB5">
      <w:pPr>
        <w:pStyle w:val="Textoindependiente"/>
        <w:spacing w:before="158" w:line="264" w:lineRule="auto"/>
        <w:ind w:right="482"/>
        <w:jc w:val="both"/>
      </w:pPr>
      <w:r>
        <w:t>Además, existen problemas relacionados con el medio u arma utilizada para evitar o repeler la agresión ilegítima. En tal sentido, si analizamos los medios de defensa más utilizados por la ciudadanía nos so</w:t>
      </w:r>
      <w:r>
        <w:t>rprenderíamos, ya que, de acuerdo con lo señalado por el sitio web de 24 horas, “Más del 50% de las armas</w:t>
      </w:r>
      <w:r>
        <w:rPr>
          <w:spacing w:val="-1"/>
        </w:rPr>
        <w:t xml:space="preserve"> </w:t>
      </w:r>
      <w:r>
        <w:t>inscritas en Chile son utilizadas para defensa personal”. Recordemos que, desde la reforma legal de febrero de este año, el porte de gas pimienta es i</w:t>
      </w:r>
      <w:r>
        <w:t xml:space="preserve">legal. Lamentablemente, este método que era utilizado como medio de defensa personal, de fácil compra en una armería, fue </w:t>
      </w:r>
      <w:r>
        <w:rPr>
          <w:spacing w:val="-2"/>
        </w:rPr>
        <w:t>prohibido.</w:t>
      </w:r>
    </w:p>
    <w:p w:rsidR="002D1604" w:rsidRDefault="00144CB5">
      <w:pPr>
        <w:spacing w:before="156" w:line="264" w:lineRule="auto"/>
        <w:ind w:left="116" w:right="483"/>
        <w:jc w:val="both"/>
        <w:rPr>
          <w:sz w:val="21"/>
        </w:rPr>
      </w:pPr>
      <w:r>
        <w:rPr>
          <w:sz w:val="21"/>
        </w:rPr>
        <w:t>Ahora bien, lamentablemente el ejecutivo ha impulsado erróneamente la idea de que desarmando completamente a la población s</w:t>
      </w:r>
      <w:r>
        <w:rPr>
          <w:sz w:val="21"/>
        </w:rPr>
        <w:t>e reducirán los delitos violentos, lo que es una equivocación pues la mayoría de las armas que tienen las bandas y organizaciones criminales que cometen delitos no provienen de robos o hurtos de armas inscritas, sino que del contrabando y del reacondiciona</w:t>
      </w:r>
      <w:r>
        <w:rPr>
          <w:sz w:val="21"/>
        </w:rPr>
        <w:t xml:space="preserve">miento ilegal. Esto significa que sólo un </w:t>
      </w:r>
      <w:r>
        <w:rPr>
          <w:i/>
          <w:sz w:val="21"/>
        </w:rPr>
        <w:t>“12% del armamento retirado de circulación por personal uniformado está inscrito, y denunciado por robo o extravío. Dicho de otra forma, el 88% de lo incautado en 2021, son armas internadas ilegalmente, a fogueo re</w:t>
      </w:r>
      <w:r>
        <w:rPr>
          <w:i/>
          <w:sz w:val="21"/>
        </w:rPr>
        <w:t>acondicionadas para el disparo o armas hechizas</w:t>
      </w:r>
      <w:r>
        <w:rPr>
          <w:sz w:val="21"/>
        </w:rPr>
        <w:t>”</w:t>
      </w:r>
      <w:r>
        <w:rPr>
          <w:sz w:val="21"/>
          <w:vertAlign w:val="superscript"/>
        </w:rPr>
        <w:t>6</w:t>
      </w:r>
      <w:r>
        <w:rPr>
          <w:sz w:val="21"/>
        </w:rPr>
        <w:t>.</w:t>
      </w:r>
    </w:p>
    <w:p w:rsidR="002D1604" w:rsidRDefault="00144CB5">
      <w:pPr>
        <w:pStyle w:val="Textoindependiente"/>
        <w:spacing w:before="158" w:line="261" w:lineRule="auto"/>
        <w:ind w:right="484"/>
        <w:jc w:val="both"/>
      </w:pPr>
      <w:r>
        <w:t>Lo interesante en este punto es hacer notar que en principio todos tenemos derecho a la legítima defensa, pero que, a la hora de pensar en medios para ejercerla, la mayoría de ellas son ilegales.</w:t>
      </w:r>
    </w:p>
    <w:p w:rsidR="002D1604" w:rsidRDefault="00144CB5">
      <w:pPr>
        <w:pStyle w:val="Textoindependiente"/>
        <w:spacing w:before="160" w:line="264" w:lineRule="auto"/>
        <w:ind w:right="482"/>
        <w:jc w:val="both"/>
      </w:pPr>
      <w:r>
        <w:t>Por otro lado, es efectivo que en materia de legítima defensa existe un problema en relación con la carga de la prueba, pues por regla general, es el imputado el que debe probar la concurrencia de la legítima defensa, lo que deviene en un injusto pues, a d</w:t>
      </w:r>
      <w:r>
        <w:t>iferencia del Fiscal que tiene la posición aventajada para investigar y presentar las pruebas en el juicio, al tener directa conexión con las policías, y poder solicitar las diligencias necesarias para ello, el defensor carece de ello, de forma tal que</w:t>
      </w:r>
      <w:r>
        <w:rPr>
          <w:spacing w:val="-6"/>
        </w:rPr>
        <w:t xml:space="preserve"> </w:t>
      </w:r>
      <w:r>
        <w:t>los</w:t>
      </w:r>
      <w:r>
        <w:rPr>
          <w:spacing w:val="-3"/>
        </w:rPr>
        <w:t xml:space="preserve"> </w:t>
      </w:r>
      <w:r>
        <w:t>antecedentes</w:t>
      </w:r>
      <w:r>
        <w:rPr>
          <w:spacing w:val="-3"/>
        </w:rPr>
        <w:t xml:space="preserve"> </w:t>
      </w:r>
      <w:r>
        <w:t>que</w:t>
      </w:r>
      <w:r>
        <w:rPr>
          <w:spacing w:val="-3"/>
        </w:rPr>
        <w:t xml:space="preserve"> </w:t>
      </w:r>
      <w:r>
        <w:t>pone</w:t>
      </w:r>
      <w:r>
        <w:rPr>
          <w:spacing w:val="-2"/>
        </w:rPr>
        <w:t xml:space="preserve"> </w:t>
      </w:r>
      <w:r>
        <w:t>a</w:t>
      </w:r>
      <w:r>
        <w:rPr>
          <w:spacing w:val="-5"/>
        </w:rPr>
        <w:t xml:space="preserve"> </w:t>
      </w:r>
      <w:r>
        <w:t>disposición</w:t>
      </w:r>
      <w:r>
        <w:rPr>
          <w:spacing w:val="-3"/>
        </w:rPr>
        <w:t xml:space="preserve"> </w:t>
      </w:r>
      <w:r>
        <w:t>de</w:t>
      </w:r>
      <w:r>
        <w:rPr>
          <w:spacing w:val="-3"/>
        </w:rPr>
        <w:t xml:space="preserve"> </w:t>
      </w:r>
      <w:r>
        <w:t>los</w:t>
      </w:r>
      <w:r>
        <w:rPr>
          <w:spacing w:val="-6"/>
        </w:rPr>
        <w:t xml:space="preserve"> </w:t>
      </w:r>
      <w:r>
        <w:t>Tribunales</w:t>
      </w:r>
      <w:r>
        <w:rPr>
          <w:spacing w:val="-8"/>
        </w:rPr>
        <w:t xml:space="preserve"> </w:t>
      </w:r>
      <w:r>
        <w:t>de</w:t>
      </w:r>
      <w:r>
        <w:rPr>
          <w:spacing w:val="-3"/>
        </w:rPr>
        <w:t xml:space="preserve"> </w:t>
      </w:r>
      <w:r>
        <w:t>Justicia</w:t>
      </w:r>
      <w:r>
        <w:rPr>
          <w:spacing w:val="-3"/>
        </w:rPr>
        <w:t xml:space="preserve"> </w:t>
      </w:r>
      <w:r>
        <w:t>suele</w:t>
      </w:r>
      <w:r>
        <w:rPr>
          <w:spacing w:val="-6"/>
        </w:rPr>
        <w:t xml:space="preserve"> </w:t>
      </w:r>
      <w:r>
        <w:t>devenir</w:t>
      </w:r>
      <w:r>
        <w:rPr>
          <w:spacing w:val="-5"/>
        </w:rPr>
        <w:t xml:space="preserve"> </w:t>
      </w:r>
      <w:r>
        <w:t>en</w:t>
      </w:r>
      <w:r>
        <w:rPr>
          <w:spacing w:val="-6"/>
        </w:rPr>
        <w:t xml:space="preserve"> </w:t>
      </w:r>
      <w:r>
        <w:t>insuficiente. Lo</w:t>
      </w:r>
      <w:r>
        <w:rPr>
          <w:spacing w:val="17"/>
        </w:rPr>
        <w:t xml:space="preserve"> </w:t>
      </w:r>
      <w:r>
        <w:t>anterior</w:t>
      </w:r>
      <w:r>
        <w:rPr>
          <w:spacing w:val="13"/>
        </w:rPr>
        <w:t xml:space="preserve"> </w:t>
      </w:r>
      <w:r>
        <w:t>resultará</w:t>
      </w:r>
      <w:r>
        <w:rPr>
          <w:spacing w:val="12"/>
        </w:rPr>
        <w:t xml:space="preserve"> </w:t>
      </w:r>
      <w:r>
        <w:t>especialmente</w:t>
      </w:r>
      <w:r>
        <w:rPr>
          <w:spacing w:val="17"/>
        </w:rPr>
        <w:t xml:space="preserve"> </w:t>
      </w:r>
      <w:r>
        <w:t>problemático</w:t>
      </w:r>
      <w:r>
        <w:rPr>
          <w:spacing w:val="16"/>
        </w:rPr>
        <w:t xml:space="preserve"> </w:t>
      </w:r>
      <w:r>
        <w:t>si</w:t>
      </w:r>
      <w:r>
        <w:rPr>
          <w:spacing w:val="18"/>
        </w:rPr>
        <w:t xml:space="preserve"> </w:t>
      </w:r>
      <w:r>
        <w:t>estamos</w:t>
      </w:r>
      <w:r>
        <w:rPr>
          <w:spacing w:val="13"/>
        </w:rPr>
        <w:t xml:space="preserve"> </w:t>
      </w:r>
      <w:r>
        <w:t>ante</w:t>
      </w:r>
      <w:r>
        <w:rPr>
          <w:spacing w:val="16"/>
        </w:rPr>
        <w:t xml:space="preserve"> </w:t>
      </w:r>
      <w:r>
        <w:t>quien,</w:t>
      </w:r>
      <w:r>
        <w:rPr>
          <w:spacing w:val="17"/>
        </w:rPr>
        <w:t xml:space="preserve"> </w:t>
      </w:r>
      <w:r>
        <w:t>de</w:t>
      </w:r>
      <w:r>
        <w:rPr>
          <w:spacing w:val="14"/>
        </w:rPr>
        <w:t xml:space="preserve"> </w:t>
      </w:r>
      <w:r>
        <w:t>forma</w:t>
      </w:r>
      <w:r>
        <w:rPr>
          <w:spacing w:val="10"/>
        </w:rPr>
        <w:t xml:space="preserve"> </w:t>
      </w:r>
      <w:r>
        <w:t>evidente,</w:t>
      </w:r>
      <w:r>
        <w:rPr>
          <w:spacing w:val="18"/>
        </w:rPr>
        <w:t xml:space="preserve"> </w:t>
      </w:r>
      <w:r>
        <w:rPr>
          <w:spacing w:val="-2"/>
        </w:rPr>
        <w:t>buscaba</w:t>
      </w:r>
    </w:p>
    <w:p w:rsidR="002D1604" w:rsidRDefault="00144CB5">
      <w:pPr>
        <w:pStyle w:val="Textoindependiente"/>
        <w:spacing w:before="1"/>
        <w:ind w:left="0"/>
        <w:rPr>
          <w:sz w:val="26"/>
        </w:rPr>
      </w:pPr>
      <w:r>
        <w:pict>
          <v:rect id="docshape2" o:spid="_x0000_s1026" style="position:absolute;margin-left:82.8pt;margin-top:16.2pt;width:140.15pt;height:.6pt;z-index:-15728128;mso-wrap-distance-left:0;mso-wrap-distance-right:0;mso-position-horizontal-relative:page" fillcolor="black" stroked="f">
            <w10:wrap type="topAndBottom" anchorx="page"/>
          </v:rect>
        </w:pict>
      </w:r>
    </w:p>
    <w:p w:rsidR="002D1604" w:rsidRDefault="00144CB5">
      <w:pPr>
        <w:spacing w:before="104" w:line="244" w:lineRule="auto"/>
        <w:ind w:left="116" w:right="689"/>
        <w:rPr>
          <w:rFonts w:ascii="Calibri"/>
          <w:sz w:val="19"/>
        </w:rPr>
      </w:pPr>
      <w:r>
        <w:rPr>
          <w:rFonts w:ascii="Calibri"/>
          <w:sz w:val="19"/>
          <w:vertAlign w:val="superscript"/>
        </w:rPr>
        <w:t>5</w:t>
      </w:r>
      <w:r>
        <w:rPr>
          <w:rFonts w:ascii="Calibri"/>
          <w:sz w:val="19"/>
        </w:rPr>
        <w:t xml:space="preserve"> Disponible en: </w:t>
      </w:r>
      <w:r>
        <w:rPr>
          <w:rFonts w:ascii="Calibri"/>
          <w:color w:val="0562C1"/>
          <w:sz w:val="19"/>
          <w:u w:val="single" w:color="0562C1"/>
        </w:rPr>
        <w:t>https://repositorio.uchile.cl/bitstream/handle/2250/130059/La-carga-de-la-prueba-en-la-</w:t>
      </w:r>
      <w:r>
        <w:rPr>
          <w:rFonts w:ascii="Calibri"/>
          <w:color w:val="0562C1"/>
          <w:sz w:val="19"/>
        </w:rPr>
        <w:t xml:space="preserve"> </w:t>
      </w:r>
      <w:r>
        <w:rPr>
          <w:rFonts w:ascii="Calibri"/>
          <w:color w:val="0562C1"/>
          <w:spacing w:val="-2"/>
          <w:sz w:val="19"/>
          <w:u w:val="single" w:color="0562C1"/>
        </w:rPr>
        <w:t>leg%C3%ADtima-defensa.pdf?sequence=1&amp;isAllowed=y</w:t>
      </w:r>
    </w:p>
    <w:p w:rsidR="002D1604" w:rsidRDefault="00144CB5">
      <w:pPr>
        <w:spacing w:before="2" w:line="244" w:lineRule="auto"/>
        <w:ind w:left="116" w:right="1008"/>
        <w:rPr>
          <w:rFonts w:ascii="Calibri"/>
          <w:sz w:val="19"/>
        </w:rPr>
      </w:pPr>
      <w:r>
        <w:rPr>
          <w:rFonts w:ascii="Calibri"/>
          <w:sz w:val="19"/>
          <w:vertAlign w:val="superscript"/>
        </w:rPr>
        <w:t>6</w:t>
      </w:r>
      <w:r>
        <w:rPr>
          <w:rFonts w:ascii="Calibri"/>
          <w:sz w:val="19"/>
        </w:rPr>
        <w:t xml:space="preserve"> Diego Vera. Bio Bio Chile. (Diciembre 2022) Disponible en: </w:t>
      </w:r>
      <w:r>
        <w:rPr>
          <w:rFonts w:ascii="Calibri"/>
          <w:color w:val="0562C1"/>
          <w:spacing w:val="-2"/>
          <w:sz w:val="19"/>
          <w:u w:val="single" w:color="0562C1"/>
        </w:rPr>
        <w:t>https://</w:t>
      </w:r>
      <w:hyperlink r:id="rId10">
        <w:r>
          <w:rPr>
            <w:rFonts w:ascii="Calibri"/>
            <w:color w:val="0562C1"/>
            <w:spacing w:val="-2"/>
            <w:sz w:val="19"/>
            <w:u w:val="single" w:color="0562C1"/>
          </w:rPr>
          <w:t>www.biobiochile.cl/noticias/nacional/chile/2022/07/22/solo-el-12-de-las-armas-incautadas-a-</w:t>
        </w:r>
      </w:hyperlink>
      <w:r>
        <w:rPr>
          <w:rFonts w:ascii="Calibri"/>
          <w:color w:val="0562C1"/>
          <w:spacing w:val="80"/>
          <w:sz w:val="19"/>
        </w:rPr>
        <w:t xml:space="preserve">  </w:t>
      </w:r>
      <w:r>
        <w:rPr>
          <w:rFonts w:ascii="Calibri"/>
          <w:color w:val="0562C1"/>
          <w:spacing w:val="-2"/>
          <w:sz w:val="19"/>
          <w:u w:val="single" w:color="0562C1"/>
        </w:rPr>
        <w:t>delincuentes-en-2021-estaban-inscritas.shtml</w:t>
      </w:r>
    </w:p>
    <w:p w:rsidR="002D1604" w:rsidRDefault="002D1604">
      <w:pPr>
        <w:spacing w:line="244" w:lineRule="auto"/>
        <w:rPr>
          <w:rFonts w:ascii="Calibri"/>
          <w:sz w:val="19"/>
        </w:rPr>
        <w:sectPr w:rsidR="002D1604">
          <w:pgSz w:w="11910" w:h="16840"/>
          <w:pgMar w:top="1920" w:right="1160" w:bottom="280" w:left="1540" w:header="720" w:footer="720" w:gutter="0"/>
          <w:cols w:space="720"/>
        </w:sectPr>
      </w:pPr>
    </w:p>
    <w:p w:rsidR="002D1604" w:rsidRDefault="00144CB5">
      <w:pPr>
        <w:pStyle w:val="Textoindependiente"/>
        <w:spacing w:before="160" w:line="264" w:lineRule="auto"/>
        <w:ind w:right="483"/>
        <w:jc w:val="both"/>
      </w:pPr>
      <w:r>
        <w:lastRenderedPageBreak/>
        <w:t>defenderse</w:t>
      </w:r>
      <w:r>
        <w:rPr>
          <w:spacing w:val="15"/>
        </w:rPr>
        <w:t xml:space="preserve"> </w:t>
      </w:r>
      <w:r>
        <w:t>a sí</w:t>
      </w:r>
      <w:r>
        <w:rPr>
          <w:spacing w:val="15"/>
        </w:rPr>
        <w:t xml:space="preserve"> </w:t>
      </w:r>
      <w:r>
        <w:t>mismo, a</w:t>
      </w:r>
      <w:r>
        <w:rPr>
          <w:spacing w:val="15"/>
        </w:rPr>
        <w:t xml:space="preserve"> </w:t>
      </w:r>
      <w:r>
        <w:t xml:space="preserve">su familia </w:t>
      </w:r>
      <w:r>
        <w:t>o</w:t>
      </w:r>
      <w:r>
        <w:rPr>
          <w:spacing w:val="15"/>
        </w:rPr>
        <w:t xml:space="preserve"> </w:t>
      </w:r>
      <w:r>
        <w:t>a</w:t>
      </w:r>
      <w:r>
        <w:rPr>
          <w:spacing w:val="15"/>
        </w:rPr>
        <w:t xml:space="preserve"> </w:t>
      </w:r>
      <w:r>
        <w:t>un tercero,</w:t>
      </w:r>
      <w:r>
        <w:rPr>
          <w:spacing w:val="15"/>
        </w:rPr>
        <w:t xml:space="preserve"> </w:t>
      </w:r>
      <w:r>
        <w:t>de un robo,</w:t>
      </w:r>
      <w:r>
        <w:rPr>
          <w:spacing w:val="15"/>
        </w:rPr>
        <w:t xml:space="preserve"> </w:t>
      </w:r>
      <w:r>
        <w:t>de</w:t>
      </w:r>
      <w:r>
        <w:rPr>
          <w:spacing w:val="15"/>
        </w:rPr>
        <w:t xml:space="preserve"> </w:t>
      </w:r>
      <w:r>
        <w:t>una</w:t>
      </w:r>
      <w:r>
        <w:rPr>
          <w:spacing w:val="15"/>
        </w:rPr>
        <w:t xml:space="preserve"> </w:t>
      </w:r>
      <w:r>
        <w:t>violación</w:t>
      </w:r>
      <w:r>
        <w:rPr>
          <w:spacing w:val="15"/>
        </w:rPr>
        <w:t xml:space="preserve"> </w:t>
      </w:r>
      <w:r>
        <w:t>o</w:t>
      </w:r>
      <w:r>
        <w:rPr>
          <w:spacing w:val="15"/>
        </w:rPr>
        <w:t xml:space="preserve"> </w:t>
      </w:r>
      <w:r>
        <w:t>de</w:t>
      </w:r>
      <w:r>
        <w:rPr>
          <w:spacing w:val="15"/>
        </w:rPr>
        <w:t xml:space="preserve"> </w:t>
      </w:r>
      <w:r>
        <w:t>un homicidio. Es por ello que una primera reforma probatoria,</w:t>
      </w:r>
      <w:r>
        <w:rPr>
          <w:spacing w:val="-3"/>
        </w:rPr>
        <w:t xml:space="preserve"> </w:t>
      </w:r>
      <w:r>
        <w:t>debe</w:t>
      </w:r>
      <w:r>
        <w:rPr>
          <w:spacing w:val="-1"/>
        </w:rPr>
        <w:t xml:space="preserve"> </w:t>
      </w:r>
      <w:r>
        <w:t>ir</w:t>
      </w:r>
      <w:r>
        <w:rPr>
          <w:spacing w:val="-3"/>
        </w:rPr>
        <w:t xml:space="preserve"> </w:t>
      </w:r>
      <w:r>
        <w:t>en la dirección de exigir al Ministerio Público el probar la no concurrencia de la legítima defensa, de este modo, la defensa no sería l</w:t>
      </w:r>
      <w:r>
        <w:t>a encargada de probar, en este caso, la inocencia de quien se ha defendido de una agresión ilegítima.</w:t>
      </w:r>
    </w:p>
    <w:p w:rsidR="002D1604" w:rsidRDefault="00144CB5">
      <w:pPr>
        <w:pStyle w:val="Textoindependiente"/>
        <w:spacing w:before="156" w:line="264" w:lineRule="auto"/>
        <w:ind w:right="483"/>
        <w:jc w:val="both"/>
      </w:pPr>
      <w:r>
        <w:t>En este sentido, el presente</w:t>
      </w:r>
      <w:r>
        <w:rPr>
          <w:spacing w:val="-3"/>
        </w:rPr>
        <w:t xml:space="preserve"> </w:t>
      </w:r>
      <w:r>
        <w:t>proyecto de ley busca realizar mejoras en</w:t>
      </w:r>
      <w:r>
        <w:rPr>
          <w:spacing w:val="-3"/>
        </w:rPr>
        <w:t xml:space="preserve"> </w:t>
      </w:r>
      <w:r>
        <w:t>torno a los requisitos necesarios para que concurra la legítima defensa, clarificán</w:t>
      </w:r>
      <w:r>
        <w:t>dolos. También modifica diversos cuerpos legales, contemplando de modo expreso medios defensa personal cuya utilización con ánimo de defender la propia vida, la de familiares</w:t>
      </w:r>
      <w:r>
        <w:rPr>
          <w:spacing w:val="21"/>
        </w:rPr>
        <w:t xml:space="preserve"> </w:t>
      </w:r>
      <w:r>
        <w:t>o terceros, no debería</w:t>
      </w:r>
      <w:r>
        <w:rPr>
          <w:spacing w:val="20"/>
        </w:rPr>
        <w:t xml:space="preserve"> </w:t>
      </w:r>
      <w:r>
        <w:t>ser sancionada. Finalmente, efectúa una</w:t>
      </w:r>
      <w:r>
        <w:rPr>
          <w:spacing w:val="20"/>
        </w:rPr>
        <w:t xml:space="preserve"> </w:t>
      </w:r>
      <w:r>
        <w:t>reforma</w:t>
      </w:r>
      <w:r>
        <w:rPr>
          <w:spacing w:val="40"/>
        </w:rPr>
        <w:t xml:space="preserve"> </w:t>
      </w:r>
      <w:r>
        <w:t>en materia</w:t>
      </w:r>
      <w:r>
        <w:t xml:space="preserve"> procesal penal para que, ante ciertos casos de legítima defensa, la carga de la prueba se invierta y recaiga en el Fiscal. Para ello se introduce como nuevo principio básico del derecho</w:t>
      </w:r>
      <w:r>
        <w:rPr>
          <w:spacing w:val="40"/>
        </w:rPr>
        <w:t xml:space="preserve"> </w:t>
      </w:r>
      <w:r>
        <w:t>procesal penal, la noción de carga de la prueba presente en nuestra doctrina, y en ella, se coloca una excepción a la regla general relativa a ciertos supuestos de legítima defensa.</w:t>
      </w:r>
    </w:p>
    <w:p w:rsidR="002D1604" w:rsidRDefault="002D1604">
      <w:pPr>
        <w:pStyle w:val="Textoindependiente"/>
        <w:ind w:left="0"/>
        <w:rPr>
          <w:sz w:val="24"/>
        </w:rPr>
      </w:pPr>
    </w:p>
    <w:p w:rsidR="002D1604" w:rsidRDefault="002D1604">
      <w:pPr>
        <w:pStyle w:val="Textoindependiente"/>
        <w:ind w:left="0"/>
        <w:rPr>
          <w:sz w:val="24"/>
        </w:rPr>
      </w:pPr>
    </w:p>
    <w:p w:rsidR="002D1604" w:rsidRDefault="002D1604">
      <w:pPr>
        <w:pStyle w:val="Textoindependiente"/>
        <w:ind w:left="0"/>
        <w:rPr>
          <w:sz w:val="24"/>
        </w:rPr>
      </w:pPr>
    </w:p>
    <w:p w:rsidR="002D1604" w:rsidRDefault="002D1604">
      <w:pPr>
        <w:pStyle w:val="Textoindependiente"/>
        <w:ind w:left="0"/>
        <w:rPr>
          <w:sz w:val="24"/>
        </w:rPr>
      </w:pPr>
    </w:p>
    <w:p w:rsidR="002D1604" w:rsidRDefault="00144CB5">
      <w:pPr>
        <w:spacing w:before="160"/>
        <w:ind w:left="1167"/>
        <w:rPr>
          <w:b/>
          <w:sz w:val="21"/>
        </w:rPr>
      </w:pPr>
      <w:r>
        <w:rPr>
          <w:b/>
          <w:sz w:val="21"/>
        </w:rPr>
        <w:t>PROYECTO</w:t>
      </w:r>
      <w:r>
        <w:rPr>
          <w:b/>
          <w:spacing w:val="14"/>
          <w:sz w:val="21"/>
        </w:rPr>
        <w:t xml:space="preserve"> </w:t>
      </w:r>
      <w:r>
        <w:rPr>
          <w:b/>
          <w:sz w:val="21"/>
        </w:rPr>
        <w:t>DE</w:t>
      </w:r>
      <w:r>
        <w:rPr>
          <w:b/>
          <w:spacing w:val="11"/>
          <w:sz w:val="21"/>
        </w:rPr>
        <w:t xml:space="preserve"> </w:t>
      </w:r>
      <w:r>
        <w:rPr>
          <w:b/>
          <w:spacing w:val="-5"/>
          <w:sz w:val="21"/>
        </w:rPr>
        <w:t>LEY</w:t>
      </w:r>
    </w:p>
    <w:p w:rsidR="002D1604" w:rsidRDefault="002D1604">
      <w:pPr>
        <w:pStyle w:val="Textoindependiente"/>
        <w:ind w:left="0"/>
        <w:rPr>
          <w:b/>
          <w:sz w:val="24"/>
        </w:rPr>
      </w:pPr>
    </w:p>
    <w:p w:rsidR="002D1604" w:rsidRDefault="002D1604">
      <w:pPr>
        <w:pStyle w:val="Textoindependiente"/>
        <w:spacing w:before="4"/>
        <w:ind w:left="0"/>
        <w:rPr>
          <w:b/>
          <w:sz w:val="28"/>
        </w:rPr>
      </w:pPr>
    </w:p>
    <w:p w:rsidR="002D1604" w:rsidRDefault="00144CB5">
      <w:pPr>
        <w:pStyle w:val="Textoindependiente"/>
        <w:spacing w:before="1"/>
      </w:pPr>
      <w:r>
        <w:rPr>
          <w:rFonts w:ascii="Arial" w:hAnsi="Arial"/>
        </w:rPr>
        <w:t>“</w:t>
      </w:r>
      <w:r>
        <w:rPr>
          <w:b/>
        </w:rPr>
        <w:t>Artículo</w:t>
      </w:r>
      <w:r>
        <w:rPr>
          <w:b/>
          <w:spacing w:val="10"/>
        </w:rPr>
        <w:t xml:space="preserve"> </w:t>
      </w:r>
      <w:r>
        <w:rPr>
          <w:b/>
        </w:rPr>
        <w:t>1.-</w:t>
      </w:r>
      <w:r>
        <w:rPr>
          <w:b/>
          <w:spacing w:val="17"/>
        </w:rPr>
        <w:t xml:space="preserve"> </w:t>
      </w:r>
      <w:r>
        <w:t>Introdúcense</w:t>
      </w:r>
      <w:r>
        <w:rPr>
          <w:spacing w:val="4"/>
        </w:rPr>
        <w:t xml:space="preserve"> </w:t>
      </w:r>
      <w:r>
        <w:t>las</w:t>
      </w:r>
      <w:r>
        <w:rPr>
          <w:spacing w:val="5"/>
        </w:rPr>
        <w:t xml:space="preserve"> </w:t>
      </w:r>
      <w:r>
        <w:t>siguientes</w:t>
      </w:r>
      <w:r>
        <w:rPr>
          <w:spacing w:val="13"/>
        </w:rPr>
        <w:t xml:space="preserve"> </w:t>
      </w:r>
      <w:r>
        <w:t>modificaciones</w:t>
      </w:r>
      <w:r>
        <w:rPr>
          <w:spacing w:val="9"/>
        </w:rPr>
        <w:t xml:space="preserve"> </w:t>
      </w:r>
      <w:r>
        <w:t>en</w:t>
      </w:r>
      <w:r>
        <w:rPr>
          <w:spacing w:val="8"/>
        </w:rPr>
        <w:t xml:space="preserve"> </w:t>
      </w:r>
      <w:r>
        <w:t>el</w:t>
      </w:r>
      <w:r>
        <w:rPr>
          <w:spacing w:val="13"/>
        </w:rPr>
        <w:t xml:space="preserve"> </w:t>
      </w:r>
      <w:r>
        <w:t>Código</w:t>
      </w:r>
      <w:r>
        <w:rPr>
          <w:spacing w:val="11"/>
        </w:rPr>
        <w:t xml:space="preserve"> </w:t>
      </w:r>
      <w:r>
        <w:rPr>
          <w:spacing w:val="-2"/>
        </w:rPr>
        <w:t>Penal:</w:t>
      </w:r>
    </w:p>
    <w:p w:rsidR="002D1604" w:rsidRDefault="002D1604">
      <w:pPr>
        <w:pStyle w:val="Textoindependiente"/>
        <w:ind w:left="0"/>
        <w:rPr>
          <w:sz w:val="24"/>
        </w:rPr>
      </w:pPr>
    </w:p>
    <w:p w:rsidR="002D1604" w:rsidRDefault="002D1604">
      <w:pPr>
        <w:pStyle w:val="Textoindependiente"/>
        <w:spacing w:before="2"/>
        <w:ind w:left="0"/>
        <w:rPr>
          <w:sz w:val="28"/>
        </w:rPr>
      </w:pPr>
    </w:p>
    <w:p w:rsidR="002D1604" w:rsidRDefault="00144CB5">
      <w:pPr>
        <w:pStyle w:val="Textoindependiente"/>
        <w:spacing w:before="1"/>
      </w:pPr>
      <w:r>
        <w:t>Uno)</w:t>
      </w:r>
      <w:r>
        <w:rPr>
          <w:spacing w:val="7"/>
        </w:rPr>
        <w:t xml:space="preserve"> </w:t>
      </w:r>
      <w:r>
        <w:t>Sustitúyase</w:t>
      </w:r>
      <w:r>
        <w:rPr>
          <w:spacing w:val="12"/>
        </w:rPr>
        <w:t xml:space="preserve"> </w:t>
      </w:r>
      <w:r>
        <w:t>el</w:t>
      </w:r>
      <w:r>
        <w:rPr>
          <w:spacing w:val="8"/>
        </w:rPr>
        <w:t xml:space="preserve"> </w:t>
      </w:r>
      <w:r>
        <w:t>numeral</w:t>
      </w:r>
      <w:r>
        <w:rPr>
          <w:spacing w:val="8"/>
        </w:rPr>
        <w:t xml:space="preserve"> </w:t>
      </w:r>
      <w:r>
        <w:t>cuarto</w:t>
      </w:r>
      <w:r>
        <w:rPr>
          <w:spacing w:val="7"/>
        </w:rPr>
        <w:t xml:space="preserve"> </w:t>
      </w:r>
      <w:r>
        <w:t>del</w:t>
      </w:r>
      <w:r>
        <w:rPr>
          <w:spacing w:val="8"/>
        </w:rPr>
        <w:t xml:space="preserve"> </w:t>
      </w:r>
      <w:r>
        <w:t>artículo</w:t>
      </w:r>
      <w:r>
        <w:rPr>
          <w:spacing w:val="8"/>
        </w:rPr>
        <w:t xml:space="preserve"> </w:t>
      </w:r>
      <w:r>
        <w:t>10,</w:t>
      </w:r>
      <w:r>
        <w:rPr>
          <w:spacing w:val="6"/>
        </w:rPr>
        <w:t xml:space="preserve"> </w:t>
      </w:r>
      <w:r>
        <w:t>en</w:t>
      </w:r>
      <w:r>
        <w:rPr>
          <w:spacing w:val="8"/>
        </w:rPr>
        <w:t xml:space="preserve"> </w:t>
      </w:r>
      <w:r>
        <w:t>los</w:t>
      </w:r>
      <w:r>
        <w:rPr>
          <w:spacing w:val="8"/>
        </w:rPr>
        <w:t xml:space="preserve"> </w:t>
      </w:r>
      <w:r>
        <w:t>términos</w:t>
      </w:r>
      <w:r>
        <w:rPr>
          <w:spacing w:val="5"/>
        </w:rPr>
        <w:t xml:space="preserve"> </w:t>
      </w:r>
      <w:r>
        <w:rPr>
          <w:spacing w:val="-2"/>
        </w:rPr>
        <w:t>siguientes:</w:t>
      </w:r>
    </w:p>
    <w:p w:rsidR="002D1604" w:rsidRDefault="00144CB5">
      <w:pPr>
        <w:pStyle w:val="Textoindependiente"/>
        <w:spacing w:before="181" w:line="264" w:lineRule="auto"/>
        <w:ind w:right="483"/>
        <w:jc w:val="both"/>
      </w:pPr>
      <w:r>
        <w:t>“El que obra en defensa de su persona o derechos, siempre que concurran las circunstancias</w:t>
      </w:r>
      <w:r>
        <w:rPr>
          <w:spacing w:val="40"/>
        </w:rPr>
        <w:t xml:space="preserve"> </w:t>
      </w:r>
      <w:r>
        <w:rPr>
          <w:spacing w:val="-2"/>
        </w:rPr>
        <w:t>siguientes:</w:t>
      </w:r>
    </w:p>
    <w:p w:rsidR="002D1604" w:rsidRDefault="00144CB5">
      <w:pPr>
        <w:pStyle w:val="Textoindependiente"/>
        <w:spacing w:before="155"/>
      </w:pPr>
      <w:r>
        <w:t>Primera.</w:t>
      </w:r>
      <w:r>
        <w:rPr>
          <w:spacing w:val="9"/>
        </w:rPr>
        <w:t xml:space="preserve"> </w:t>
      </w:r>
      <w:r>
        <w:t>Agresión</w:t>
      </w:r>
      <w:r>
        <w:rPr>
          <w:spacing w:val="10"/>
        </w:rPr>
        <w:t xml:space="preserve"> </w:t>
      </w:r>
      <w:r>
        <w:t>ilegítima</w:t>
      </w:r>
      <w:r>
        <w:rPr>
          <w:spacing w:val="8"/>
        </w:rPr>
        <w:t xml:space="preserve"> </w:t>
      </w:r>
      <w:r>
        <w:t>actual</w:t>
      </w:r>
      <w:r>
        <w:rPr>
          <w:spacing w:val="7"/>
        </w:rPr>
        <w:t xml:space="preserve"> </w:t>
      </w:r>
      <w:r>
        <w:t>e</w:t>
      </w:r>
      <w:r>
        <w:rPr>
          <w:spacing w:val="11"/>
        </w:rPr>
        <w:t xml:space="preserve"> </w:t>
      </w:r>
      <w:r>
        <w:rPr>
          <w:spacing w:val="-2"/>
        </w:rPr>
        <w:t>inminente.</w:t>
      </w:r>
    </w:p>
    <w:p w:rsidR="002D1604" w:rsidRDefault="00144CB5">
      <w:pPr>
        <w:pStyle w:val="Textoindependiente"/>
        <w:spacing w:before="181" w:line="264" w:lineRule="auto"/>
        <w:ind w:right="483"/>
        <w:jc w:val="both"/>
      </w:pPr>
      <w:r>
        <w:t>Segunda.</w:t>
      </w:r>
      <w:r>
        <w:rPr>
          <w:spacing w:val="18"/>
        </w:rPr>
        <w:t xml:space="preserve"> </w:t>
      </w:r>
      <w:r>
        <w:t>Necesidad</w:t>
      </w:r>
      <w:r>
        <w:rPr>
          <w:spacing w:val="18"/>
        </w:rPr>
        <w:t xml:space="preserve"> </w:t>
      </w:r>
      <w:r>
        <w:t>racional</w:t>
      </w:r>
      <w:r>
        <w:rPr>
          <w:spacing w:val="22"/>
        </w:rPr>
        <w:t xml:space="preserve"> </w:t>
      </w:r>
      <w:r>
        <w:t>del medio</w:t>
      </w:r>
      <w:r>
        <w:rPr>
          <w:spacing w:val="18"/>
        </w:rPr>
        <w:t xml:space="preserve"> </w:t>
      </w:r>
      <w:r>
        <w:t>empleado</w:t>
      </w:r>
      <w:r>
        <w:rPr>
          <w:spacing w:val="18"/>
        </w:rPr>
        <w:t xml:space="preserve"> </w:t>
      </w:r>
      <w:r>
        <w:t>para</w:t>
      </w:r>
      <w:r>
        <w:rPr>
          <w:spacing w:val="23"/>
        </w:rPr>
        <w:t xml:space="preserve"> </w:t>
      </w:r>
      <w:r>
        <w:t>impedirla</w:t>
      </w:r>
      <w:r>
        <w:rPr>
          <w:spacing w:val="21"/>
        </w:rPr>
        <w:t xml:space="preserve"> </w:t>
      </w:r>
      <w:r>
        <w:t>o</w:t>
      </w:r>
      <w:r>
        <w:rPr>
          <w:spacing w:val="18"/>
        </w:rPr>
        <w:t xml:space="preserve"> </w:t>
      </w:r>
      <w:r>
        <w:t>repelerla.</w:t>
      </w:r>
      <w:r>
        <w:rPr>
          <w:spacing w:val="18"/>
        </w:rPr>
        <w:t xml:space="preserve"> </w:t>
      </w:r>
      <w:r>
        <w:t>Se</w:t>
      </w:r>
      <w:r>
        <w:rPr>
          <w:spacing w:val="18"/>
        </w:rPr>
        <w:t xml:space="preserve"> </w:t>
      </w:r>
      <w:r>
        <w:t xml:space="preserve">presumirá racional la utilización de los instrumentos contenidos en el artículo 3° B del decreto N°400 que fija texto refundido, coordinado y sistematizado de la ley </w:t>
      </w:r>
      <w:r>
        <w:t>N° 17.798.</w:t>
      </w:r>
    </w:p>
    <w:p w:rsidR="002D1604" w:rsidRDefault="00144CB5">
      <w:pPr>
        <w:pStyle w:val="Textoindependiente"/>
        <w:spacing w:before="156" w:line="420" w:lineRule="auto"/>
        <w:ind w:right="3068"/>
        <w:jc w:val="both"/>
      </w:pPr>
      <w:r>
        <w:t>Tercera. Falta de provocación suficiente por parte del que se defiende. Cuarta. Ánimo de defensa.</w:t>
      </w:r>
    </w:p>
    <w:p w:rsidR="002D1604" w:rsidRDefault="002D1604">
      <w:pPr>
        <w:pStyle w:val="Textoindependiente"/>
        <w:ind w:left="0"/>
        <w:rPr>
          <w:sz w:val="24"/>
        </w:rPr>
      </w:pPr>
    </w:p>
    <w:p w:rsidR="002D1604" w:rsidRDefault="00144CB5">
      <w:pPr>
        <w:pStyle w:val="Textoindependiente"/>
        <w:spacing w:before="142" w:line="264" w:lineRule="auto"/>
        <w:ind w:right="115"/>
        <w:jc w:val="both"/>
      </w:pPr>
      <w:r>
        <w:rPr>
          <w:rFonts w:ascii="Arial" w:hAnsi="Arial"/>
        </w:rPr>
        <w:t>“</w:t>
      </w:r>
      <w:r>
        <w:rPr>
          <w:b/>
        </w:rPr>
        <w:t>Artículo 2.</w:t>
      </w:r>
      <w:r>
        <w:t xml:space="preserve">- Introdúcense las siguientes modificaciones al Decreto 400 que fija texto refundido, coordinado y sistematizado de la ley n° 17.798, </w:t>
      </w:r>
      <w:r>
        <w:t>sobre control de armas:</w:t>
      </w:r>
    </w:p>
    <w:p w:rsidR="002D1604" w:rsidRDefault="00144CB5">
      <w:pPr>
        <w:pStyle w:val="Textoindependiente"/>
        <w:spacing w:before="155"/>
      </w:pPr>
      <w:r>
        <w:t>Uno)</w:t>
      </w:r>
      <w:r>
        <w:rPr>
          <w:spacing w:val="6"/>
        </w:rPr>
        <w:t xml:space="preserve"> </w:t>
      </w:r>
      <w:r>
        <w:t>Introdúcese</w:t>
      </w:r>
      <w:r>
        <w:rPr>
          <w:spacing w:val="8"/>
        </w:rPr>
        <w:t xml:space="preserve"> </w:t>
      </w:r>
      <w:r>
        <w:t>el</w:t>
      </w:r>
      <w:r>
        <w:rPr>
          <w:spacing w:val="8"/>
        </w:rPr>
        <w:t xml:space="preserve"> </w:t>
      </w:r>
      <w:r>
        <w:t>siguiente</w:t>
      </w:r>
      <w:r>
        <w:rPr>
          <w:spacing w:val="10"/>
        </w:rPr>
        <w:t xml:space="preserve"> </w:t>
      </w:r>
      <w:r>
        <w:t>artículo</w:t>
      </w:r>
      <w:r>
        <w:rPr>
          <w:spacing w:val="9"/>
        </w:rPr>
        <w:t xml:space="preserve"> </w:t>
      </w:r>
      <w:r>
        <w:t>3°</w:t>
      </w:r>
      <w:r>
        <w:rPr>
          <w:spacing w:val="7"/>
        </w:rPr>
        <w:t xml:space="preserve"> </w:t>
      </w:r>
      <w:r>
        <w:rPr>
          <w:spacing w:val="-5"/>
        </w:rPr>
        <w:t>B:</w:t>
      </w:r>
    </w:p>
    <w:p w:rsidR="002D1604" w:rsidRDefault="00144CB5">
      <w:pPr>
        <w:pStyle w:val="Textoindependiente"/>
        <w:spacing w:before="184" w:line="264" w:lineRule="auto"/>
        <w:ind w:right="118"/>
        <w:jc w:val="both"/>
      </w:pPr>
      <w:r>
        <w:t>Sin perjuicio de lo dispuesto precedentemente, serán considerados medios de defensa personal</w:t>
      </w:r>
      <w:r>
        <w:rPr>
          <w:spacing w:val="40"/>
        </w:rPr>
        <w:t xml:space="preserve"> </w:t>
      </w:r>
      <w:r>
        <w:t>dispositivos de gas pimienta no superiores a los 20 g, armas de aire comprimido no adaptadas o</w:t>
      </w:r>
      <w:r>
        <w:t xml:space="preserve"> transformadas y navajas de bolsillo con un largo no superior a los 9 cm.</w:t>
      </w:r>
    </w:p>
    <w:p w:rsidR="002D1604" w:rsidRDefault="002D1604">
      <w:pPr>
        <w:spacing w:line="264" w:lineRule="auto"/>
        <w:jc w:val="both"/>
        <w:sectPr w:rsidR="002D1604">
          <w:pgSz w:w="11910" w:h="16840"/>
          <w:pgMar w:top="1920" w:right="1160" w:bottom="280" w:left="1540" w:header="720" w:footer="720" w:gutter="0"/>
          <w:cols w:space="720"/>
        </w:sectPr>
      </w:pPr>
    </w:p>
    <w:p w:rsidR="002D1604" w:rsidRDefault="00144CB5">
      <w:pPr>
        <w:pStyle w:val="Textoindependiente"/>
        <w:spacing w:before="160" w:line="264" w:lineRule="auto"/>
        <w:ind w:right="117"/>
        <w:jc w:val="both"/>
      </w:pPr>
      <w:r>
        <w:lastRenderedPageBreak/>
        <w:t>Igualmente lo serán las armas de fuego debidamente inscritas a nombre de quien se defendiere de una agresión ilegítima o bien a nombre de su cónyuge, pareja o conviviente, hijo, ascendiente directo, o hermano, con quien estuviere conviviendo permanente o t</w:t>
      </w:r>
      <w:r>
        <w:t>emporalmente.</w:t>
      </w:r>
    </w:p>
    <w:p w:rsidR="002D1604" w:rsidRDefault="002D1604">
      <w:pPr>
        <w:pStyle w:val="Textoindependiente"/>
        <w:ind w:left="0"/>
        <w:rPr>
          <w:sz w:val="24"/>
        </w:rPr>
      </w:pPr>
    </w:p>
    <w:p w:rsidR="002D1604" w:rsidRDefault="002D1604">
      <w:pPr>
        <w:pStyle w:val="Textoindependiente"/>
        <w:spacing w:before="2"/>
        <w:ind w:left="0"/>
        <w:rPr>
          <w:sz w:val="26"/>
        </w:rPr>
      </w:pPr>
    </w:p>
    <w:p w:rsidR="002D1604" w:rsidRDefault="00144CB5">
      <w:pPr>
        <w:pStyle w:val="Textoindependiente"/>
        <w:spacing w:line="420" w:lineRule="auto"/>
        <w:ind w:right="1726"/>
        <w:jc w:val="both"/>
      </w:pPr>
      <w:r>
        <w:rPr>
          <w:rFonts w:ascii="Arial" w:hAnsi="Arial"/>
        </w:rPr>
        <w:t>“</w:t>
      </w:r>
      <w:r>
        <w:rPr>
          <w:b/>
        </w:rPr>
        <w:t xml:space="preserve">Artículo 3.- </w:t>
      </w:r>
      <w:r>
        <w:t>Introdúcense las siguientes modificaciones en el Código Procesal Penal: Uno) Introdúcese el siguiente artículo 4 Bis:</w:t>
      </w:r>
    </w:p>
    <w:p w:rsidR="002D1604" w:rsidRDefault="00144CB5">
      <w:pPr>
        <w:pStyle w:val="Textoindependiente"/>
        <w:spacing w:line="264" w:lineRule="auto"/>
        <w:ind w:right="484"/>
        <w:jc w:val="both"/>
      </w:pPr>
      <w:r>
        <w:t>“</w:t>
      </w:r>
      <w:r>
        <w:rPr>
          <w:i/>
        </w:rPr>
        <w:t>Carga de la prueba</w:t>
      </w:r>
      <w:r>
        <w:t>. Recaerá en el Ministerio Público la responsabilidad de probar la existencia de</w:t>
      </w:r>
      <w:r>
        <w:rPr>
          <w:spacing w:val="40"/>
        </w:rPr>
        <w:t xml:space="preserve"> </w:t>
      </w:r>
      <w:r>
        <w:t>un delito o de la participación en él del imputado. Por su parte, cuando la Defensa tenga su propia teoría del caso, distinta de la del Ministerio Público, deberá probarla.</w:t>
      </w:r>
    </w:p>
    <w:p w:rsidR="002D1604" w:rsidRDefault="00144CB5">
      <w:pPr>
        <w:pStyle w:val="Textoindependiente"/>
        <w:spacing w:before="156" w:line="264" w:lineRule="auto"/>
        <w:ind w:right="481"/>
        <w:jc w:val="both"/>
      </w:pPr>
      <w:r>
        <w:t>Sin</w:t>
      </w:r>
      <w:r>
        <w:rPr>
          <w:spacing w:val="18"/>
        </w:rPr>
        <w:t xml:space="preserve"> </w:t>
      </w:r>
      <w:r>
        <w:t>perjuicio</w:t>
      </w:r>
      <w:r>
        <w:rPr>
          <w:spacing w:val="13"/>
        </w:rPr>
        <w:t xml:space="preserve"> </w:t>
      </w:r>
      <w:r>
        <w:t>de</w:t>
      </w:r>
      <w:r>
        <w:rPr>
          <w:spacing w:val="13"/>
        </w:rPr>
        <w:t xml:space="preserve"> </w:t>
      </w:r>
      <w:r>
        <w:t>lo</w:t>
      </w:r>
      <w:r>
        <w:rPr>
          <w:spacing w:val="13"/>
        </w:rPr>
        <w:t xml:space="preserve"> </w:t>
      </w:r>
      <w:r>
        <w:t>anterior, será</w:t>
      </w:r>
      <w:r>
        <w:rPr>
          <w:spacing w:val="14"/>
        </w:rPr>
        <w:t xml:space="preserve"> </w:t>
      </w:r>
      <w:r>
        <w:t>el</w:t>
      </w:r>
      <w:r>
        <w:rPr>
          <w:spacing w:val="14"/>
        </w:rPr>
        <w:t xml:space="preserve"> </w:t>
      </w:r>
      <w:r>
        <w:t>Ministerio</w:t>
      </w:r>
      <w:r>
        <w:rPr>
          <w:spacing w:val="13"/>
        </w:rPr>
        <w:t xml:space="preserve"> </w:t>
      </w:r>
      <w:r>
        <w:t>Público el</w:t>
      </w:r>
      <w:r>
        <w:rPr>
          <w:spacing w:val="15"/>
        </w:rPr>
        <w:t xml:space="preserve"> </w:t>
      </w:r>
      <w:r>
        <w:t>encargado</w:t>
      </w:r>
      <w:r>
        <w:rPr>
          <w:spacing w:val="13"/>
        </w:rPr>
        <w:t xml:space="preserve"> </w:t>
      </w:r>
      <w:r>
        <w:t>de probar la</w:t>
      </w:r>
      <w:r>
        <w:rPr>
          <w:spacing w:val="20"/>
        </w:rPr>
        <w:t xml:space="preserve"> </w:t>
      </w:r>
      <w:r>
        <w:t>no</w:t>
      </w:r>
      <w:r>
        <w:rPr>
          <w:spacing w:val="15"/>
        </w:rPr>
        <w:t xml:space="preserve"> </w:t>
      </w:r>
      <w:r>
        <w:t>concurrencia de la</w:t>
      </w:r>
      <w:r>
        <w:rPr>
          <w:spacing w:val="20"/>
        </w:rPr>
        <w:t xml:space="preserve"> </w:t>
      </w:r>
      <w:r>
        <w:t>legítima</w:t>
      </w:r>
      <w:r>
        <w:rPr>
          <w:spacing w:val="14"/>
        </w:rPr>
        <w:t xml:space="preserve"> </w:t>
      </w:r>
      <w:r>
        <w:t>defensa,</w:t>
      </w:r>
      <w:r>
        <w:rPr>
          <w:spacing w:val="15"/>
        </w:rPr>
        <w:t xml:space="preserve"> </w:t>
      </w:r>
      <w:r>
        <w:t>siempre</w:t>
      </w:r>
      <w:r>
        <w:rPr>
          <w:spacing w:val="14"/>
        </w:rPr>
        <w:t xml:space="preserve"> </w:t>
      </w:r>
      <w:r>
        <w:t>que</w:t>
      </w:r>
      <w:r>
        <w:rPr>
          <w:spacing w:val="15"/>
        </w:rPr>
        <w:t xml:space="preserve"> </w:t>
      </w:r>
      <w:r>
        <w:t>se</w:t>
      </w:r>
      <w:r>
        <w:rPr>
          <w:spacing w:val="15"/>
        </w:rPr>
        <w:t xml:space="preserve"> </w:t>
      </w:r>
      <w:r>
        <w:t>haya</w:t>
      </w:r>
      <w:r>
        <w:rPr>
          <w:spacing w:val="15"/>
        </w:rPr>
        <w:t xml:space="preserve"> </w:t>
      </w:r>
      <w:r>
        <w:t>hecho</w:t>
      </w:r>
      <w:r>
        <w:rPr>
          <w:spacing w:val="15"/>
        </w:rPr>
        <w:t xml:space="preserve"> </w:t>
      </w:r>
      <w:r>
        <w:t>uso</w:t>
      </w:r>
      <w:r>
        <w:rPr>
          <w:spacing w:val="13"/>
        </w:rPr>
        <w:t xml:space="preserve"> </w:t>
      </w:r>
      <w:r>
        <w:t>de</w:t>
      </w:r>
      <w:r>
        <w:rPr>
          <w:spacing w:val="12"/>
        </w:rPr>
        <w:t xml:space="preserve"> </w:t>
      </w:r>
      <w:r>
        <w:t>los</w:t>
      </w:r>
      <w:r>
        <w:rPr>
          <w:spacing w:val="13"/>
        </w:rPr>
        <w:t xml:space="preserve"> </w:t>
      </w:r>
      <w:r>
        <w:t>instrumentos</w:t>
      </w:r>
      <w:r>
        <w:rPr>
          <w:spacing w:val="13"/>
        </w:rPr>
        <w:t xml:space="preserve"> </w:t>
      </w:r>
      <w:r>
        <w:t>contenidos</w:t>
      </w:r>
      <w:r>
        <w:rPr>
          <w:spacing w:val="18"/>
        </w:rPr>
        <w:t xml:space="preserve"> </w:t>
      </w:r>
      <w:r>
        <w:t>en</w:t>
      </w:r>
      <w:r>
        <w:rPr>
          <w:spacing w:val="15"/>
        </w:rPr>
        <w:t xml:space="preserve"> </w:t>
      </w:r>
      <w:r>
        <w:t>el</w:t>
      </w:r>
      <w:r>
        <w:rPr>
          <w:spacing w:val="14"/>
        </w:rPr>
        <w:t xml:space="preserve"> </w:t>
      </w:r>
      <w:r>
        <w:t>artículo</w:t>
      </w:r>
      <w:r>
        <w:rPr>
          <w:spacing w:val="18"/>
        </w:rPr>
        <w:t xml:space="preserve"> </w:t>
      </w:r>
      <w:r>
        <w:t>3° B de la ley N° 17.798.</w:t>
      </w:r>
    </w:p>
    <w:sectPr w:rsidR="002D1604">
      <w:pgSz w:w="11910" w:h="16840"/>
      <w:pgMar w:top="1920" w:right="11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CE2"/>
    <w:multiLevelType w:val="hybridMultilevel"/>
    <w:tmpl w:val="94C2692C"/>
    <w:lvl w:ilvl="0" w:tplc="1CDC8456">
      <w:start w:val="1"/>
      <w:numFmt w:val="upperRoman"/>
      <w:lvlText w:val="%1."/>
      <w:lvlJc w:val="left"/>
      <w:pPr>
        <w:ind w:left="1167" w:hanging="701"/>
        <w:jc w:val="left"/>
      </w:pPr>
      <w:rPr>
        <w:rFonts w:ascii="Times New Roman" w:eastAsia="Times New Roman" w:hAnsi="Times New Roman" w:cs="Times New Roman" w:hint="default"/>
        <w:b/>
        <w:bCs/>
        <w:i w:val="0"/>
        <w:iCs w:val="0"/>
        <w:w w:val="102"/>
        <w:sz w:val="21"/>
        <w:szCs w:val="21"/>
        <w:lang w:val="es-ES" w:eastAsia="en-US" w:bidi="ar-SA"/>
      </w:rPr>
    </w:lvl>
    <w:lvl w:ilvl="1" w:tplc="6E505492">
      <w:start w:val="1"/>
      <w:numFmt w:val="decimal"/>
      <w:lvlText w:val="%2."/>
      <w:lvlJc w:val="left"/>
      <w:pPr>
        <w:ind w:left="816" w:hanging="351"/>
        <w:jc w:val="left"/>
      </w:pPr>
      <w:rPr>
        <w:rFonts w:ascii="Times New Roman" w:eastAsia="Times New Roman" w:hAnsi="Times New Roman" w:cs="Times New Roman" w:hint="default"/>
        <w:b/>
        <w:bCs/>
        <w:i w:val="0"/>
        <w:iCs w:val="0"/>
        <w:w w:val="102"/>
        <w:sz w:val="21"/>
        <w:szCs w:val="21"/>
        <w:lang w:val="es-ES" w:eastAsia="en-US" w:bidi="ar-SA"/>
      </w:rPr>
    </w:lvl>
    <w:lvl w:ilvl="2" w:tplc="DB003222">
      <w:numFmt w:val="bullet"/>
      <w:lvlText w:val="•"/>
      <w:lvlJc w:val="left"/>
      <w:pPr>
        <w:ind w:left="2054" w:hanging="351"/>
      </w:pPr>
      <w:rPr>
        <w:rFonts w:hint="default"/>
        <w:lang w:val="es-ES" w:eastAsia="en-US" w:bidi="ar-SA"/>
      </w:rPr>
    </w:lvl>
    <w:lvl w:ilvl="3" w:tplc="BB88BF2E">
      <w:numFmt w:val="bullet"/>
      <w:lvlText w:val="•"/>
      <w:lvlJc w:val="left"/>
      <w:pPr>
        <w:ind w:left="2948" w:hanging="351"/>
      </w:pPr>
      <w:rPr>
        <w:rFonts w:hint="default"/>
        <w:lang w:val="es-ES" w:eastAsia="en-US" w:bidi="ar-SA"/>
      </w:rPr>
    </w:lvl>
    <w:lvl w:ilvl="4" w:tplc="EC704AF4">
      <w:numFmt w:val="bullet"/>
      <w:lvlText w:val="•"/>
      <w:lvlJc w:val="left"/>
      <w:pPr>
        <w:ind w:left="3842" w:hanging="351"/>
      </w:pPr>
      <w:rPr>
        <w:rFonts w:hint="default"/>
        <w:lang w:val="es-ES" w:eastAsia="en-US" w:bidi="ar-SA"/>
      </w:rPr>
    </w:lvl>
    <w:lvl w:ilvl="5" w:tplc="D1184506">
      <w:numFmt w:val="bullet"/>
      <w:lvlText w:val="•"/>
      <w:lvlJc w:val="left"/>
      <w:pPr>
        <w:ind w:left="4736" w:hanging="351"/>
      </w:pPr>
      <w:rPr>
        <w:rFonts w:hint="default"/>
        <w:lang w:val="es-ES" w:eastAsia="en-US" w:bidi="ar-SA"/>
      </w:rPr>
    </w:lvl>
    <w:lvl w:ilvl="6" w:tplc="67A0E79A">
      <w:numFmt w:val="bullet"/>
      <w:lvlText w:val="•"/>
      <w:lvlJc w:val="left"/>
      <w:pPr>
        <w:ind w:left="5630" w:hanging="351"/>
      </w:pPr>
      <w:rPr>
        <w:rFonts w:hint="default"/>
        <w:lang w:val="es-ES" w:eastAsia="en-US" w:bidi="ar-SA"/>
      </w:rPr>
    </w:lvl>
    <w:lvl w:ilvl="7" w:tplc="7AFC9ED4">
      <w:numFmt w:val="bullet"/>
      <w:lvlText w:val="•"/>
      <w:lvlJc w:val="left"/>
      <w:pPr>
        <w:ind w:left="6524" w:hanging="351"/>
      </w:pPr>
      <w:rPr>
        <w:rFonts w:hint="default"/>
        <w:lang w:val="es-ES" w:eastAsia="en-US" w:bidi="ar-SA"/>
      </w:rPr>
    </w:lvl>
    <w:lvl w:ilvl="8" w:tplc="B7F240C4">
      <w:numFmt w:val="bullet"/>
      <w:lvlText w:val="•"/>
      <w:lvlJc w:val="left"/>
      <w:pPr>
        <w:ind w:left="7418" w:hanging="35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1604"/>
    <w:rsid w:val="00144CB5"/>
    <w:rsid w:val="002D16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2D5B1A-F256-48E4-A2D7-D07C36C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6"/>
    </w:pPr>
    <w:rPr>
      <w:sz w:val="21"/>
      <w:szCs w:val="21"/>
    </w:rPr>
  </w:style>
  <w:style w:type="paragraph" w:styleId="Prrafodelista">
    <w:name w:val="List Paragraph"/>
    <w:basedOn w:val="Normal"/>
    <w:uiPriority w:val="1"/>
    <w:qFormat/>
    <w:pPr>
      <w:ind w:left="816" w:hanging="7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13.cl/etiqueta/robo-con-homicidio" TargetMode="External"/><Relationship Id="rId3" Type="http://schemas.openxmlformats.org/officeDocument/2006/relationships/settings" Target="settings.xml"/><Relationship Id="rId7" Type="http://schemas.openxmlformats.org/officeDocument/2006/relationships/hyperlink" Target="http://www.latercera.com/nacional/noticia/pdi-denuncias-por-robos-aumentaron-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nacional/chile/2022/10/18/estadistica-revela-aument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obiochile.cl/noticias/nacional/chile/2022/07/22/solo-el-12-de-las-armas-incautadas-a-" TargetMode="External"/><Relationship Id="rId4" Type="http://schemas.openxmlformats.org/officeDocument/2006/relationships/webSettings" Target="webSettings.xml"/><Relationship Id="rId9" Type="http://schemas.openxmlformats.org/officeDocument/2006/relationships/hyperlink" Target="http://www.biobiochile.cl/noticias/nacional/region-de-coquimbo/2022/12/14/pr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8328</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 ley - Legítima defensa (22-12-22)</dc:title>
  <dc:creator>Solco</dc:creator>
  <cp:lastModifiedBy>Leonardo Lueiza Ureta</cp:lastModifiedBy>
  <cp:revision>1</cp:revision>
  <dcterms:created xsi:type="dcterms:W3CDTF">2022-12-22T19:07:00Z</dcterms:created>
  <dcterms:modified xsi:type="dcterms:W3CDTF">2023-01-04T14:32:00Z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2022-12-22T00:00:00Z</vt:filetime>
  </property>
  <property fmtid="{D5CDD505-2E9C-101B-9397-08002B2CF9AE}" pid="4" name="Producer">
    <vt:lpwstr>Microsoft: Print To PDF</vt:lpwstr>
  </property>
</Properties>
</file>