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EC3" w:rsidRDefault="003772D7">
      <w:pPr>
        <w:pStyle w:val="Textoindependiente"/>
        <w:ind w:left="3324"/>
        <w:jc w:val="left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1508653" cy="1474470"/>
            <wp:effectExtent l="0" t="0" r="0" b="0"/>
            <wp:docPr id="1" name="image1.jpeg" descr="C:\Users\Nelson Venegas\Downloads\Logo_CDD_2020-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8653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7EC3" w:rsidRDefault="00EF7EC3">
      <w:pPr>
        <w:pStyle w:val="Textoindependiente"/>
        <w:ind w:left="0"/>
        <w:jc w:val="left"/>
        <w:rPr>
          <w:rFonts w:ascii="Times New Roman"/>
          <w:sz w:val="20"/>
        </w:rPr>
      </w:pPr>
    </w:p>
    <w:p w:rsidR="00EF7EC3" w:rsidRDefault="00EF7EC3">
      <w:pPr>
        <w:pStyle w:val="Textoindependiente"/>
        <w:spacing w:before="7"/>
        <w:ind w:left="0"/>
        <w:jc w:val="left"/>
        <w:rPr>
          <w:rFonts w:ascii="Times New Roman"/>
          <w:sz w:val="18"/>
        </w:rPr>
      </w:pPr>
    </w:p>
    <w:p w:rsidR="00EF7EC3" w:rsidRDefault="003772D7">
      <w:pPr>
        <w:pStyle w:val="Ttulo1"/>
        <w:spacing w:before="93" w:line="259" w:lineRule="auto"/>
        <w:ind w:left="102" w:right="114"/>
        <w:jc w:val="both"/>
      </w:pPr>
      <w:r>
        <w:t>PROYECTO DE LEY QUE MODIFICA</w:t>
      </w:r>
      <w:r>
        <w:rPr>
          <w:spacing w:val="-1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 21.435,</w:t>
      </w:r>
      <w:r>
        <w:rPr>
          <w:spacing w:val="-1"/>
        </w:rPr>
        <w:t xml:space="preserve"> </w:t>
      </w:r>
      <w:r>
        <w:t>QUE REFORMA</w:t>
      </w:r>
      <w:r>
        <w:rPr>
          <w:spacing w:val="-2"/>
        </w:rPr>
        <w:t xml:space="preserve"> </w:t>
      </w:r>
      <w:r>
        <w:t>EL CÓDIGO DE AGUAS, PARA AMPLIAR EL PLAZO DE INSCRIPCIÓN Y REGULARIZACIÓN DE DERECHOS DE APROVECHAMIENTO DE AGUA</w:t>
      </w:r>
    </w:p>
    <w:p w:rsidR="00EF7EC3" w:rsidRDefault="003772D7">
      <w:pPr>
        <w:pStyle w:val="Textoindependiente"/>
        <w:spacing w:before="163" w:line="259" w:lineRule="auto"/>
        <w:ind w:right="113"/>
      </w:pPr>
      <w:r>
        <w:t>La reforma al Código de Aguas, a través de la ley N° 21.435, constituyó un importante avance en</w:t>
      </w:r>
      <w:r>
        <w:rPr>
          <w:spacing w:val="-3"/>
        </w:rPr>
        <w:t xml:space="preserve"> </w:t>
      </w:r>
      <w:r>
        <w:t>torno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regulación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 aguas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 institucionalidad vinculada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uso. Uno de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múltiples</w:t>
      </w:r>
      <w:r>
        <w:rPr>
          <w:spacing w:val="-7"/>
        </w:rPr>
        <w:t xml:space="preserve"> </w:t>
      </w:r>
      <w:r>
        <w:t>aspectos</w:t>
      </w:r>
      <w:r>
        <w:rPr>
          <w:spacing w:val="-8"/>
        </w:rPr>
        <w:t xml:space="preserve"> </w:t>
      </w:r>
      <w:r>
        <w:t>incorporados</w:t>
      </w:r>
      <w:r>
        <w:rPr>
          <w:spacing w:val="-9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legislación</w:t>
      </w:r>
      <w:r>
        <w:rPr>
          <w:spacing w:val="-7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obligación</w:t>
      </w:r>
      <w:r>
        <w:rPr>
          <w:spacing w:val="-9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titulares</w:t>
      </w:r>
      <w:r>
        <w:rPr>
          <w:spacing w:val="-7"/>
        </w:rPr>
        <w:t xml:space="preserve"> </w:t>
      </w:r>
      <w:r>
        <w:t>de derechos de aprovechamiento de agua tienen para regularizar sus derechos en un plazo determinado</w:t>
      </w:r>
      <w:r>
        <w:rPr>
          <w:spacing w:val="-6"/>
        </w:rPr>
        <w:t xml:space="preserve"> </w:t>
      </w:r>
      <w:r>
        <w:t>y,</w:t>
      </w:r>
      <w:r>
        <w:rPr>
          <w:spacing w:val="-5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esta</w:t>
      </w:r>
      <w:r>
        <w:rPr>
          <w:spacing w:val="-11"/>
        </w:rPr>
        <w:t xml:space="preserve"> </w:t>
      </w:r>
      <w:r>
        <w:t>forma,</w:t>
      </w:r>
      <w:r>
        <w:rPr>
          <w:spacing w:val="-4"/>
        </w:rPr>
        <w:t xml:space="preserve"> </w:t>
      </w:r>
      <w:r>
        <w:t>evitar</w:t>
      </w:r>
      <w:r>
        <w:rPr>
          <w:spacing w:val="-8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caducidad.</w:t>
      </w:r>
      <w:r>
        <w:rPr>
          <w:spacing w:val="-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normativa</w:t>
      </w:r>
      <w:r>
        <w:rPr>
          <w:spacing w:val="-6"/>
        </w:rPr>
        <w:t xml:space="preserve"> </w:t>
      </w:r>
      <w:r>
        <w:t>estipula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proceso</w:t>
      </w:r>
      <w:r>
        <w:rPr>
          <w:spacing w:val="-9"/>
        </w:rPr>
        <w:t xml:space="preserve"> </w:t>
      </w:r>
      <w:r>
        <w:t>de inscripción</w:t>
      </w:r>
      <w:r>
        <w:rPr>
          <w:spacing w:val="-8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regularización</w:t>
      </w:r>
      <w:r>
        <w:rPr>
          <w:spacing w:val="-8"/>
        </w:rPr>
        <w:t xml:space="preserve"> </w:t>
      </w:r>
      <w:r>
        <w:t>debe</w:t>
      </w:r>
      <w:r>
        <w:rPr>
          <w:spacing w:val="-13"/>
        </w:rPr>
        <w:t xml:space="preserve"> </w:t>
      </w:r>
      <w:r>
        <w:t>realizarse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través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inscripción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Conservador</w:t>
      </w:r>
      <w:r>
        <w:rPr>
          <w:spacing w:val="-9"/>
        </w:rPr>
        <w:t xml:space="preserve"> </w:t>
      </w:r>
      <w:r>
        <w:t>de Bienes Raíces y en el Catastro Público de Aguas de la Dirección General de Aguas del Ministerio de Obras Públicas. Dicho lo anterior, la diferenciación entre quienes pueden regularizar sus</w:t>
      </w:r>
      <w:r>
        <w:rPr>
          <w:spacing w:val="-2"/>
        </w:rPr>
        <w:t xml:space="preserve"> </w:t>
      </w:r>
      <w:r>
        <w:t>derechos</w:t>
      </w:r>
      <w:r>
        <w:rPr>
          <w:spacing w:val="-2"/>
        </w:rPr>
        <w:t xml:space="preserve"> </w:t>
      </w:r>
      <w:r>
        <w:t>en dieciocho</w:t>
      </w:r>
      <w:r>
        <w:rPr>
          <w:spacing w:val="-2"/>
        </w:rPr>
        <w:t xml:space="preserve"> </w:t>
      </w:r>
      <w:r>
        <w:t>meses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cinc</w:t>
      </w:r>
      <w:r>
        <w:t>o años</w:t>
      </w:r>
      <w:r>
        <w:rPr>
          <w:spacing w:val="-4"/>
        </w:rPr>
        <w:t xml:space="preserve"> </w:t>
      </w:r>
      <w:r>
        <w:t>genera</w:t>
      </w:r>
      <w:r>
        <w:rPr>
          <w:spacing w:val="-2"/>
        </w:rPr>
        <w:t xml:space="preserve"> </w:t>
      </w:r>
      <w:r>
        <w:t>un problema para</w:t>
      </w:r>
      <w:r>
        <w:rPr>
          <w:spacing w:val="-2"/>
        </w:rPr>
        <w:t xml:space="preserve"> </w:t>
      </w:r>
      <w:r>
        <w:t>miles de personas, especialmente aquellas</w:t>
      </w:r>
      <w:r>
        <w:rPr>
          <w:spacing w:val="-2"/>
        </w:rPr>
        <w:t xml:space="preserve"> </w:t>
      </w:r>
      <w:r>
        <w:t>que habitan</w:t>
      </w:r>
      <w:r>
        <w:rPr>
          <w:spacing w:val="-2"/>
        </w:rPr>
        <w:t xml:space="preserve"> </w:t>
      </w:r>
      <w:r>
        <w:t>el campo</w:t>
      </w:r>
      <w:r>
        <w:rPr>
          <w:spacing w:val="-2"/>
        </w:rPr>
        <w:t xml:space="preserve"> </w:t>
      </w:r>
      <w:r>
        <w:t>profundo y</w:t>
      </w:r>
      <w:r>
        <w:rPr>
          <w:spacing w:val="-4"/>
        </w:rPr>
        <w:t xml:space="preserve"> </w:t>
      </w:r>
      <w:r>
        <w:t>que pudieran</w:t>
      </w:r>
      <w:r>
        <w:rPr>
          <w:spacing w:val="-2"/>
        </w:rPr>
        <w:t xml:space="preserve"> </w:t>
      </w:r>
      <w:r>
        <w:t>tener complicaciones para efectuar los trámites en los plazos requeridos. Por ello, esta moción parlamentaria apunta a equiparar los plazo</w:t>
      </w:r>
      <w:r>
        <w:t>s en un total general de cinco años.</w:t>
      </w:r>
    </w:p>
    <w:p w:rsidR="00EF7EC3" w:rsidRDefault="003772D7">
      <w:pPr>
        <w:spacing w:before="159" w:line="259" w:lineRule="auto"/>
        <w:ind w:left="102" w:right="115"/>
        <w:jc w:val="both"/>
      </w:pPr>
      <w:r>
        <w:t>Como ha sido mencionado, la reforma estableció plazos para inscribir y regularizar los derechos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aprovechamiento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agua.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ley</w:t>
      </w:r>
      <w:r>
        <w:rPr>
          <w:spacing w:val="-15"/>
        </w:rPr>
        <w:t xml:space="preserve"> </w:t>
      </w:r>
      <w:r>
        <w:t>N°</w:t>
      </w:r>
      <w:r>
        <w:rPr>
          <w:spacing w:val="-16"/>
        </w:rPr>
        <w:t xml:space="preserve"> </w:t>
      </w:r>
      <w:r>
        <w:t>21.435,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su</w:t>
      </w:r>
      <w:r>
        <w:rPr>
          <w:spacing w:val="-16"/>
        </w:rPr>
        <w:t xml:space="preserve"> </w:t>
      </w:r>
      <w:r>
        <w:t>artículo</w:t>
      </w:r>
      <w:r>
        <w:rPr>
          <w:spacing w:val="-15"/>
        </w:rPr>
        <w:t xml:space="preserve"> </w:t>
      </w:r>
      <w:r>
        <w:t>transitorio</w:t>
      </w:r>
      <w:r>
        <w:rPr>
          <w:spacing w:val="-15"/>
        </w:rPr>
        <w:t xml:space="preserve"> </w:t>
      </w:r>
      <w:r>
        <w:t xml:space="preserve">segundo, inciso primero, establece que </w:t>
      </w:r>
      <w:r>
        <w:rPr>
          <w:i/>
        </w:rPr>
        <w:t>“transcurrido el plazo de dieciocho meses contado desde la publicación de esta ley, los Conservadores de Bienes Raíces no admitirán a trámite la inscripción de los derechos de aprovechamiento de que trata este inciso, los cuales caducarán por el solo minis</w:t>
      </w:r>
      <w:r>
        <w:rPr>
          <w:i/>
        </w:rPr>
        <w:t>terio de la ley”</w:t>
      </w:r>
      <w:r>
        <w:t xml:space="preserve">. El mismo artículo transitorio segundo, en su inciso quinto, estipula que </w:t>
      </w:r>
      <w:r>
        <w:rPr>
          <w:i/>
        </w:rPr>
        <w:t>“el plazo que se contempla en el inciso primero será de cinco años para aquellos derechos de aprovechamiento no inscritos cuyos titulares sean pequeños productores a</w:t>
      </w:r>
      <w:r>
        <w:rPr>
          <w:i/>
        </w:rPr>
        <w:t>grícolas de conformidad con lo dispuesto en la ley N° 18.190”</w:t>
      </w:r>
      <w:r>
        <w:t>.</w:t>
      </w:r>
    </w:p>
    <w:p w:rsidR="00EF7EC3" w:rsidRDefault="003772D7">
      <w:pPr>
        <w:spacing w:before="157" w:line="259" w:lineRule="auto"/>
        <w:ind w:left="102" w:right="116"/>
        <w:jc w:val="both"/>
      </w:pPr>
      <w:r>
        <w:t>A</w:t>
      </w:r>
      <w:r>
        <w:rPr>
          <w:spacing w:val="-12"/>
        </w:rPr>
        <w:t xml:space="preserve"> </w:t>
      </w:r>
      <w:r>
        <w:t>modo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contexto,</w:t>
      </w:r>
      <w:r>
        <w:rPr>
          <w:spacing w:val="-12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artículo</w:t>
      </w:r>
      <w:r>
        <w:rPr>
          <w:spacing w:val="-11"/>
        </w:rPr>
        <w:t xml:space="preserve"> </w:t>
      </w:r>
      <w:r>
        <w:t>13°</w:t>
      </w:r>
      <w:r>
        <w:rPr>
          <w:spacing w:val="-10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citada</w:t>
      </w:r>
      <w:r>
        <w:rPr>
          <w:spacing w:val="-14"/>
        </w:rPr>
        <w:t xml:space="preserve"> </w:t>
      </w:r>
      <w:r>
        <w:t>ley</w:t>
      </w:r>
      <w:r>
        <w:rPr>
          <w:spacing w:val="-16"/>
        </w:rPr>
        <w:t xml:space="preserve"> </w:t>
      </w:r>
      <w:r>
        <w:t>N°</w:t>
      </w:r>
      <w:r>
        <w:rPr>
          <w:spacing w:val="-9"/>
        </w:rPr>
        <w:t xml:space="preserve"> </w:t>
      </w:r>
      <w:r>
        <w:t>18.190,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sustituye</w:t>
      </w:r>
      <w:r>
        <w:rPr>
          <w:spacing w:val="-14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3"/>
        </w:rPr>
        <w:t xml:space="preserve"> </w:t>
      </w:r>
      <w:r>
        <w:t>Orgánica del</w:t>
      </w:r>
      <w:r>
        <w:rPr>
          <w:spacing w:val="-4"/>
        </w:rPr>
        <w:t xml:space="preserve"> </w:t>
      </w:r>
      <w:r>
        <w:t>Instituto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Agropecuario</w:t>
      </w:r>
      <w:r>
        <w:rPr>
          <w:spacing w:val="-6"/>
        </w:rPr>
        <w:t xml:space="preserve"> </w:t>
      </w:r>
      <w:r>
        <w:t>(INDAP),</w:t>
      </w:r>
      <w:r>
        <w:rPr>
          <w:spacing w:val="-3"/>
        </w:rPr>
        <w:t xml:space="preserve"> </w:t>
      </w:r>
      <w:r>
        <w:t>entiende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pequeño</w:t>
      </w:r>
      <w:r>
        <w:rPr>
          <w:spacing w:val="-6"/>
        </w:rPr>
        <w:t xml:space="preserve"> </w:t>
      </w:r>
      <w:r>
        <w:t>productor</w:t>
      </w:r>
      <w:r>
        <w:rPr>
          <w:spacing w:val="-1"/>
        </w:rPr>
        <w:t xml:space="preserve"> </w:t>
      </w:r>
      <w:r>
        <w:t xml:space="preserve">agrícola a </w:t>
      </w:r>
      <w:r>
        <w:rPr>
          <w:i/>
        </w:rPr>
        <w:t>“aquel que</w:t>
      </w:r>
      <w:r>
        <w:rPr>
          <w:i/>
          <w:spacing w:val="-2"/>
        </w:rPr>
        <w:t xml:space="preserve"> </w:t>
      </w:r>
      <w:r>
        <w:rPr>
          <w:i/>
        </w:rPr>
        <w:t>explota</w:t>
      </w:r>
      <w:r>
        <w:rPr>
          <w:i/>
          <w:spacing w:val="-1"/>
        </w:rPr>
        <w:t xml:space="preserve"> </w:t>
      </w:r>
      <w:r>
        <w:rPr>
          <w:i/>
        </w:rPr>
        <w:t>una</w:t>
      </w:r>
      <w:r>
        <w:rPr>
          <w:i/>
          <w:spacing w:val="-2"/>
        </w:rPr>
        <w:t xml:space="preserve"> </w:t>
      </w:r>
      <w:r>
        <w:rPr>
          <w:i/>
        </w:rPr>
        <w:t>superficie no</w:t>
      </w:r>
      <w:r>
        <w:rPr>
          <w:i/>
          <w:spacing w:val="-2"/>
        </w:rPr>
        <w:t xml:space="preserve"> </w:t>
      </w:r>
      <w:r>
        <w:rPr>
          <w:i/>
        </w:rPr>
        <w:t>superior</w:t>
      </w:r>
      <w:r>
        <w:rPr>
          <w:i/>
          <w:spacing w:val="-1"/>
        </w:rPr>
        <w:t xml:space="preserve"> </w:t>
      </w:r>
      <w:r>
        <w:rPr>
          <w:i/>
        </w:rPr>
        <w:t>a</w:t>
      </w:r>
      <w:r>
        <w:rPr>
          <w:i/>
          <w:spacing w:val="-4"/>
        </w:rPr>
        <w:t xml:space="preserve"> </w:t>
      </w:r>
      <w:r>
        <w:rPr>
          <w:i/>
        </w:rPr>
        <w:t>las 12 hectáreas de</w:t>
      </w:r>
      <w:r>
        <w:rPr>
          <w:i/>
          <w:spacing w:val="-2"/>
        </w:rPr>
        <w:t xml:space="preserve"> </w:t>
      </w:r>
      <w:r>
        <w:rPr>
          <w:i/>
        </w:rPr>
        <w:t>Riego Básico,</w:t>
      </w:r>
      <w:r>
        <w:rPr>
          <w:i/>
          <w:spacing w:val="-1"/>
        </w:rPr>
        <w:t xml:space="preserve"> </w:t>
      </w:r>
      <w:r>
        <w:rPr>
          <w:i/>
        </w:rPr>
        <w:t>cuyos activos</w:t>
      </w:r>
      <w:r>
        <w:rPr>
          <w:i/>
          <w:spacing w:val="-2"/>
        </w:rPr>
        <w:t xml:space="preserve"> </w:t>
      </w:r>
      <w:r>
        <w:rPr>
          <w:i/>
        </w:rPr>
        <w:t>no</w:t>
      </w:r>
      <w:r>
        <w:rPr>
          <w:i/>
          <w:spacing w:val="-3"/>
        </w:rPr>
        <w:t xml:space="preserve"> </w:t>
      </w:r>
      <w:r>
        <w:rPr>
          <w:i/>
        </w:rPr>
        <w:t>superen</w:t>
      </w:r>
      <w:r>
        <w:rPr>
          <w:i/>
          <w:spacing w:val="-3"/>
        </w:rPr>
        <w:t xml:space="preserve"> </w:t>
      </w:r>
      <w:r>
        <w:rPr>
          <w:i/>
        </w:rPr>
        <w:t>el</w:t>
      </w:r>
      <w:r>
        <w:rPr>
          <w:i/>
          <w:spacing w:val="-4"/>
        </w:rPr>
        <w:t xml:space="preserve"> </w:t>
      </w:r>
      <w:r>
        <w:rPr>
          <w:i/>
        </w:rPr>
        <w:t>equivalente</w:t>
      </w:r>
      <w:r>
        <w:rPr>
          <w:i/>
          <w:spacing w:val="-3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3.500</w:t>
      </w:r>
      <w:r>
        <w:rPr>
          <w:i/>
          <w:spacing w:val="-5"/>
        </w:rPr>
        <w:t xml:space="preserve"> </w:t>
      </w:r>
      <w:r>
        <w:rPr>
          <w:i/>
        </w:rPr>
        <w:t>Unidades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Fomento,</w:t>
      </w:r>
      <w:r>
        <w:rPr>
          <w:i/>
          <w:spacing w:val="-1"/>
        </w:rPr>
        <w:t xml:space="preserve"> </w:t>
      </w:r>
      <w:r>
        <w:rPr>
          <w:i/>
        </w:rPr>
        <w:t>que</w:t>
      </w:r>
      <w:r>
        <w:rPr>
          <w:i/>
          <w:spacing w:val="-3"/>
        </w:rPr>
        <w:t xml:space="preserve"> </w:t>
      </w:r>
      <w:r>
        <w:rPr>
          <w:i/>
        </w:rPr>
        <w:t>su</w:t>
      </w:r>
      <w:r>
        <w:rPr>
          <w:i/>
          <w:spacing w:val="-5"/>
        </w:rPr>
        <w:t xml:space="preserve"> </w:t>
      </w:r>
      <w:r>
        <w:rPr>
          <w:i/>
        </w:rPr>
        <w:t>ingreso</w:t>
      </w:r>
      <w:r>
        <w:rPr>
          <w:i/>
          <w:spacing w:val="-3"/>
        </w:rPr>
        <w:t xml:space="preserve"> </w:t>
      </w:r>
      <w:r>
        <w:rPr>
          <w:i/>
        </w:rPr>
        <w:t xml:space="preserve">provenga principalmente de la explotación agrícola, y que trabaje directamente la tierra, </w:t>
      </w:r>
      <w:r>
        <w:rPr>
          <w:i/>
        </w:rPr>
        <w:t>cualquiera sea su régimen de tenencia”</w:t>
      </w:r>
      <w:r>
        <w:t>.</w:t>
      </w:r>
      <w:r>
        <w:rPr>
          <w:spacing w:val="77"/>
        </w:rPr>
        <w:t xml:space="preserve"> </w:t>
      </w:r>
      <w:r>
        <w:t>De acuerdo al VIII Censo Nacional Agropecuario, realizado</w:t>
      </w:r>
    </w:p>
    <w:p w:rsidR="00EF7EC3" w:rsidRDefault="00EF7EC3">
      <w:pPr>
        <w:spacing w:line="259" w:lineRule="auto"/>
        <w:jc w:val="both"/>
        <w:sectPr w:rsidR="00EF7EC3">
          <w:type w:val="continuous"/>
          <w:pgSz w:w="12240" w:h="15840"/>
          <w:pgMar w:top="1720" w:right="1580" w:bottom="280" w:left="1600" w:header="720" w:footer="720" w:gutter="0"/>
          <w:cols w:space="720"/>
        </w:sectPr>
      </w:pPr>
    </w:p>
    <w:p w:rsidR="00EF7EC3" w:rsidRDefault="003772D7">
      <w:pPr>
        <w:pStyle w:val="Textoindependiente"/>
        <w:spacing w:before="73" w:line="259" w:lineRule="auto"/>
        <w:ind w:right="115"/>
      </w:pPr>
      <w:proofErr w:type="gramStart"/>
      <w:r>
        <w:lastRenderedPageBreak/>
        <w:t>por</w:t>
      </w:r>
      <w:proofErr w:type="gramEnd"/>
      <w:r>
        <w:t xml:space="preserve"> el</w:t>
      </w:r>
      <w:r>
        <w:rPr>
          <w:spacing w:val="-1"/>
        </w:rPr>
        <w:t xml:space="preserve"> </w:t>
      </w:r>
      <w:r>
        <w:t>Instituto Nacional</w:t>
      </w:r>
      <w:r>
        <w:rPr>
          <w:spacing w:val="-1"/>
        </w:rPr>
        <w:t xml:space="preserve"> </w:t>
      </w:r>
      <w:r>
        <w:t>de Estadísticas (2020-2021)</w:t>
      </w:r>
      <w:r>
        <w:rPr>
          <w:vertAlign w:val="superscript"/>
        </w:rPr>
        <w:t>1</w:t>
      </w:r>
      <w:r>
        <w:t>, la agricultura representa una</w:t>
      </w:r>
      <w:r>
        <w:rPr>
          <w:spacing w:val="-3"/>
        </w:rPr>
        <w:t xml:space="preserve"> </w:t>
      </w:r>
      <w:r>
        <w:t>fuente laboral para 1.904.726 personas (9,6% de la población</w:t>
      </w:r>
      <w:r>
        <w:t xml:space="preserve"> nacional), y por ello es valorable que se haya pensado en ampliar el plazo a quienes califican como pequeños productores </w:t>
      </w:r>
      <w:r>
        <w:rPr>
          <w:spacing w:val="-2"/>
        </w:rPr>
        <w:t>agrícolas.</w:t>
      </w:r>
    </w:p>
    <w:p w:rsidR="00EF7EC3" w:rsidRDefault="003772D7">
      <w:pPr>
        <w:pStyle w:val="Textoindependiente"/>
        <w:spacing w:before="161" w:line="259" w:lineRule="auto"/>
        <w:ind w:right="115"/>
      </w:pPr>
      <w:r>
        <w:t>Sin embargo, es necesario hacer presente que esta medida excluye a las personas que viven de la pequeña agricultura sin est</w:t>
      </w:r>
      <w:r>
        <w:t>ar registradas en INDAP y a todas las personas naturales</w:t>
      </w:r>
      <w:r>
        <w:rPr>
          <w:spacing w:val="-14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pudieran</w:t>
      </w:r>
      <w:r>
        <w:rPr>
          <w:spacing w:val="-14"/>
        </w:rPr>
        <w:t xml:space="preserve"> </w:t>
      </w:r>
      <w:r>
        <w:t>tener</w:t>
      </w:r>
      <w:r>
        <w:rPr>
          <w:spacing w:val="-8"/>
        </w:rPr>
        <w:t xml:space="preserve"> </w:t>
      </w:r>
      <w:r>
        <w:t>derechos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aprovechamiento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agua,</w:t>
      </w:r>
      <w:r>
        <w:rPr>
          <w:spacing w:val="-10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más</w:t>
      </w:r>
      <w:r>
        <w:rPr>
          <w:spacing w:val="-11"/>
        </w:rPr>
        <w:t xml:space="preserve"> </w:t>
      </w:r>
      <w:r>
        <w:t>mínimos</w:t>
      </w:r>
      <w:r>
        <w:rPr>
          <w:spacing w:val="-11"/>
        </w:rPr>
        <w:t xml:space="preserve"> </w:t>
      </w:r>
      <w:r>
        <w:t>que fueran. Hay muchas personas que no tienen cómo acceder a la información necesaria, producto de la falta de acceso a la tecnología e internet, y muchas personas que carecen de las oportunidades económicas que permitan costear el trabajo de un o una prof</w:t>
      </w:r>
      <w:r>
        <w:t>esional que pueda llevar a cabo los procesos legales asociados a la regularización de derechos, especialmente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sectores</w:t>
      </w:r>
      <w:r>
        <w:rPr>
          <w:spacing w:val="-12"/>
        </w:rPr>
        <w:t xml:space="preserve"> </w:t>
      </w:r>
      <w:r>
        <w:t>rurales.</w:t>
      </w:r>
      <w:r>
        <w:rPr>
          <w:spacing w:val="-8"/>
        </w:rPr>
        <w:t xml:space="preserve"> </w:t>
      </w:r>
      <w:r>
        <w:t>Según</w:t>
      </w:r>
      <w:r>
        <w:rPr>
          <w:spacing w:val="-10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suministrados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Dirección</w:t>
      </w:r>
      <w:r>
        <w:rPr>
          <w:spacing w:val="-10"/>
        </w:rPr>
        <w:t xml:space="preserve"> </w:t>
      </w:r>
      <w:r>
        <w:t>General de</w:t>
      </w:r>
      <w:r>
        <w:rPr>
          <w:spacing w:val="-12"/>
        </w:rPr>
        <w:t xml:space="preserve"> </w:t>
      </w:r>
      <w:r>
        <w:t>Aguas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Ministerio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Obras</w:t>
      </w:r>
      <w:r>
        <w:rPr>
          <w:spacing w:val="-11"/>
        </w:rPr>
        <w:t xml:space="preserve"> </w:t>
      </w:r>
      <w:r>
        <w:t>Públicas</w:t>
      </w:r>
      <w:r>
        <w:rPr>
          <w:spacing w:val="-9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sus</w:t>
      </w:r>
      <w:r>
        <w:rPr>
          <w:spacing w:val="-13"/>
        </w:rPr>
        <w:t xml:space="preserve"> </w:t>
      </w:r>
      <w:r>
        <w:t>más</w:t>
      </w:r>
      <w:r>
        <w:rPr>
          <w:spacing w:val="-14"/>
        </w:rPr>
        <w:t xml:space="preserve"> </w:t>
      </w:r>
      <w:r>
        <w:t>recientes</w:t>
      </w:r>
      <w:r>
        <w:rPr>
          <w:spacing w:val="-14"/>
        </w:rPr>
        <w:t xml:space="preserve"> </w:t>
      </w:r>
      <w:r>
        <w:t>documen</w:t>
      </w:r>
      <w:r>
        <w:t>tos</w:t>
      </w:r>
      <w:r>
        <w:rPr>
          <w:vertAlign w:val="superscript"/>
        </w:rPr>
        <w:t>2</w:t>
      </w:r>
      <w:r>
        <w:t>,</w:t>
      </w:r>
      <w:r>
        <w:rPr>
          <w:spacing w:val="-10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Chile</w:t>
      </w:r>
      <w:r>
        <w:rPr>
          <w:spacing w:val="-11"/>
        </w:rPr>
        <w:t xml:space="preserve"> </w:t>
      </w:r>
      <w:r>
        <w:t>hay</w:t>
      </w:r>
    </w:p>
    <w:p w:rsidR="00EF7EC3" w:rsidRDefault="003772D7">
      <w:pPr>
        <w:pStyle w:val="Textoindependiente"/>
        <w:spacing w:line="259" w:lineRule="auto"/>
        <w:ind w:right="116"/>
      </w:pPr>
      <w:r>
        <w:t>142.385 derechos de aprovechamientos de agua otorgados de acuerdo a la normativa vigente, de los cuales la mayoría corresponden a zonas rurales.</w:t>
      </w:r>
    </w:p>
    <w:p w:rsidR="00EF7EC3" w:rsidRDefault="003772D7">
      <w:pPr>
        <w:pStyle w:val="Textoindependiente"/>
        <w:spacing w:before="158" w:line="259" w:lineRule="auto"/>
        <w:ind w:right="115"/>
      </w:pPr>
      <w:r>
        <w:t>Por</w:t>
      </w:r>
      <w:r>
        <w:rPr>
          <w:spacing w:val="-9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anterior,</w:t>
      </w:r>
      <w:r>
        <w:rPr>
          <w:spacing w:val="-10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búsqueda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solucionar</w:t>
      </w:r>
      <w:r>
        <w:rPr>
          <w:spacing w:val="-11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necesidad</w:t>
      </w:r>
      <w:r>
        <w:rPr>
          <w:spacing w:val="-9"/>
        </w:rPr>
        <w:t xml:space="preserve"> </w:t>
      </w:r>
      <w:r>
        <w:t>latente</w:t>
      </w:r>
      <w:r>
        <w:rPr>
          <w:spacing w:val="-12"/>
        </w:rPr>
        <w:t xml:space="preserve"> </w:t>
      </w:r>
      <w:r>
        <w:t>tanto</w:t>
      </w:r>
      <w:r>
        <w:rPr>
          <w:spacing w:val="-12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pequeñas comunidades</w:t>
      </w:r>
      <w:r>
        <w:rPr>
          <w:spacing w:val="-11"/>
        </w:rPr>
        <w:t xml:space="preserve"> </w:t>
      </w:r>
      <w:r>
        <w:t>agrícolas</w:t>
      </w:r>
      <w:r>
        <w:rPr>
          <w:spacing w:val="-10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las</w:t>
      </w:r>
      <w:r>
        <w:rPr>
          <w:spacing w:val="-14"/>
        </w:rPr>
        <w:t xml:space="preserve"> </w:t>
      </w:r>
      <w:r>
        <w:t>miles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personas</w:t>
      </w:r>
      <w:r>
        <w:rPr>
          <w:spacing w:val="-1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podrían</w:t>
      </w:r>
      <w:r>
        <w:rPr>
          <w:spacing w:val="-12"/>
        </w:rPr>
        <w:t xml:space="preserve"> </w:t>
      </w:r>
      <w:r>
        <w:t>tener</w:t>
      </w:r>
      <w:r>
        <w:rPr>
          <w:spacing w:val="-10"/>
        </w:rPr>
        <w:t xml:space="preserve"> </w:t>
      </w:r>
      <w:r>
        <w:t>problemas</w:t>
      </w:r>
      <w:r>
        <w:rPr>
          <w:spacing w:val="-11"/>
        </w:rPr>
        <w:t xml:space="preserve"> </w:t>
      </w:r>
      <w:r>
        <w:t>para regularizar sus derechos en los dieciocho meses estipulados por el artículo transitorio segundo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N°</w:t>
      </w:r>
      <w:r>
        <w:rPr>
          <w:spacing w:val="40"/>
        </w:rPr>
        <w:t xml:space="preserve"> </w:t>
      </w:r>
      <w:r>
        <w:t>21.435,</w:t>
      </w:r>
      <w:r>
        <w:rPr>
          <w:spacing w:val="-10"/>
        </w:rPr>
        <w:t xml:space="preserve"> </w:t>
      </w:r>
      <w:r>
        <w:t>esta</w:t>
      </w:r>
      <w:r>
        <w:rPr>
          <w:spacing w:val="-13"/>
        </w:rPr>
        <w:t xml:space="preserve"> </w:t>
      </w:r>
      <w:r>
        <w:t>moción</w:t>
      </w:r>
      <w:r>
        <w:rPr>
          <w:spacing w:val="-12"/>
        </w:rPr>
        <w:t xml:space="preserve"> </w:t>
      </w:r>
      <w:r>
        <w:t>parlamentaria</w:t>
      </w:r>
      <w:r>
        <w:rPr>
          <w:spacing w:val="-12"/>
        </w:rPr>
        <w:t xml:space="preserve"> </w:t>
      </w:r>
      <w:r>
        <w:t>busca</w:t>
      </w:r>
      <w:r>
        <w:rPr>
          <w:spacing w:val="-11"/>
        </w:rPr>
        <w:t xml:space="preserve"> </w:t>
      </w:r>
      <w:r>
        <w:t>establecer</w:t>
      </w:r>
      <w:r>
        <w:rPr>
          <w:spacing w:val="-11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plazo</w:t>
      </w:r>
      <w:r>
        <w:rPr>
          <w:spacing w:val="-11"/>
        </w:rPr>
        <w:t xml:space="preserve"> </w:t>
      </w:r>
      <w:r>
        <w:t>general de cinco años para el proceso de inscripción y regularización de derechos de aprovechamiento de aguas.</w:t>
      </w:r>
    </w:p>
    <w:p w:rsidR="00EF7EC3" w:rsidRDefault="003772D7">
      <w:pPr>
        <w:pStyle w:val="Ttulo1"/>
        <w:spacing w:before="156"/>
        <w:ind w:right="2948"/>
      </w:pPr>
      <w:r>
        <w:t>PROYECTO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LEY</w:t>
      </w:r>
    </w:p>
    <w:p w:rsidR="00EF7EC3" w:rsidRDefault="003772D7">
      <w:pPr>
        <w:pStyle w:val="Textoindependiente"/>
        <w:spacing w:before="181" w:line="259" w:lineRule="auto"/>
        <w:ind w:right="115"/>
      </w:pPr>
      <w:r>
        <w:rPr>
          <w:b/>
        </w:rPr>
        <w:t xml:space="preserve">Artículo único.- </w:t>
      </w:r>
      <w:r>
        <w:t>Reemplácese el inciso primero y deróguese el inciso quinto del artículo segundo</w:t>
      </w:r>
      <w:r>
        <w:rPr>
          <w:spacing w:val="-4"/>
        </w:rPr>
        <w:t xml:space="preserve"> </w:t>
      </w:r>
      <w:r>
        <w:t>establecido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Disposiciones</w:t>
      </w:r>
      <w:r>
        <w:rPr>
          <w:spacing w:val="-2"/>
        </w:rPr>
        <w:t xml:space="preserve"> </w:t>
      </w:r>
      <w:r>
        <w:t>Transitorias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N° 21.435,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reforma</w:t>
      </w:r>
      <w:r>
        <w:rPr>
          <w:spacing w:val="-4"/>
        </w:rPr>
        <w:t xml:space="preserve"> </w:t>
      </w:r>
      <w:r>
        <w:t>el Código de Aguas, por el siguiente:</w:t>
      </w:r>
    </w:p>
    <w:p w:rsidR="00EF7EC3" w:rsidRDefault="003772D7">
      <w:pPr>
        <w:pStyle w:val="Textoindependiente"/>
        <w:spacing w:before="160" w:line="259" w:lineRule="auto"/>
        <w:ind w:right="116"/>
      </w:pPr>
      <w:r>
        <w:rPr>
          <w:b/>
        </w:rPr>
        <w:t xml:space="preserve">Artículo segundo.- </w:t>
      </w:r>
      <w:r>
        <w:t>Los derechos de aprovechamiento de aguas constituidos por acto de autoridad competente, y que a la fecha de publicación de esta ley no estuvieren inscritos en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Registro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Propiedad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Aguas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Conservador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Bienes</w:t>
      </w:r>
      <w:r>
        <w:rPr>
          <w:spacing w:val="-7"/>
        </w:rPr>
        <w:t xml:space="preserve"> </w:t>
      </w:r>
      <w:r>
        <w:t>Raíces</w:t>
      </w:r>
      <w:r>
        <w:rPr>
          <w:spacing w:val="-4"/>
        </w:rPr>
        <w:t xml:space="preserve"> </w:t>
      </w:r>
      <w:r>
        <w:t>correspondiente, deberán</w:t>
      </w:r>
      <w:r>
        <w:rPr>
          <w:spacing w:val="-16"/>
        </w:rPr>
        <w:t xml:space="preserve"> </w:t>
      </w:r>
      <w:r>
        <w:t>ser</w:t>
      </w:r>
      <w:r>
        <w:rPr>
          <w:spacing w:val="-15"/>
        </w:rPr>
        <w:t xml:space="preserve"> </w:t>
      </w:r>
      <w:r>
        <w:t>i</w:t>
      </w:r>
      <w:r>
        <w:t>nscritos,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petición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sus</w:t>
      </w:r>
      <w:r>
        <w:rPr>
          <w:spacing w:val="-15"/>
        </w:rPr>
        <w:t xml:space="preserve"> </w:t>
      </w:r>
      <w:r>
        <w:t>titulares,</w:t>
      </w:r>
      <w:r>
        <w:rPr>
          <w:spacing w:val="-16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referido</w:t>
      </w:r>
      <w:r>
        <w:rPr>
          <w:spacing w:val="-16"/>
        </w:rPr>
        <w:t xml:space="preserve"> </w:t>
      </w:r>
      <w:r>
        <w:t>registro.</w:t>
      </w:r>
      <w:r>
        <w:rPr>
          <w:spacing w:val="-15"/>
        </w:rPr>
        <w:t xml:space="preserve"> </w:t>
      </w:r>
      <w:r>
        <w:t>Transcurrido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plazo de cinco años contado desde la publicación de esta ley, los Conservadores de Bienes Raíces no admitirán a trámite la inscripción de los derechos de aprovechamiento de que</w:t>
      </w:r>
      <w:r>
        <w:t xml:space="preserve"> trata este inciso, los cuales caducarán por el solo ministerio de la ley.</w:t>
      </w:r>
    </w:p>
    <w:p w:rsidR="00EF7EC3" w:rsidRDefault="003772D7">
      <w:pPr>
        <w:pStyle w:val="Textoindependiente"/>
        <w:spacing w:before="161"/>
      </w:pPr>
      <w:r>
        <w:t>“Deróguese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inciso</w:t>
      </w:r>
      <w:r>
        <w:rPr>
          <w:spacing w:val="-6"/>
        </w:rPr>
        <w:t xml:space="preserve"> </w:t>
      </w:r>
      <w:r>
        <w:rPr>
          <w:spacing w:val="-2"/>
        </w:rPr>
        <w:t>quinto.”</w:t>
      </w:r>
    </w:p>
    <w:p w:rsidR="00EF7EC3" w:rsidRDefault="00EF7EC3">
      <w:pPr>
        <w:pStyle w:val="Textoindependiente"/>
        <w:ind w:left="0"/>
        <w:jc w:val="left"/>
        <w:rPr>
          <w:sz w:val="24"/>
        </w:rPr>
      </w:pPr>
    </w:p>
    <w:p w:rsidR="00EF7EC3" w:rsidRDefault="00EF7EC3">
      <w:pPr>
        <w:pStyle w:val="Textoindependiente"/>
        <w:ind w:left="0"/>
        <w:jc w:val="left"/>
        <w:rPr>
          <w:sz w:val="29"/>
        </w:rPr>
      </w:pPr>
    </w:p>
    <w:p w:rsidR="00EF7EC3" w:rsidRDefault="003772D7">
      <w:pPr>
        <w:pStyle w:val="Ttulo1"/>
        <w:ind w:right="2951"/>
      </w:pPr>
      <w:r>
        <w:t>NELSON</w:t>
      </w:r>
      <w:r>
        <w:rPr>
          <w:spacing w:val="-7"/>
        </w:rPr>
        <w:t xml:space="preserve"> </w:t>
      </w:r>
      <w:r>
        <w:t>VENEGAS</w:t>
      </w:r>
      <w:r>
        <w:rPr>
          <w:spacing w:val="-6"/>
        </w:rPr>
        <w:t xml:space="preserve"> </w:t>
      </w:r>
      <w:r>
        <w:rPr>
          <w:spacing w:val="-2"/>
        </w:rPr>
        <w:t>SALAZAR</w:t>
      </w:r>
    </w:p>
    <w:p w:rsidR="00EF7EC3" w:rsidRDefault="003772D7">
      <w:pPr>
        <w:spacing w:before="21"/>
        <w:ind w:left="3066"/>
        <w:rPr>
          <w:b/>
        </w:rPr>
      </w:pPr>
      <w:r>
        <w:rPr>
          <w:b/>
        </w:rPr>
        <w:t>H.</w:t>
      </w:r>
      <w:r>
        <w:rPr>
          <w:b/>
          <w:spacing w:val="-1"/>
        </w:rPr>
        <w:t xml:space="preserve"> </w:t>
      </w:r>
      <w:r>
        <w:rPr>
          <w:b/>
        </w:rPr>
        <w:t>Diputado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República</w:t>
      </w:r>
    </w:p>
    <w:p w:rsidR="00EF7EC3" w:rsidRDefault="003772D7">
      <w:pPr>
        <w:pStyle w:val="Textoindependiente"/>
        <w:spacing w:before="5"/>
        <w:ind w:left="0"/>
        <w:jc w:val="left"/>
        <w:rPr>
          <w:b/>
          <w:sz w:val="27"/>
        </w:rPr>
      </w:pPr>
      <w:r>
        <w:pict>
          <v:rect id="docshape1" o:spid="_x0000_s1026" style="position:absolute;margin-left:85.1pt;margin-top:17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EF7EC3" w:rsidRDefault="003772D7">
      <w:pPr>
        <w:spacing w:before="102"/>
        <w:ind w:left="102" w:right="837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Instituto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Nacional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Estadísticas.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VIII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Censo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Nacional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Agropecuario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y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Forestal,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Resultados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Finales</w:t>
      </w:r>
      <w:r>
        <w:rPr>
          <w:rFonts w:ascii="Calibri" w:hAnsi="Calibri"/>
          <w:sz w:val="20"/>
        </w:rPr>
        <w:t xml:space="preserve">. Consultado el viernes 9 de diciembre de 2022. Disponible en: </w:t>
      </w:r>
      <w:hyperlink r:id="rId5">
        <w:r>
          <w:rPr>
            <w:rFonts w:ascii="Calibri" w:hAnsi="Calibri"/>
            <w:color w:val="0462C1"/>
            <w:spacing w:val="-2"/>
            <w:sz w:val="20"/>
            <w:u w:val="single" w:color="0462C1"/>
          </w:rPr>
          <w:t>https://www.ine.gob.cl/censoagropecuario/resultados-finales/graficas-nacionales</w:t>
        </w:r>
      </w:hyperlink>
    </w:p>
    <w:p w:rsidR="00EF7EC3" w:rsidRDefault="003772D7">
      <w:pPr>
        <w:ind w:left="10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>Direc</w:t>
      </w:r>
      <w:r>
        <w:rPr>
          <w:rFonts w:ascii="Calibri" w:hAnsi="Calibri"/>
          <w:b/>
          <w:sz w:val="20"/>
        </w:rPr>
        <w:t>ción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General</w:t>
      </w:r>
      <w:r>
        <w:rPr>
          <w:rFonts w:ascii="Calibri" w:hAnsi="Calibri"/>
          <w:b/>
          <w:spacing w:val="-6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Aguas,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Ministerio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de</w:t>
      </w:r>
      <w:r>
        <w:rPr>
          <w:rFonts w:ascii="Calibri" w:hAnsi="Calibri"/>
          <w:b/>
          <w:spacing w:val="-4"/>
          <w:sz w:val="20"/>
        </w:rPr>
        <w:t xml:space="preserve"> </w:t>
      </w:r>
      <w:r>
        <w:rPr>
          <w:rFonts w:ascii="Calibri" w:hAnsi="Calibri"/>
          <w:b/>
          <w:sz w:val="20"/>
        </w:rPr>
        <w:t>Obras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z w:val="20"/>
        </w:rPr>
        <w:t xml:space="preserve">Públicas. </w:t>
      </w:r>
      <w:r>
        <w:rPr>
          <w:rFonts w:ascii="Calibri" w:hAnsi="Calibri"/>
          <w:i/>
          <w:sz w:val="20"/>
        </w:rPr>
        <w:t>Derechos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de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aprovechamiento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de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 xml:space="preserve">aguas registrados en DGA. </w:t>
      </w:r>
      <w:r>
        <w:rPr>
          <w:rFonts w:ascii="Calibri" w:hAnsi="Calibri"/>
          <w:sz w:val="20"/>
        </w:rPr>
        <w:t xml:space="preserve">Consultado el viernes 9 de diciembre de 2022. Disponible en: </w:t>
      </w:r>
      <w:hyperlink r:id="rId6">
        <w:r>
          <w:rPr>
            <w:rFonts w:ascii="Calibri" w:hAnsi="Calibri"/>
            <w:color w:val="0462C1"/>
            <w:spacing w:val="-2"/>
            <w:sz w:val="20"/>
            <w:u w:val="single" w:color="0462C1"/>
          </w:rPr>
          <w:t>https://dga.mop.gob.cl/productosyservicios/derechos_historicos/Paginas/default.aspx</w:t>
        </w:r>
      </w:hyperlink>
    </w:p>
    <w:sectPr w:rsidR="00EF7EC3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F7EC3"/>
    <w:rsid w:val="003772D7"/>
    <w:rsid w:val="00E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9DDCAB95-928C-48E3-A3C4-433D42FA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2930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  <w:jc w:val="both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ga.mop.gob.cl/productosyservicios/derechos_historicos/Paginas/default.aspx" TargetMode="External"/><Relationship Id="rId5" Type="http://schemas.openxmlformats.org/officeDocument/2006/relationships/hyperlink" Target="https://www.ine.gob.cl/censoagropecuario/resultados-finales/graficas-nacionale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899</Words>
  <Characters>4950</Characters>
  <Application>Microsoft Office Word</Application>
  <DocSecurity>0</DocSecurity>
  <Lines>41</Lines>
  <Paragraphs>11</Paragraphs>
  <ScaleCrop>false</ScaleCrop>
  <Company/>
  <LinksUpToDate>false</LinksUpToDate>
  <CharactersWithSpaces>5838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 Venegas</dc:creator>
  <cp:lastModifiedBy>Leonardo Lueiza Ureta</cp:lastModifiedBy>
  <cp:revision>1</cp:revision>
  <dcterms:created xsi:type="dcterms:W3CDTF">2022-12-13T14:11:00Z</dcterms:created>
  <dcterms:modified xsi:type="dcterms:W3CDTF">2022-12-19T22:53:00Z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2022-12-13T00:00:00Z</vt:filetime>
  </property>
  <property fmtid="{D5CDD505-2E9C-101B-9397-08002B2CF9AE}" pid="5" name="Producer">
    <vt:lpwstr>Microsoft® Word 2013</vt:lpwstr>
  </property>
</Properties>
</file>