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941" w:rsidRDefault="000C5651">
      <w:pPr>
        <w:pStyle w:val="Textoindependiente"/>
        <w:ind w:left="3875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810257" cy="81343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257" cy="81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941" w:rsidRDefault="009C4941">
      <w:pPr>
        <w:pStyle w:val="Textoindependiente"/>
        <w:spacing w:before="8"/>
        <w:rPr>
          <w:rFonts w:ascii="Times New Roman"/>
          <w:sz w:val="17"/>
        </w:rPr>
      </w:pPr>
    </w:p>
    <w:p w:rsidR="009C4941" w:rsidRDefault="000C5651">
      <w:pPr>
        <w:spacing w:before="95"/>
        <w:ind w:left="4075" w:right="4092"/>
        <w:jc w:val="center"/>
        <w:rPr>
          <w:b/>
          <w:sz w:val="21"/>
        </w:rPr>
      </w:pPr>
      <w:r>
        <w:rPr>
          <w:b/>
          <w:color w:val="333333"/>
          <w:spacing w:val="-2"/>
          <w:sz w:val="21"/>
        </w:rPr>
        <w:t>MOCIÓN</w:t>
      </w:r>
    </w:p>
    <w:p w:rsidR="009C4941" w:rsidRDefault="009C4941">
      <w:pPr>
        <w:pStyle w:val="Textoindependiente"/>
        <w:spacing w:before="7"/>
        <w:rPr>
          <w:b/>
          <w:sz w:val="25"/>
        </w:rPr>
      </w:pPr>
    </w:p>
    <w:p w:rsidR="009C4941" w:rsidRDefault="000C5651">
      <w:pPr>
        <w:spacing w:line="379" w:lineRule="auto"/>
        <w:ind w:left="100" w:right="115"/>
        <w:jc w:val="both"/>
        <w:rPr>
          <w:b/>
          <w:sz w:val="21"/>
        </w:rPr>
      </w:pPr>
      <w:r>
        <w:rPr>
          <w:b/>
          <w:color w:val="333333"/>
          <w:sz w:val="21"/>
        </w:rPr>
        <w:t xml:space="preserve">PROYECTO DE LEY QUE MODIFICA LA LEY N° 18.101 ESTABLECIENDO LA POSIBILIDAD DE DEMANDA GENÉRICA EN CASO DE ARRIENDO DE PREDIOS </w:t>
      </w:r>
      <w:r>
        <w:rPr>
          <w:b/>
          <w:color w:val="333333"/>
          <w:spacing w:val="-2"/>
          <w:sz w:val="21"/>
        </w:rPr>
        <w:t>URBANOS</w:t>
      </w:r>
    </w:p>
    <w:p w:rsidR="009C4941" w:rsidRDefault="000C5651">
      <w:pPr>
        <w:pStyle w:val="Prrafodelista"/>
        <w:numPr>
          <w:ilvl w:val="0"/>
          <w:numId w:val="1"/>
        </w:numPr>
        <w:tabs>
          <w:tab w:val="left" w:pos="1181"/>
        </w:tabs>
        <w:spacing w:before="156"/>
        <w:jc w:val="both"/>
        <w:rPr>
          <w:b/>
          <w:sz w:val="21"/>
        </w:rPr>
      </w:pPr>
      <w:r>
        <w:rPr>
          <w:b/>
          <w:color w:val="333333"/>
          <w:spacing w:val="-2"/>
          <w:sz w:val="21"/>
        </w:rPr>
        <w:t>ANTECEDENTES</w:t>
      </w:r>
    </w:p>
    <w:p w:rsidR="009C4941" w:rsidRDefault="009C4941">
      <w:pPr>
        <w:pStyle w:val="Textoindependiente"/>
        <w:spacing w:before="11"/>
        <w:rPr>
          <w:b/>
          <w:sz w:val="25"/>
        </w:rPr>
      </w:pPr>
    </w:p>
    <w:p w:rsidR="009C4941" w:rsidRDefault="000C5651">
      <w:pPr>
        <w:pStyle w:val="Textoindependiente"/>
        <w:spacing w:line="381" w:lineRule="auto"/>
        <w:ind w:left="100" w:right="114" w:firstLine="359"/>
        <w:jc w:val="both"/>
      </w:pPr>
      <w:r>
        <w:rPr>
          <w:color w:val="333333"/>
        </w:rPr>
        <w:t xml:space="preserve">Durante los último años en Chile han aumentado los fenómenos de ocupación ilegal de la propiedad urbana sin mediar ningún contrato de por medio ya sea por la ignorancia o mera tolerancia de su dueño. Incluso es de público </w:t>
      </w:r>
      <w:proofErr w:type="spellStart"/>
      <w:r>
        <w:rPr>
          <w:color w:val="333333"/>
        </w:rPr>
        <w:t>conocimieto</w:t>
      </w:r>
      <w:proofErr w:type="spellEnd"/>
      <w:r>
        <w:rPr>
          <w:color w:val="333333"/>
        </w:rPr>
        <w:t xml:space="preserve"> que </w:t>
      </w:r>
      <w:proofErr w:type="gramStart"/>
      <w:r>
        <w:rPr>
          <w:color w:val="333333"/>
        </w:rPr>
        <w:t>el último tiempo o</w:t>
      </w:r>
      <w:r>
        <w:rPr>
          <w:color w:val="333333"/>
        </w:rPr>
        <w:t>cupantes</w:t>
      </w:r>
      <w:proofErr w:type="gramEnd"/>
      <w:r>
        <w:rPr>
          <w:color w:val="333333"/>
        </w:rPr>
        <w:t xml:space="preserve"> ilegales han llegado a exigir el pago de cantidades a cambio de un techo inmediato a otros ocupantes vulnerable, o se ha extorsionado al propietario o poseedor legítimo para obtener una compensación económica como condición para recuperar el inmue</w:t>
      </w:r>
      <w:r>
        <w:rPr>
          <w:color w:val="333333"/>
        </w:rPr>
        <w:t>ble ocupado.</w:t>
      </w:r>
    </w:p>
    <w:p w:rsidR="009C4941" w:rsidRDefault="000C5651">
      <w:pPr>
        <w:pStyle w:val="Textoindependiente"/>
        <w:spacing w:before="149" w:line="381" w:lineRule="auto"/>
        <w:ind w:left="100" w:right="124"/>
        <w:jc w:val="both"/>
      </w:pPr>
      <w:r>
        <w:rPr>
          <w:color w:val="333333"/>
        </w:rPr>
        <w:t>Están identificadas verdaderas organizaciones, muy lucrativas y de carácter mafioso, que perturban y privan de la posesión.</w:t>
      </w:r>
    </w:p>
    <w:p w:rsidR="009C4941" w:rsidRDefault="000C5651">
      <w:pPr>
        <w:spacing w:before="152" w:line="376" w:lineRule="auto"/>
        <w:ind w:left="100" w:right="119"/>
        <w:jc w:val="both"/>
        <w:rPr>
          <w:sz w:val="21"/>
        </w:rPr>
      </w:pPr>
      <w:r>
        <w:rPr>
          <w:color w:val="333333"/>
          <w:sz w:val="21"/>
        </w:rPr>
        <w:t>Por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otra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parte,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ninguno de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los cauces legales actualmente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previstos en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la legislación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civil,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para procurar el lanzamien</w:t>
      </w:r>
      <w:r>
        <w:rPr>
          <w:color w:val="333333"/>
          <w:sz w:val="21"/>
        </w:rPr>
        <w:t xml:space="preserve">to de los ocupantes por la fuerza de inmuebles, resulta plenamente satisfactorio </w:t>
      </w:r>
      <w:r>
        <w:rPr>
          <w:b/>
          <w:color w:val="333333"/>
          <w:sz w:val="21"/>
        </w:rPr>
        <w:t xml:space="preserve">cuando se desconoce la identidad de quienes están habitando </w:t>
      </w:r>
      <w:r>
        <w:rPr>
          <w:color w:val="333333"/>
          <w:sz w:val="21"/>
        </w:rPr>
        <w:t>la propiedad.</w:t>
      </w:r>
    </w:p>
    <w:p w:rsidR="009C4941" w:rsidRDefault="000C5651">
      <w:pPr>
        <w:spacing w:before="115" w:line="360" w:lineRule="auto"/>
        <w:ind w:left="100" w:right="117"/>
        <w:jc w:val="both"/>
        <w:rPr>
          <w:rFonts w:ascii="Times New Roman" w:hAnsi="Times New Roman"/>
          <w:sz w:val="24"/>
        </w:rPr>
      </w:pPr>
      <w:r>
        <w:rPr>
          <w:color w:val="333333"/>
          <w:sz w:val="21"/>
        </w:rPr>
        <w:t xml:space="preserve">La ocupación ilegal, esto es, la ocupación no consentida, no es título de acceso a la posesión de un </w:t>
      </w:r>
      <w:r>
        <w:rPr>
          <w:color w:val="333333"/>
          <w:sz w:val="21"/>
        </w:rPr>
        <w:t xml:space="preserve">inmueble ni encuentra amparo alguno en nuestro ordenamiento constitucional. El artículo 19 Nº 24 de la </w:t>
      </w:r>
      <w:proofErr w:type="spellStart"/>
      <w:r>
        <w:rPr>
          <w:color w:val="333333"/>
          <w:sz w:val="21"/>
        </w:rPr>
        <w:t>Cosntitución</w:t>
      </w:r>
      <w:proofErr w:type="spellEnd"/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Política de la República establece "</w:t>
      </w:r>
      <w:r>
        <w:rPr>
          <w:color w:val="333333"/>
          <w:spacing w:val="30"/>
          <w:sz w:val="21"/>
        </w:rPr>
        <w:t xml:space="preserve"> </w:t>
      </w:r>
      <w:r>
        <w:rPr>
          <w:rFonts w:ascii="Times New Roman" w:hAnsi="Times New Roman"/>
          <w:sz w:val="24"/>
        </w:rPr>
        <w:t xml:space="preserve">Nadie puede, en caso alguno, ser privado de su propiedad, del bien sobre que recae o de alguno de los atributos o </w:t>
      </w:r>
      <w:proofErr w:type="gramStart"/>
      <w:r>
        <w:rPr>
          <w:rFonts w:ascii="Times New Roman" w:hAnsi="Times New Roman"/>
          <w:sz w:val="24"/>
        </w:rPr>
        <w:t>facultades</w:t>
      </w:r>
      <w:proofErr w:type="gramEnd"/>
      <w:r>
        <w:rPr>
          <w:rFonts w:ascii="Times New Roman" w:hAnsi="Times New Roman"/>
          <w:sz w:val="24"/>
        </w:rPr>
        <w:t xml:space="preserve"> esenciales del dominio, sino en virtud de ley general o especial que autorice la expropiación por causa de utilidad pública o de in</w:t>
      </w:r>
      <w:r>
        <w:rPr>
          <w:rFonts w:ascii="Times New Roman" w:hAnsi="Times New Roman"/>
          <w:sz w:val="24"/>
        </w:rPr>
        <w:t>terés nacional, calificada por el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legislador"</w:t>
      </w:r>
    </w:p>
    <w:p w:rsidR="009C4941" w:rsidRDefault="009C4941">
      <w:pPr>
        <w:spacing w:line="360" w:lineRule="auto"/>
        <w:jc w:val="both"/>
        <w:rPr>
          <w:rFonts w:ascii="Times New Roman" w:hAnsi="Times New Roman"/>
          <w:sz w:val="24"/>
        </w:rPr>
        <w:sectPr w:rsidR="009C4941">
          <w:type w:val="continuous"/>
          <w:pgSz w:w="12240" w:h="15840"/>
          <w:pgMar w:top="1560" w:right="1580" w:bottom="280" w:left="1600" w:header="720" w:footer="720" w:gutter="0"/>
          <w:cols w:space="720"/>
        </w:sectPr>
      </w:pPr>
    </w:p>
    <w:p w:rsidR="009C4941" w:rsidRDefault="000C5651">
      <w:pPr>
        <w:spacing w:before="75" w:line="348" w:lineRule="auto"/>
        <w:ind w:left="100" w:right="120"/>
        <w:jc w:val="both"/>
        <w:rPr>
          <w:sz w:val="21"/>
        </w:rPr>
      </w:pPr>
      <w:r>
        <w:rPr>
          <w:color w:val="333333"/>
          <w:sz w:val="21"/>
        </w:rPr>
        <w:lastRenderedPageBreak/>
        <w:t>Por lo mismo, La Constitución establece una norma muy objetiva en que "nadie puede…..ser privado de su propiedad" y agrega como una excepción "</w:t>
      </w:r>
      <w:r>
        <w:rPr>
          <w:rFonts w:ascii="Times New Roman" w:hAnsi="Times New Roman"/>
          <w:sz w:val="24"/>
        </w:rPr>
        <w:t xml:space="preserve">sino en virtud de ley general o especial que autorice la expropiación". </w:t>
      </w:r>
      <w:r>
        <w:rPr>
          <w:sz w:val="20"/>
        </w:rPr>
        <w:t xml:space="preserve">Por tanto </w:t>
      </w:r>
      <w:r>
        <w:rPr>
          <w:color w:val="333333"/>
          <w:sz w:val="21"/>
        </w:rPr>
        <w:t>creemos firmemente que es deber del Estado</w:t>
      </w:r>
      <w:r>
        <w:rPr>
          <w:color w:val="333333"/>
          <w:spacing w:val="11"/>
          <w:sz w:val="21"/>
        </w:rPr>
        <w:t xml:space="preserve"> </w:t>
      </w:r>
      <w:r>
        <w:rPr>
          <w:color w:val="333333"/>
          <w:sz w:val="21"/>
        </w:rPr>
        <w:t>promover</w:t>
      </w:r>
      <w:r>
        <w:rPr>
          <w:color w:val="333333"/>
          <w:spacing w:val="13"/>
          <w:sz w:val="21"/>
        </w:rPr>
        <w:t xml:space="preserve"> </w:t>
      </w:r>
      <w:r>
        <w:rPr>
          <w:color w:val="333333"/>
          <w:sz w:val="21"/>
        </w:rPr>
        <w:t>las</w:t>
      </w:r>
      <w:r>
        <w:rPr>
          <w:color w:val="333333"/>
          <w:spacing w:val="10"/>
          <w:sz w:val="21"/>
        </w:rPr>
        <w:t xml:space="preserve"> </w:t>
      </w:r>
      <w:r>
        <w:rPr>
          <w:color w:val="333333"/>
          <w:sz w:val="21"/>
        </w:rPr>
        <w:t>condiciones</w:t>
      </w:r>
      <w:r>
        <w:rPr>
          <w:color w:val="333333"/>
          <w:spacing w:val="14"/>
          <w:sz w:val="21"/>
        </w:rPr>
        <w:t xml:space="preserve"> </w:t>
      </w:r>
      <w:r>
        <w:rPr>
          <w:color w:val="333333"/>
          <w:sz w:val="21"/>
        </w:rPr>
        <w:t>necesarias</w:t>
      </w:r>
      <w:r>
        <w:rPr>
          <w:color w:val="333333"/>
          <w:spacing w:val="14"/>
          <w:sz w:val="21"/>
        </w:rPr>
        <w:t xml:space="preserve"> </w:t>
      </w:r>
      <w:r>
        <w:rPr>
          <w:color w:val="333333"/>
          <w:sz w:val="21"/>
        </w:rPr>
        <w:t>y</w:t>
      </w:r>
      <w:r>
        <w:rPr>
          <w:color w:val="333333"/>
          <w:spacing w:val="7"/>
          <w:sz w:val="21"/>
        </w:rPr>
        <w:t xml:space="preserve"> </w:t>
      </w:r>
      <w:r>
        <w:rPr>
          <w:color w:val="333333"/>
          <w:sz w:val="21"/>
        </w:rPr>
        <w:t>establecer</w:t>
      </w:r>
      <w:r>
        <w:rPr>
          <w:color w:val="333333"/>
          <w:spacing w:val="13"/>
          <w:sz w:val="21"/>
        </w:rPr>
        <w:t xml:space="preserve"> </w:t>
      </w:r>
      <w:r>
        <w:rPr>
          <w:color w:val="333333"/>
          <w:sz w:val="21"/>
        </w:rPr>
        <w:t>las</w:t>
      </w:r>
      <w:r>
        <w:rPr>
          <w:color w:val="333333"/>
          <w:spacing w:val="14"/>
          <w:sz w:val="21"/>
        </w:rPr>
        <w:t xml:space="preserve"> </w:t>
      </w:r>
      <w:r>
        <w:rPr>
          <w:color w:val="333333"/>
          <w:sz w:val="21"/>
        </w:rPr>
        <w:t>normas</w:t>
      </w:r>
      <w:r>
        <w:rPr>
          <w:color w:val="333333"/>
          <w:spacing w:val="14"/>
          <w:sz w:val="21"/>
        </w:rPr>
        <w:t xml:space="preserve"> </w:t>
      </w:r>
      <w:r>
        <w:rPr>
          <w:color w:val="333333"/>
          <w:sz w:val="21"/>
        </w:rPr>
        <w:t>pertinentes</w:t>
      </w:r>
      <w:r>
        <w:rPr>
          <w:color w:val="333333"/>
          <w:spacing w:val="14"/>
          <w:sz w:val="21"/>
        </w:rPr>
        <w:t xml:space="preserve"> </w:t>
      </w:r>
      <w:r>
        <w:rPr>
          <w:color w:val="333333"/>
          <w:sz w:val="21"/>
        </w:rPr>
        <w:t>para</w:t>
      </w:r>
      <w:r>
        <w:rPr>
          <w:color w:val="333333"/>
          <w:spacing w:val="11"/>
          <w:sz w:val="21"/>
        </w:rPr>
        <w:t xml:space="preserve"> </w:t>
      </w:r>
      <w:r>
        <w:rPr>
          <w:color w:val="333333"/>
          <w:spacing w:val="-2"/>
          <w:sz w:val="21"/>
        </w:rPr>
        <w:t>hacer</w:t>
      </w:r>
    </w:p>
    <w:p w:rsidR="009C4941" w:rsidRDefault="000C5651">
      <w:pPr>
        <w:pStyle w:val="Textoindependiente"/>
        <w:spacing w:before="32" w:line="381" w:lineRule="auto"/>
        <w:ind w:left="100" w:right="121"/>
        <w:jc w:val="both"/>
      </w:pPr>
      <w:proofErr w:type="gramStart"/>
      <w:r>
        <w:rPr>
          <w:color w:val="333333"/>
        </w:rPr>
        <w:t>efectivo</w:t>
      </w:r>
      <w:proofErr w:type="gramEnd"/>
      <w:r>
        <w:rPr>
          <w:color w:val="333333"/>
        </w:rPr>
        <w:t xml:space="preserve"> el derecho de propiedad de sus legítimo</w:t>
      </w:r>
      <w:r>
        <w:rPr>
          <w:color w:val="333333"/>
        </w:rPr>
        <w:t>s tenedores. Este proyecto de ley justamente busca facilitar la restitución de la propiedad urbana raíz a sus dueños, cuando aquella sea ocupada ilegalmente y su legítimo tenedor ignora la identidad de aquellos que la habitan.</w:t>
      </w:r>
    </w:p>
    <w:p w:rsidR="009C4941" w:rsidRDefault="009C4941">
      <w:pPr>
        <w:pStyle w:val="Textoindependiente"/>
        <w:rPr>
          <w:sz w:val="24"/>
        </w:rPr>
      </w:pPr>
    </w:p>
    <w:p w:rsidR="009C4941" w:rsidRDefault="009C4941">
      <w:pPr>
        <w:pStyle w:val="Textoindependiente"/>
        <w:spacing w:before="6"/>
        <w:rPr>
          <w:sz w:val="35"/>
        </w:rPr>
      </w:pPr>
    </w:p>
    <w:p w:rsidR="009C4941" w:rsidRDefault="000C5651">
      <w:pPr>
        <w:pStyle w:val="Prrafodelista"/>
        <w:numPr>
          <w:ilvl w:val="0"/>
          <w:numId w:val="1"/>
        </w:numPr>
        <w:tabs>
          <w:tab w:val="left" w:pos="1960"/>
          <w:tab w:val="left" w:pos="1961"/>
        </w:tabs>
        <w:ind w:left="1961" w:hanging="780"/>
        <w:jc w:val="left"/>
        <w:rPr>
          <w:b/>
          <w:sz w:val="21"/>
        </w:rPr>
      </w:pPr>
      <w:r>
        <w:rPr>
          <w:b/>
          <w:color w:val="333333"/>
          <w:sz w:val="21"/>
        </w:rPr>
        <w:t>OBJETIVO</w:t>
      </w:r>
      <w:r>
        <w:rPr>
          <w:b/>
          <w:color w:val="333333"/>
          <w:spacing w:val="-11"/>
          <w:sz w:val="21"/>
        </w:rPr>
        <w:t xml:space="preserve"> </w:t>
      </w:r>
      <w:r>
        <w:rPr>
          <w:b/>
          <w:color w:val="333333"/>
          <w:sz w:val="21"/>
        </w:rPr>
        <w:t>PROYECTO</w:t>
      </w:r>
      <w:r>
        <w:rPr>
          <w:b/>
          <w:color w:val="333333"/>
          <w:spacing w:val="-10"/>
          <w:sz w:val="21"/>
        </w:rPr>
        <w:t xml:space="preserve"> </w:t>
      </w:r>
      <w:r>
        <w:rPr>
          <w:b/>
          <w:color w:val="333333"/>
          <w:sz w:val="21"/>
        </w:rPr>
        <w:t>DE</w:t>
      </w:r>
      <w:r>
        <w:rPr>
          <w:b/>
          <w:color w:val="333333"/>
          <w:spacing w:val="-13"/>
          <w:sz w:val="21"/>
        </w:rPr>
        <w:t xml:space="preserve"> </w:t>
      </w:r>
      <w:r>
        <w:rPr>
          <w:b/>
          <w:color w:val="333333"/>
          <w:spacing w:val="-5"/>
          <w:sz w:val="21"/>
        </w:rPr>
        <w:t>LEY</w:t>
      </w:r>
    </w:p>
    <w:p w:rsidR="009C4941" w:rsidRDefault="009C4941">
      <w:pPr>
        <w:pStyle w:val="Textoindependiente"/>
        <w:rPr>
          <w:b/>
          <w:sz w:val="24"/>
        </w:rPr>
      </w:pPr>
    </w:p>
    <w:p w:rsidR="009C4941" w:rsidRDefault="009C4941">
      <w:pPr>
        <w:pStyle w:val="Textoindependiente"/>
        <w:rPr>
          <w:b/>
          <w:sz w:val="35"/>
        </w:rPr>
      </w:pPr>
    </w:p>
    <w:p w:rsidR="009C4941" w:rsidRDefault="000C5651">
      <w:pPr>
        <w:pStyle w:val="Textoindependiente"/>
        <w:spacing w:line="381" w:lineRule="auto"/>
        <w:ind w:left="100" w:right="131"/>
        <w:jc w:val="both"/>
      </w:pPr>
      <w:r>
        <w:rPr>
          <w:color w:val="333333"/>
        </w:rPr>
        <w:t>Es por todo lo anterior que conviene articular los mecanismos legales ágiles 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la vía civil que permitan la defensa de los derechos de titulares legítimos que se ven privados ilegalmente y sin su consentimiento de la posesión de su propiedad.</w:t>
      </w:r>
    </w:p>
    <w:p w:rsidR="009C4941" w:rsidRDefault="000C5651">
      <w:pPr>
        <w:pStyle w:val="Textoindependiente"/>
        <w:spacing w:before="152" w:line="381" w:lineRule="auto"/>
        <w:ind w:left="100" w:right="117"/>
        <w:jc w:val="both"/>
      </w:pPr>
      <w:r>
        <w:rPr>
          <w:color w:val="333333"/>
        </w:rPr>
        <w:t>Si bien la l</w:t>
      </w:r>
      <w:r>
        <w:rPr>
          <w:color w:val="333333"/>
        </w:rPr>
        <w:t>egislación civil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en el artículo 2195 inciso 2º del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Código Civil define la acción de "precario"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como la </w:t>
      </w:r>
      <w:r>
        <w:rPr>
          <w:i/>
          <w:color w:val="333333"/>
        </w:rPr>
        <w:t xml:space="preserve">"tenencia de una cosa ajena, sin previo contrato por ignorancia o mera tolerancia del dueño" </w:t>
      </w:r>
      <w:r>
        <w:rPr>
          <w:color w:val="333333"/>
        </w:rPr>
        <w:t>y la ley 18.101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que fija normas especiales sobre arrendamien</w:t>
      </w:r>
      <w:r>
        <w:rPr>
          <w:color w:val="333333"/>
        </w:rPr>
        <w:t>to de predios urbanos ,habilitó en su reciente modificación del año 2022, en su artículo 18-K la aplicación del nuevo procedimiento monitorio contenido en el título III a las acciones de comodato precario que persigan la restitución del inmueble y la acció</w:t>
      </w:r>
      <w:r>
        <w:rPr>
          <w:color w:val="333333"/>
        </w:rPr>
        <w:t>n de precario.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Es de amplio </w:t>
      </w:r>
      <w:proofErr w:type="spellStart"/>
      <w:r>
        <w:rPr>
          <w:color w:val="333333"/>
        </w:rPr>
        <w:t>conocimimeto</w:t>
      </w:r>
      <w:proofErr w:type="spellEnd"/>
      <w:r>
        <w:rPr>
          <w:color w:val="333333"/>
        </w:rPr>
        <w:t xml:space="preserve"> que nuestros tribunales exigen a la acción de precario los mismos requisitos del artículo 254 Nº2 del código de procedimiento civil y consecuencialmente lo exigido en el número 1º del artículo 18-A de la ley 18.101 </w:t>
      </w:r>
      <w:r>
        <w:rPr>
          <w:color w:val="333333"/>
        </w:rPr>
        <w:t xml:space="preserve">al formular la demanda judicial. Sin embargo por la naturaleza de la acción de precario, la identificación del o los ocupantes ilegales es diferente a la </w:t>
      </w:r>
      <w:proofErr w:type="spellStart"/>
      <w:r>
        <w:rPr>
          <w:color w:val="333333"/>
        </w:rPr>
        <w:t>idividualización</w:t>
      </w:r>
      <w:proofErr w:type="spellEnd"/>
      <w:r>
        <w:rPr>
          <w:color w:val="333333"/>
        </w:rPr>
        <w:t xml:space="preserve"> de un arrendatario, ya que no existe ningún tipo de relación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contractual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 xml:space="preserve">el </w:t>
      </w:r>
      <w:proofErr w:type="spellStart"/>
      <w:r>
        <w:rPr>
          <w:color w:val="333333"/>
        </w:rPr>
        <w:t>ligít</w:t>
      </w:r>
      <w:r>
        <w:rPr>
          <w:color w:val="333333"/>
        </w:rPr>
        <w:t>imo</w:t>
      </w:r>
      <w:proofErr w:type="spellEnd"/>
      <w:r>
        <w:rPr>
          <w:color w:val="333333"/>
          <w:spacing w:val="-2"/>
        </w:rPr>
        <w:t xml:space="preserve"> </w:t>
      </w:r>
      <w:r>
        <w:rPr>
          <w:color w:val="333333"/>
        </w:rPr>
        <w:t>dueño del inmueble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 intenta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restituir. Por lo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que exige un mayor esfuerzo al demandante en conseguir la individualización de alguna persona que esté habitando la propiedad a fin de sostener jurídicamente la demanda y practicar las </w:t>
      </w:r>
      <w:proofErr w:type="spellStart"/>
      <w:r>
        <w:rPr>
          <w:color w:val="333333"/>
        </w:rPr>
        <w:t>notificacines</w:t>
      </w:r>
      <w:proofErr w:type="spellEnd"/>
      <w:r>
        <w:rPr>
          <w:color w:val="333333"/>
        </w:rPr>
        <w:t xml:space="preserve"> c</w:t>
      </w:r>
      <w:r>
        <w:rPr>
          <w:color w:val="333333"/>
        </w:rPr>
        <w:t>orrespondientes.</w:t>
      </w:r>
    </w:p>
    <w:p w:rsidR="009C4941" w:rsidRDefault="009C4941">
      <w:pPr>
        <w:spacing w:line="381" w:lineRule="auto"/>
        <w:jc w:val="both"/>
        <w:sectPr w:rsidR="009C4941">
          <w:pgSz w:w="12240" w:h="15840"/>
          <w:pgMar w:top="1480" w:right="1580" w:bottom="280" w:left="1600" w:header="720" w:footer="720" w:gutter="0"/>
          <w:cols w:space="720"/>
        </w:sectPr>
      </w:pPr>
    </w:p>
    <w:p w:rsidR="009C4941" w:rsidRDefault="000C5651">
      <w:pPr>
        <w:spacing w:before="71" w:line="379" w:lineRule="auto"/>
        <w:ind w:left="100" w:right="118"/>
        <w:jc w:val="both"/>
        <w:rPr>
          <w:i/>
          <w:sz w:val="21"/>
        </w:rPr>
      </w:pPr>
      <w:r>
        <w:rPr>
          <w:color w:val="333333"/>
          <w:sz w:val="21"/>
        </w:rPr>
        <w:lastRenderedPageBreak/>
        <w:t>El profesor Carlos Pizarro</w:t>
      </w:r>
      <w:r>
        <w:rPr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 xml:space="preserve">Wilson, señala respecto al precario sobre inmuebles </w:t>
      </w:r>
      <w:r>
        <w:rPr>
          <w:i/>
          <w:color w:val="333333"/>
          <w:sz w:val="21"/>
        </w:rPr>
        <w:t>"La acción que ejerce</w:t>
      </w:r>
      <w:r>
        <w:rPr>
          <w:i/>
          <w:color w:val="333333"/>
          <w:spacing w:val="-2"/>
          <w:sz w:val="21"/>
        </w:rPr>
        <w:t xml:space="preserve"> </w:t>
      </w:r>
      <w:r>
        <w:rPr>
          <w:i/>
          <w:color w:val="333333"/>
          <w:sz w:val="21"/>
        </w:rPr>
        <w:t>el dueño no emana de un</w:t>
      </w:r>
      <w:r>
        <w:rPr>
          <w:i/>
          <w:color w:val="333333"/>
          <w:spacing w:val="-2"/>
          <w:sz w:val="21"/>
        </w:rPr>
        <w:t xml:space="preserve"> </w:t>
      </w:r>
      <w:r>
        <w:rPr>
          <w:i/>
          <w:color w:val="333333"/>
          <w:sz w:val="21"/>
        </w:rPr>
        <w:t>contrato, no se</w:t>
      </w:r>
      <w:r>
        <w:rPr>
          <w:i/>
          <w:color w:val="333333"/>
          <w:spacing w:val="-2"/>
          <w:sz w:val="21"/>
        </w:rPr>
        <w:t xml:space="preserve"> </w:t>
      </w:r>
      <w:r>
        <w:rPr>
          <w:i/>
          <w:color w:val="333333"/>
          <w:sz w:val="21"/>
        </w:rPr>
        <w:t>trata</w:t>
      </w:r>
      <w:r>
        <w:rPr>
          <w:i/>
          <w:color w:val="333333"/>
          <w:spacing w:val="-2"/>
          <w:sz w:val="21"/>
        </w:rPr>
        <w:t xml:space="preserve"> </w:t>
      </w:r>
      <w:r>
        <w:rPr>
          <w:i/>
          <w:color w:val="333333"/>
          <w:sz w:val="21"/>
        </w:rPr>
        <w:t xml:space="preserve">de una acción de naturaleza contractual, sino legal. El precario surge de una situación de hecho sin que exista acuerdo ni tampoco una causa que justifique la tenencia" </w:t>
      </w:r>
      <w:r>
        <w:rPr>
          <w:i/>
          <w:color w:val="333333"/>
          <w:sz w:val="21"/>
          <w:vertAlign w:val="superscript"/>
        </w:rPr>
        <w:t>1</w:t>
      </w:r>
    </w:p>
    <w:p w:rsidR="009C4941" w:rsidRDefault="000C5651">
      <w:pPr>
        <w:pStyle w:val="Textoindependiente"/>
        <w:spacing w:before="163" w:line="381" w:lineRule="auto"/>
        <w:ind w:left="100" w:right="115"/>
        <w:jc w:val="both"/>
      </w:pPr>
      <w:r>
        <w:rPr>
          <w:color w:val="333333"/>
        </w:rPr>
        <w:t>Por lo mismo la carga de la prueba por parte del demandante es probar que es el dueño</w:t>
      </w:r>
      <w:r>
        <w:rPr>
          <w:color w:val="333333"/>
        </w:rPr>
        <w:t xml:space="preserve"> o propietario, que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existe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ningún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vínculo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convencional 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otra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fuente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 las obligaciones con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el ocupante y que se acredite la tenencia material de una cosa ajena por ignorancia o mera tolerancia del dueño.</w:t>
      </w:r>
    </w:p>
    <w:p w:rsidR="009C4941" w:rsidRDefault="000C5651">
      <w:pPr>
        <w:pStyle w:val="Textoindependiente"/>
        <w:spacing w:before="152" w:line="381" w:lineRule="auto"/>
        <w:ind w:left="100" w:right="118"/>
        <w:jc w:val="both"/>
      </w:pPr>
      <w:r>
        <w:rPr>
          <w:color w:val="333333"/>
        </w:rPr>
        <w:t>El problema que viene a resolver este proyecto, es el vacío conceptual que se enfrenta el legítimo tenedor que al no tener ninguna relación contractual con el precarista, ignora la identidad de este o de los demás ocupantes, con la consiguiente inseguridad</w:t>
      </w:r>
      <w:r>
        <w:rPr>
          <w:color w:val="333333"/>
        </w:rPr>
        <w:t xml:space="preserve"> en la consecución de la tutela pretendida.</w:t>
      </w:r>
    </w:p>
    <w:p w:rsidR="009C4941" w:rsidRDefault="000C5651">
      <w:pPr>
        <w:spacing w:before="162" w:line="400" w:lineRule="auto"/>
        <w:ind w:left="100" w:right="115"/>
        <w:jc w:val="both"/>
        <w:rPr>
          <w:sz w:val="20"/>
        </w:rPr>
      </w:pPr>
      <w:r>
        <w:rPr>
          <w:sz w:val="20"/>
        </w:rPr>
        <w:t xml:space="preserve">Finalmente, para la correcta aplicación del artículo 18-k, es esencial que se permita la demanda genérica y opere como una excepción al artículo 254 Nº2 de código de procedimiento civil y al artículo 18-A Nº1 de </w:t>
      </w:r>
      <w:r>
        <w:rPr>
          <w:sz w:val="20"/>
        </w:rPr>
        <w:t xml:space="preserve">la ley 18.101. Pudiendo de esta manera no dilatar la legítima aspiración de recuperar el inmueble por parte del dueño </w:t>
      </w:r>
      <w:proofErr w:type="spellStart"/>
      <w:r>
        <w:rPr>
          <w:sz w:val="20"/>
        </w:rPr>
        <w:t>aún</w:t>
      </w:r>
      <w:proofErr w:type="spellEnd"/>
      <w:r>
        <w:rPr>
          <w:sz w:val="20"/>
        </w:rPr>
        <w:t xml:space="preserve"> cuando desconozca la identidad de los ocupantes.</w:t>
      </w:r>
    </w:p>
    <w:p w:rsidR="009C4941" w:rsidRDefault="009C4941">
      <w:pPr>
        <w:pStyle w:val="Textoindependiente"/>
        <w:rPr>
          <w:sz w:val="20"/>
        </w:rPr>
      </w:pPr>
    </w:p>
    <w:p w:rsidR="009C4941" w:rsidRDefault="009C4941">
      <w:pPr>
        <w:pStyle w:val="Textoindependiente"/>
        <w:rPr>
          <w:sz w:val="20"/>
        </w:rPr>
      </w:pPr>
    </w:p>
    <w:p w:rsidR="009C4941" w:rsidRDefault="009C4941">
      <w:pPr>
        <w:pStyle w:val="Textoindependiente"/>
        <w:rPr>
          <w:sz w:val="20"/>
        </w:rPr>
      </w:pPr>
    </w:p>
    <w:p w:rsidR="009C4941" w:rsidRDefault="009C4941">
      <w:pPr>
        <w:pStyle w:val="Textoindependiente"/>
        <w:rPr>
          <w:sz w:val="20"/>
        </w:rPr>
      </w:pPr>
    </w:p>
    <w:p w:rsidR="009C4941" w:rsidRDefault="009C4941">
      <w:pPr>
        <w:pStyle w:val="Textoindependiente"/>
        <w:rPr>
          <w:sz w:val="20"/>
        </w:rPr>
      </w:pPr>
    </w:p>
    <w:p w:rsidR="009C4941" w:rsidRDefault="009C4941">
      <w:pPr>
        <w:pStyle w:val="Textoindependiente"/>
        <w:rPr>
          <w:sz w:val="20"/>
        </w:rPr>
      </w:pPr>
    </w:p>
    <w:p w:rsidR="009C4941" w:rsidRDefault="009C4941">
      <w:pPr>
        <w:pStyle w:val="Textoindependiente"/>
        <w:rPr>
          <w:sz w:val="20"/>
        </w:rPr>
      </w:pPr>
    </w:p>
    <w:p w:rsidR="009C4941" w:rsidRDefault="009C4941">
      <w:pPr>
        <w:pStyle w:val="Textoindependiente"/>
        <w:rPr>
          <w:sz w:val="20"/>
        </w:rPr>
      </w:pPr>
    </w:p>
    <w:p w:rsidR="009C4941" w:rsidRDefault="009C4941">
      <w:pPr>
        <w:pStyle w:val="Textoindependiente"/>
        <w:rPr>
          <w:sz w:val="20"/>
        </w:rPr>
      </w:pPr>
    </w:p>
    <w:p w:rsidR="009C4941" w:rsidRDefault="009C4941">
      <w:pPr>
        <w:pStyle w:val="Textoindependiente"/>
        <w:rPr>
          <w:sz w:val="20"/>
        </w:rPr>
      </w:pPr>
    </w:p>
    <w:p w:rsidR="009C4941" w:rsidRDefault="009C4941">
      <w:pPr>
        <w:pStyle w:val="Textoindependiente"/>
        <w:rPr>
          <w:sz w:val="20"/>
        </w:rPr>
      </w:pPr>
    </w:p>
    <w:p w:rsidR="009C4941" w:rsidRDefault="009C4941">
      <w:pPr>
        <w:pStyle w:val="Textoindependiente"/>
        <w:rPr>
          <w:sz w:val="20"/>
        </w:rPr>
      </w:pPr>
    </w:p>
    <w:p w:rsidR="009C4941" w:rsidRDefault="009C4941">
      <w:pPr>
        <w:pStyle w:val="Textoindependiente"/>
        <w:rPr>
          <w:sz w:val="20"/>
        </w:rPr>
      </w:pPr>
    </w:p>
    <w:p w:rsidR="009C4941" w:rsidRDefault="009C4941">
      <w:pPr>
        <w:pStyle w:val="Textoindependiente"/>
        <w:rPr>
          <w:sz w:val="20"/>
        </w:rPr>
      </w:pPr>
    </w:p>
    <w:p w:rsidR="009C4941" w:rsidRDefault="009C4941">
      <w:pPr>
        <w:pStyle w:val="Textoindependiente"/>
        <w:rPr>
          <w:sz w:val="20"/>
        </w:rPr>
      </w:pPr>
    </w:p>
    <w:p w:rsidR="009C4941" w:rsidRDefault="009C4941">
      <w:pPr>
        <w:pStyle w:val="Textoindependiente"/>
        <w:rPr>
          <w:sz w:val="20"/>
        </w:rPr>
      </w:pPr>
    </w:p>
    <w:p w:rsidR="009C4941" w:rsidRDefault="009C4941">
      <w:pPr>
        <w:pStyle w:val="Textoindependiente"/>
        <w:rPr>
          <w:sz w:val="20"/>
        </w:rPr>
      </w:pPr>
    </w:p>
    <w:p w:rsidR="009C4941" w:rsidRDefault="009C4941">
      <w:pPr>
        <w:pStyle w:val="Textoindependiente"/>
        <w:rPr>
          <w:sz w:val="20"/>
        </w:rPr>
      </w:pPr>
    </w:p>
    <w:p w:rsidR="009C4941" w:rsidRDefault="009C4941">
      <w:pPr>
        <w:pStyle w:val="Textoindependiente"/>
        <w:rPr>
          <w:sz w:val="20"/>
        </w:rPr>
      </w:pPr>
    </w:p>
    <w:p w:rsidR="009C4941" w:rsidRDefault="009C4941">
      <w:pPr>
        <w:pStyle w:val="Textoindependiente"/>
        <w:rPr>
          <w:sz w:val="20"/>
        </w:rPr>
      </w:pPr>
    </w:p>
    <w:p w:rsidR="009C4941" w:rsidRDefault="009C4941">
      <w:pPr>
        <w:pStyle w:val="Textoindependiente"/>
        <w:rPr>
          <w:sz w:val="20"/>
        </w:rPr>
      </w:pPr>
    </w:p>
    <w:p w:rsidR="009C4941" w:rsidRDefault="009C4941">
      <w:pPr>
        <w:pStyle w:val="Textoindependiente"/>
        <w:rPr>
          <w:sz w:val="20"/>
        </w:rPr>
      </w:pPr>
    </w:p>
    <w:p w:rsidR="009C4941" w:rsidRDefault="009C4941">
      <w:pPr>
        <w:pStyle w:val="Textoindependiente"/>
        <w:rPr>
          <w:sz w:val="20"/>
        </w:rPr>
      </w:pPr>
    </w:p>
    <w:p w:rsidR="009C4941" w:rsidRDefault="009C4941">
      <w:pPr>
        <w:pStyle w:val="Textoindependiente"/>
        <w:rPr>
          <w:sz w:val="20"/>
        </w:rPr>
      </w:pPr>
    </w:p>
    <w:p w:rsidR="009C4941" w:rsidRDefault="000C5651">
      <w:pPr>
        <w:pStyle w:val="Textoindependiente"/>
        <w:spacing w:before="4"/>
        <w:rPr>
          <w:sz w:val="14"/>
        </w:rPr>
      </w:pPr>
      <w:r>
        <w:pict>
          <v:rect id="docshape1" o:spid="_x0000_s1026" style="position:absolute;margin-left:85.05pt;margin-top:9.5pt;width:144.05pt;height:.8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9C4941" w:rsidRDefault="000C5651">
      <w:pPr>
        <w:spacing w:before="80"/>
        <w:ind w:left="100"/>
        <w:rPr>
          <w:rFonts w:ascii="Times New Roman"/>
          <w:sz w:val="16"/>
        </w:rPr>
      </w:pPr>
      <w:r>
        <w:rPr>
          <w:rFonts w:ascii="Calibri"/>
          <w:position w:val="10"/>
          <w:sz w:val="13"/>
        </w:rPr>
        <w:t>1</w:t>
      </w:r>
      <w:r>
        <w:rPr>
          <w:rFonts w:ascii="Calibri"/>
          <w:spacing w:val="10"/>
          <w:position w:val="10"/>
          <w:sz w:val="13"/>
        </w:rPr>
        <w:t xml:space="preserve"> </w:t>
      </w:r>
      <w:r>
        <w:rPr>
          <w:rFonts w:ascii="Times New Roman"/>
          <w:sz w:val="16"/>
        </w:rPr>
        <w:t>EL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PRECARIO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DE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INMUEBLE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EN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TODOSSUS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ESTADOS,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UN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INTENTO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DE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SISTEMATIZACION.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En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Estudios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de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pacing w:val="-2"/>
          <w:sz w:val="16"/>
        </w:rPr>
        <w:t>Derecho</w:t>
      </w:r>
    </w:p>
    <w:p w:rsidR="009C4941" w:rsidRDefault="000C5651">
      <w:pPr>
        <w:spacing w:before="8"/>
        <w:ind w:left="10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Privado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en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Homenaje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al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profesor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Daniel</w:t>
      </w:r>
      <w:r>
        <w:rPr>
          <w:rFonts w:ascii="Times New Roman" w:hAnsi="Times New Roman"/>
          <w:spacing w:val="-3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Peñailillo</w:t>
      </w:r>
      <w:proofErr w:type="spellEnd"/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Arévalo,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Santiago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Thomson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Reuters,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pacing w:val="-4"/>
          <w:sz w:val="16"/>
        </w:rPr>
        <w:t>2019</w:t>
      </w:r>
    </w:p>
    <w:p w:rsidR="009C4941" w:rsidRDefault="009C4941">
      <w:pPr>
        <w:rPr>
          <w:rFonts w:ascii="Times New Roman" w:hAnsi="Times New Roman"/>
          <w:sz w:val="16"/>
        </w:rPr>
        <w:sectPr w:rsidR="009C4941">
          <w:pgSz w:w="12240" w:h="15840"/>
          <w:pgMar w:top="1480" w:right="1580" w:bottom="280" w:left="1600" w:header="720" w:footer="720" w:gutter="0"/>
          <w:cols w:space="720"/>
        </w:sectPr>
      </w:pPr>
    </w:p>
    <w:p w:rsidR="009C4941" w:rsidRDefault="000C5651">
      <w:pPr>
        <w:spacing w:before="67"/>
        <w:ind w:left="3520" w:right="3534"/>
        <w:jc w:val="center"/>
        <w:rPr>
          <w:b/>
          <w:sz w:val="21"/>
        </w:rPr>
      </w:pPr>
      <w:r>
        <w:rPr>
          <w:b/>
          <w:color w:val="333333"/>
          <w:sz w:val="21"/>
        </w:rPr>
        <w:lastRenderedPageBreak/>
        <w:t>PROYECTO</w:t>
      </w:r>
      <w:r>
        <w:rPr>
          <w:b/>
          <w:color w:val="333333"/>
          <w:spacing w:val="-8"/>
          <w:sz w:val="21"/>
        </w:rPr>
        <w:t xml:space="preserve"> </w:t>
      </w:r>
      <w:r>
        <w:rPr>
          <w:b/>
          <w:color w:val="333333"/>
          <w:sz w:val="21"/>
        </w:rPr>
        <w:t>DE</w:t>
      </w:r>
      <w:r>
        <w:rPr>
          <w:b/>
          <w:color w:val="333333"/>
          <w:spacing w:val="-8"/>
          <w:sz w:val="21"/>
        </w:rPr>
        <w:t xml:space="preserve"> </w:t>
      </w:r>
      <w:r>
        <w:rPr>
          <w:b/>
          <w:color w:val="333333"/>
          <w:spacing w:val="-5"/>
          <w:sz w:val="21"/>
        </w:rPr>
        <w:t>LEY</w:t>
      </w:r>
    </w:p>
    <w:p w:rsidR="009C4941" w:rsidRDefault="009C4941">
      <w:pPr>
        <w:pStyle w:val="Textoindependiente"/>
        <w:rPr>
          <w:b/>
          <w:sz w:val="24"/>
        </w:rPr>
      </w:pPr>
    </w:p>
    <w:p w:rsidR="009C4941" w:rsidRDefault="009C4941">
      <w:pPr>
        <w:pStyle w:val="Textoindependiente"/>
        <w:spacing w:before="11"/>
        <w:rPr>
          <w:b/>
          <w:sz w:val="33"/>
        </w:rPr>
      </w:pPr>
    </w:p>
    <w:p w:rsidR="009C4941" w:rsidRDefault="000C5651">
      <w:pPr>
        <w:pStyle w:val="Textoindependiente"/>
        <w:spacing w:line="362" w:lineRule="auto"/>
        <w:ind w:left="100" w:right="124"/>
        <w:jc w:val="both"/>
      </w:pPr>
      <w:r>
        <w:t xml:space="preserve">Artículo 1.- </w:t>
      </w:r>
      <w:proofErr w:type="spellStart"/>
      <w:r>
        <w:t>Modifiquese</w:t>
      </w:r>
      <w:proofErr w:type="spellEnd"/>
      <w:r>
        <w:t xml:space="preserve"> la ley Nº 18.101, que fija normas especiales sobre arrendamiento de predios urbanos, de la siguiente forma:</w:t>
      </w:r>
    </w:p>
    <w:p w:rsidR="009C4941" w:rsidRDefault="000C5651">
      <w:pPr>
        <w:pStyle w:val="Textoindependiente"/>
        <w:spacing w:before="148" w:line="360" w:lineRule="auto"/>
        <w:ind w:left="100" w:right="119" w:firstLine="708"/>
        <w:jc w:val="both"/>
      </w:pPr>
      <w:r>
        <w:t>1.-</w:t>
      </w:r>
      <w:r>
        <w:rPr>
          <w:spacing w:val="40"/>
        </w:rPr>
        <w:t xml:space="preserve">  </w:t>
      </w:r>
      <w:r>
        <w:t>Incorpórese en el numeral 1º del artículo 18-A, a continuación de la palabra "arrendatario", la expresión</w:t>
      </w:r>
      <w:r>
        <w:rPr>
          <w:spacing w:val="-2"/>
        </w:rPr>
        <w:t xml:space="preserve"> </w:t>
      </w:r>
      <w:r>
        <w:t>"sin</w:t>
      </w:r>
      <w:r>
        <w:rPr>
          <w:spacing w:val="-2"/>
        </w:rPr>
        <w:t xml:space="preserve"> </w:t>
      </w:r>
      <w:proofErr w:type="spellStart"/>
      <w:r>
        <w:t>perjuci</w:t>
      </w:r>
      <w:r>
        <w:t>o</w:t>
      </w:r>
      <w:proofErr w:type="spellEnd"/>
      <w:r>
        <w:t xml:space="preserve"> de lo establecido en</w:t>
      </w:r>
      <w:r>
        <w:rPr>
          <w:spacing w:val="-2"/>
        </w:rPr>
        <w:t xml:space="preserve"> </w:t>
      </w:r>
      <w:r>
        <w:t xml:space="preserve">el inciso segundo del artículo 18- </w:t>
      </w:r>
      <w:r>
        <w:rPr>
          <w:spacing w:val="-6"/>
        </w:rPr>
        <w:t>K"</w:t>
      </w:r>
    </w:p>
    <w:p w:rsidR="009C4941" w:rsidRDefault="000C5651">
      <w:pPr>
        <w:pStyle w:val="Textoindependiente"/>
        <w:tabs>
          <w:tab w:val="left" w:pos="1516"/>
        </w:tabs>
        <w:spacing w:before="149"/>
        <w:ind w:left="809"/>
      </w:pPr>
      <w:r>
        <w:rPr>
          <w:spacing w:val="-5"/>
        </w:rPr>
        <w:t>2.-</w:t>
      </w:r>
      <w:r>
        <w:tab/>
        <w:t>Incorpórase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inciso</w:t>
      </w:r>
      <w:r>
        <w:rPr>
          <w:spacing w:val="-8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18-</w:t>
      </w:r>
      <w:r>
        <w:rPr>
          <w:spacing w:val="-10"/>
        </w:rPr>
        <w:t>K</w:t>
      </w:r>
    </w:p>
    <w:p w:rsidR="009C4941" w:rsidRDefault="009C4941">
      <w:pPr>
        <w:pStyle w:val="Textoindependiente"/>
        <w:spacing w:before="6"/>
        <w:rPr>
          <w:sz w:val="23"/>
        </w:rPr>
      </w:pPr>
    </w:p>
    <w:p w:rsidR="009C4941" w:rsidRDefault="000C5651">
      <w:pPr>
        <w:pStyle w:val="Textoindependiente"/>
        <w:spacing w:line="360" w:lineRule="auto"/>
        <w:ind w:left="100" w:right="120" w:firstLine="708"/>
        <w:jc w:val="both"/>
      </w:pPr>
      <w:proofErr w:type="gramStart"/>
      <w:r>
        <w:t>" Cuando</w:t>
      </w:r>
      <w:proofErr w:type="gramEnd"/>
      <w:r>
        <w:t xml:space="preserve"> se demande la restitución del inmueble o parte de ella a la que se refiere el </w:t>
      </w:r>
      <w:proofErr w:type="spellStart"/>
      <w:r>
        <w:t>parrafo</w:t>
      </w:r>
      <w:proofErr w:type="spellEnd"/>
      <w:r>
        <w:t xml:space="preserve"> anterior, aquella podrá dirigirse genéri</w:t>
      </w:r>
      <w:r>
        <w:t xml:space="preserve">camente contra los desconocidos ocupantes de la misma. A la demanda se deberá acompañar título que habilite al dueño su derecho a </w:t>
      </w:r>
      <w:r>
        <w:rPr>
          <w:spacing w:val="-2"/>
        </w:rPr>
        <w:t>poseer.</w:t>
      </w:r>
    </w:p>
    <w:p w:rsidR="009C4941" w:rsidRDefault="000C5651">
      <w:pPr>
        <w:pStyle w:val="Textoindependiente"/>
        <w:spacing w:before="151" w:line="357" w:lineRule="auto"/>
        <w:ind w:left="100" w:right="129" w:firstLine="708"/>
        <w:jc w:val="both"/>
      </w:pPr>
      <w:r>
        <w:t>La demanda se notificará</w:t>
      </w:r>
      <w:r>
        <w:rPr>
          <w:spacing w:val="40"/>
        </w:rPr>
        <w:t xml:space="preserve"> </w:t>
      </w:r>
      <w:r>
        <w:t xml:space="preserve">a quien en </w:t>
      </w:r>
      <w:proofErr w:type="spellStart"/>
      <w:r>
        <w:t>conconcreto</w:t>
      </w:r>
      <w:proofErr w:type="spellEnd"/>
      <w:r>
        <w:t xml:space="preserve"> se encuentre habitando aquella</w:t>
      </w:r>
      <w:r>
        <w:rPr>
          <w:spacing w:val="40"/>
        </w:rPr>
        <w:t xml:space="preserve"> </w:t>
      </w:r>
      <w:r>
        <w:t>al momento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llevarse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cabo dicha</w:t>
      </w:r>
      <w:r>
        <w:rPr>
          <w:spacing w:val="3"/>
        </w:rPr>
        <w:t xml:space="preserve"> </w:t>
      </w:r>
      <w:r>
        <w:t>notificación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 prevista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2 del</w:t>
      </w:r>
      <w:r>
        <w:rPr>
          <w:spacing w:val="2"/>
        </w:rPr>
        <w:t xml:space="preserve"> </w:t>
      </w:r>
      <w:r>
        <w:rPr>
          <w:spacing w:val="-2"/>
        </w:rPr>
        <w:t>artículo</w:t>
      </w:r>
    </w:p>
    <w:p w:rsidR="009C4941" w:rsidRDefault="000C5651">
      <w:pPr>
        <w:pStyle w:val="Textoindependiente"/>
        <w:spacing w:before="5" w:line="357" w:lineRule="auto"/>
        <w:ind w:left="100" w:right="135"/>
        <w:jc w:val="both"/>
      </w:pPr>
      <w:r>
        <w:rPr>
          <w:noProof/>
          <w:lang w:val="es-CL" w:eastAsia="es-CL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3190875</wp:posOffset>
            </wp:positionH>
            <wp:positionV relativeFrom="paragraph">
              <wp:posOffset>634223</wp:posOffset>
            </wp:positionV>
            <wp:extent cx="1854200" cy="1077594"/>
            <wp:effectExtent l="0" t="0" r="0" b="0"/>
            <wp:wrapNone/>
            <wp:docPr id="3" name="image2.png" descr="C:\Users\Rodrigo\Desktop\INFORMATICA 2018\GRAFICAS\FIRMAS_2017\firmas_ftransp\hd_jm-cas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07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8. Para efectos de proceder a la identificación del o los ocupantes se podrá solicitar auxilio de la fuerza pública con el fin que el ministro de fe practique la diligencia".</w:t>
      </w:r>
    </w:p>
    <w:p w:rsidR="009C4941" w:rsidRDefault="009C4941">
      <w:pPr>
        <w:pStyle w:val="Textoindependiente"/>
        <w:rPr>
          <w:sz w:val="24"/>
        </w:rPr>
      </w:pPr>
    </w:p>
    <w:p w:rsidR="009C4941" w:rsidRDefault="009C4941">
      <w:pPr>
        <w:pStyle w:val="Textoindependiente"/>
        <w:rPr>
          <w:sz w:val="24"/>
        </w:rPr>
      </w:pPr>
    </w:p>
    <w:p w:rsidR="009C4941" w:rsidRDefault="009C4941">
      <w:pPr>
        <w:pStyle w:val="Textoindependiente"/>
        <w:rPr>
          <w:sz w:val="24"/>
        </w:rPr>
      </w:pPr>
    </w:p>
    <w:p w:rsidR="009C4941" w:rsidRDefault="009C4941">
      <w:pPr>
        <w:pStyle w:val="Textoindependiente"/>
        <w:rPr>
          <w:sz w:val="24"/>
        </w:rPr>
      </w:pPr>
    </w:p>
    <w:p w:rsidR="009C4941" w:rsidRDefault="009C4941">
      <w:pPr>
        <w:pStyle w:val="Textoindependiente"/>
        <w:spacing w:before="6"/>
        <w:rPr>
          <w:sz w:val="34"/>
        </w:rPr>
      </w:pPr>
    </w:p>
    <w:p w:rsidR="009C4941" w:rsidRDefault="000C5651">
      <w:pPr>
        <w:spacing w:line="241" w:lineRule="exact"/>
        <w:ind w:left="3377"/>
        <w:rPr>
          <w:b/>
          <w:sz w:val="21"/>
        </w:rPr>
      </w:pPr>
      <w:r>
        <w:rPr>
          <w:b/>
          <w:sz w:val="21"/>
        </w:rPr>
        <w:t>José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Miguel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Castro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Bascuñán</w:t>
      </w:r>
    </w:p>
    <w:p w:rsidR="009C4941" w:rsidRDefault="000C5651">
      <w:pPr>
        <w:spacing w:line="242" w:lineRule="auto"/>
        <w:ind w:left="3729" w:right="2143" w:hanging="245"/>
        <w:rPr>
          <w:b/>
          <w:sz w:val="21"/>
        </w:rPr>
      </w:pPr>
      <w:r>
        <w:rPr>
          <w:b/>
          <w:sz w:val="21"/>
        </w:rPr>
        <w:t>H.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Diputado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República Región de Antofagasta</w:t>
      </w:r>
    </w:p>
    <w:sectPr w:rsidR="009C4941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E5DBE"/>
    <w:multiLevelType w:val="hybridMultilevel"/>
    <w:tmpl w:val="11A6765E"/>
    <w:lvl w:ilvl="0" w:tplc="99049A88">
      <w:start w:val="1"/>
      <w:numFmt w:val="upperRoman"/>
      <w:lvlText w:val="%1."/>
      <w:lvlJc w:val="left"/>
      <w:pPr>
        <w:ind w:left="1181" w:hanging="721"/>
        <w:jc w:val="right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100"/>
        <w:sz w:val="21"/>
        <w:szCs w:val="21"/>
        <w:lang w:val="es-ES" w:eastAsia="en-US" w:bidi="ar-SA"/>
      </w:rPr>
    </w:lvl>
    <w:lvl w:ilvl="1" w:tplc="DECE4470">
      <w:numFmt w:val="bullet"/>
      <w:lvlText w:val="•"/>
      <w:lvlJc w:val="left"/>
      <w:pPr>
        <w:ind w:left="1968" w:hanging="721"/>
      </w:pPr>
      <w:rPr>
        <w:rFonts w:hint="default"/>
        <w:lang w:val="es-ES" w:eastAsia="en-US" w:bidi="ar-SA"/>
      </w:rPr>
    </w:lvl>
    <w:lvl w:ilvl="2" w:tplc="EA9E5F72">
      <w:numFmt w:val="bullet"/>
      <w:lvlText w:val="•"/>
      <w:lvlJc w:val="left"/>
      <w:pPr>
        <w:ind w:left="2756" w:hanging="721"/>
      </w:pPr>
      <w:rPr>
        <w:rFonts w:hint="default"/>
        <w:lang w:val="es-ES" w:eastAsia="en-US" w:bidi="ar-SA"/>
      </w:rPr>
    </w:lvl>
    <w:lvl w:ilvl="3" w:tplc="27484C40">
      <w:numFmt w:val="bullet"/>
      <w:lvlText w:val="•"/>
      <w:lvlJc w:val="left"/>
      <w:pPr>
        <w:ind w:left="3544" w:hanging="721"/>
      </w:pPr>
      <w:rPr>
        <w:rFonts w:hint="default"/>
        <w:lang w:val="es-ES" w:eastAsia="en-US" w:bidi="ar-SA"/>
      </w:rPr>
    </w:lvl>
    <w:lvl w:ilvl="4" w:tplc="BEA43E38">
      <w:numFmt w:val="bullet"/>
      <w:lvlText w:val="•"/>
      <w:lvlJc w:val="left"/>
      <w:pPr>
        <w:ind w:left="4332" w:hanging="721"/>
      </w:pPr>
      <w:rPr>
        <w:rFonts w:hint="default"/>
        <w:lang w:val="es-ES" w:eastAsia="en-US" w:bidi="ar-SA"/>
      </w:rPr>
    </w:lvl>
    <w:lvl w:ilvl="5" w:tplc="7B608800">
      <w:numFmt w:val="bullet"/>
      <w:lvlText w:val="•"/>
      <w:lvlJc w:val="left"/>
      <w:pPr>
        <w:ind w:left="5120" w:hanging="721"/>
      </w:pPr>
      <w:rPr>
        <w:rFonts w:hint="default"/>
        <w:lang w:val="es-ES" w:eastAsia="en-US" w:bidi="ar-SA"/>
      </w:rPr>
    </w:lvl>
    <w:lvl w:ilvl="6" w:tplc="DC78A806">
      <w:numFmt w:val="bullet"/>
      <w:lvlText w:val="•"/>
      <w:lvlJc w:val="left"/>
      <w:pPr>
        <w:ind w:left="5908" w:hanging="721"/>
      </w:pPr>
      <w:rPr>
        <w:rFonts w:hint="default"/>
        <w:lang w:val="es-ES" w:eastAsia="en-US" w:bidi="ar-SA"/>
      </w:rPr>
    </w:lvl>
    <w:lvl w:ilvl="7" w:tplc="7B0036BA">
      <w:numFmt w:val="bullet"/>
      <w:lvlText w:val="•"/>
      <w:lvlJc w:val="left"/>
      <w:pPr>
        <w:ind w:left="6696" w:hanging="721"/>
      </w:pPr>
      <w:rPr>
        <w:rFonts w:hint="default"/>
        <w:lang w:val="es-ES" w:eastAsia="en-US" w:bidi="ar-SA"/>
      </w:rPr>
    </w:lvl>
    <w:lvl w:ilvl="8" w:tplc="C5341024">
      <w:numFmt w:val="bullet"/>
      <w:lvlText w:val="•"/>
      <w:lvlJc w:val="left"/>
      <w:pPr>
        <w:ind w:left="7484" w:hanging="72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4941"/>
    <w:rsid w:val="000C5651"/>
    <w:rsid w:val="009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A6841319-9610-4AA3-901B-B03B30F3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1181" w:hanging="7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Fuenzalida</dc:creator>
  <cp:lastModifiedBy>Leonardo Lueiza Ureta</cp:lastModifiedBy>
  <cp:revision>1</cp:revision>
  <dcterms:created xsi:type="dcterms:W3CDTF">2022-11-16T12:13:00Z</dcterms:created>
  <dcterms:modified xsi:type="dcterms:W3CDTF">2022-11-28T19:49:00Z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2022-11-16T00:00:00Z</vt:filetime>
  </property>
  <property fmtid="{D5CDD505-2E9C-101B-9397-08002B2CF9AE}" pid="5" name="Producer">
    <vt:lpwstr>Microsoft® Word 2010</vt:lpwstr>
  </property>
</Properties>
</file>