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AAF0" w14:textId="7FEADA69" w:rsidR="00AA0657" w:rsidRPr="00AA0657" w:rsidRDefault="00AA0657" w:rsidP="00AA0657">
      <w:pPr>
        <w:spacing w:after="0" w:line="276" w:lineRule="auto"/>
        <w:ind w:left="0" w:right="0" w:firstLine="0"/>
        <w:jc w:val="right"/>
        <w:rPr>
          <w:rFonts w:ascii="Times New Roman" w:eastAsia="Times New Roman" w:hAnsi="Times New Roman" w:cs="Times New Roman"/>
          <w:b/>
          <w:bCs/>
          <w:color w:val="auto"/>
        </w:rPr>
      </w:pPr>
      <w:r w:rsidRPr="00AA0657">
        <w:rPr>
          <w:rFonts w:ascii="Times New Roman" w:eastAsia="Times New Roman" w:hAnsi="Times New Roman" w:cs="Times New Roman"/>
          <w:b/>
          <w:bCs/>
        </w:rPr>
        <w:t>Boletín N° 14.676-14</w:t>
      </w:r>
    </w:p>
    <w:p w14:paraId="32B807D6" w14:textId="5F3B1DBE" w:rsidR="00AA0657" w:rsidRDefault="00AA0657" w:rsidP="00AA0657">
      <w:pPr>
        <w:spacing w:after="0" w:line="276" w:lineRule="auto"/>
        <w:ind w:left="0" w:right="0" w:firstLine="0"/>
        <w:jc w:val="left"/>
        <w:rPr>
          <w:rFonts w:ascii="Times New Roman" w:eastAsia="Times New Roman" w:hAnsi="Times New Roman" w:cs="Times New Roman"/>
          <w:b/>
          <w:bCs/>
        </w:rPr>
      </w:pPr>
    </w:p>
    <w:p w14:paraId="48A978C6" w14:textId="649F99F6" w:rsidR="00AA0657" w:rsidRPr="00AA0657" w:rsidRDefault="00AA0657" w:rsidP="00AA0657">
      <w:pPr>
        <w:spacing w:after="0" w:line="276" w:lineRule="auto"/>
        <w:ind w:left="0" w:right="0" w:firstLine="0"/>
        <w:rPr>
          <w:rFonts w:ascii="Times New Roman" w:eastAsia="Times New Roman" w:hAnsi="Times New Roman" w:cs="Times New Roman"/>
          <w:b/>
          <w:bCs/>
        </w:rPr>
      </w:pPr>
      <w:r>
        <w:rPr>
          <w:rFonts w:ascii="Times New Roman" w:eastAsia="Times New Roman" w:hAnsi="Times New Roman" w:cs="Times New Roman"/>
          <w:b/>
          <w:bCs/>
        </w:rPr>
        <w:t>P</w:t>
      </w:r>
      <w:r w:rsidRPr="00AA0657">
        <w:rPr>
          <w:rFonts w:ascii="Times New Roman" w:eastAsia="Times New Roman" w:hAnsi="Times New Roman" w:cs="Times New Roman"/>
          <w:b/>
          <w:bCs/>
        </w:rPr>
        <w:t>royecto de ley</w:t>
      </w:r>
      <w:r>
        <w:rPr>
          <w:rFonts w:ascii="Times New Roman" w:eastAsia="Times New Roman" w:hAnsi="Times New Roman" w:cs="Times New Roman"/>
          <w:b/>
          <w:bCs/>
        </w:rPr>
        <w:t>, iniciado en moción de</w:t>
      </w:r>
      <w:r w:rsidRPr="00AA0657">
        <w:rPr>
          <w:rFonts w:ascii="Times New Roman" w:eastAsia="Times New Roman" w:hAnsi="Times New Roman" w:cs="Times New Roman"/>
          <w:b/>
          <w:bCs/>
        </w:rPr>
        <w:t xml:space="preserve"> los Honorables Senadores señor Chahuán, señora Aravena y señores Castro, Montes y Sandoval</w:t>
      </w:r>
      <w:r>
        <w:rPr>
          <w:rFonts w:ascii="Times New Roman" w:eastAsia="Times New Roman" w:hAnsi="Times New Roman" w:cs="Times New Roman"/>
          <w:b/>
          <w:bCs/>
        </w:rPr>
        <w:t xml:space="preserve">, </w:t>
      </w:r>
      <w:r w:rsidRPr="00AA0657">
        <w:rPr>
          <w:rFonts w:ascii="Times New Roman" w:eastAsia="Times New Roman" w:hAnsi="Times New Roman" w:cs="Times New Roman"/>
          <w:b/>
          <w:bCs/>
        </w:rPr>
        <w:t>que modifica el plazo de la ley N° 20.898, que Establece un Procedimiento Simplificado para la Regularización de Viviendas de Autoconstrucción.</w:t>
      </w:r>
    </w:p>
    <w:p w14:paraId="1B1D094E" w14:textId="4AD9F03A" w:rsidR="00AA0657" w:rsidRDefault="00AA0657" w:rsidP="00AA0657">
      <w:pPr>
        <w:spacing w:after="0" w:line="276" w:lineRule="auto"/>
        <w:ind w:left="0" w:right="0" w:firstLine="0"/>
        <w:rPr>
          <w:rFonts w:ascii="Times New Roman" w:hAnsi="Times New Roman" w:cs="Times New Roman"/>
          <w:u w:val="single" w:color="000000"/>
        </w:rPr>
      </w:pPr>
    </w:p>
    <w:p w14:paraId="25E1BD16" w14:textId="77777777" w:rsidR="00AA0657" w:rsidRPr="00AA0657" w:rsidRDefault="00AA0657" w:rsidP="00AA0657">
      <w:pPr>
        <w:spacing w:after="0" w:line="276" w:lineRule="auto"/>
        <w:ind w:left="0" w:right="0" w:firstLine="0"/>
        <w:rPr>
          <w:rFonts w:ascii="Times New Roman" w:hAnsi="Times New Roman" w:cs="Times New Roman"/>
          <w:sz w:val="18"/>
          <w:szCs w:val="18"/>
          <w:u w:val="single" w:color="000000"/>
        </w:rPr>
      </w:pPr>
    </w:p>
    <w:p w14:paraId="2C980577" w14:textId="753AD744" w:rsidR="00EE7110" w:rsidRDefault="00AA0657" w:rsidP="00AA0657">
      <w:pPr>
        <w:spacing w:after="0" w:line="276" w:lineRule="auto"/>
        <w:ind w:left="0" w:right="0" w:firstLine="0"/>
        <w:rPr>
          <w:rFonts w:ascii="Times New Roman" w:hAnsi="Times New Roman" w:cs="Times New Roman"/>
          <w:u w:val="single" w:color="000000"/>
        </w:rPr>
      </w:pPr>
      <w:r w:rsidRPr="00AA0657">
        <w:rPr>
          <w:rFonts w:ascii="Times New Roman" w:hAnsi="Times New Roman" w:cs="Times New Roman"/>
          <w:u w:val="single" w:color="000000"/>
        </w:rPr>
        <w:t>Exposición de motivos.</w:t>
      </w:r>
    </w:p>
    <w:p w14:paraId="6D6139FF" w14:textId="77777777" w:rsidR="00AA0657" w:rsidRPr="00AA0657" w:rsidRDefault="00AA0657" w:rsidP="00AA0657">
      <w:pPr>
        <w:spacing w:after="0" w:line="276" w:lineRule="auto"/>
        <w:ind w:left="0" w:right="0" w:firstLine="0"/>
        <w:rPr>
          <w:rFonts w:ascii="Times New Roman" w:hAnsi="Times New Roman" w:cs="Times New Roman"/>
        </w:rPr>
      </w:pPr>
    </w:p>
    <w:p w14:paraId="5F167175" w14:textId="016AF7CF" w:rsidR="00EE7110" w:rsidRPr="00AA0657" w:rsidRDefault="00AA0657" w:rsidP="00AA0657">
      <w:pPr>
        <w:spacing w:after="0" w:line="276" w:lineRule="auto"/>
        <w:ind w:left="0" w:right="0" w:firstLine="0"/>
        <w:rPr>
          <w:rFonts w:ascii="Times New Roman" w:hAnsi="Times New Roman" w:cs="Times New Roman"/>
        </w:rPr>
      </w:pPr>
      <w:r w:rsidRPr="00AA0657">
        <w:rPr>
          <w:rFonts w:ascii="Times New Roman" w:hAnsi="Times New Roman" w:cs="Times New Roman"/>
        </w:rPr>
        <w:t xml:space="preserve">Con fecha 4 de febrero de 2016, se publicó la ley </w:t>
      </w:r>
      <w:proofErr w:type="gramStart"/>
      <w:r w:rsidRPr="00AA0657">
        <w:rPr>
          <w:rFonts w:ascii="Times New Roman" w:hAnsi="Times New Roman" w:cs="Times New Roman"/>
        </w:rPr>
        <w:t>N</w:t>
      </w:r>
      <w:r>
        <w:rPr>
          <w:rFonts w:ascii="Times New Roman" w:hAnsi="Times New Roman" w:cs="Times New Roman"/>
        </w:rPr>
        <w:t xml:space="preserve">º </w:t>
      </w:r>
      <w:r w:rsidRPr="00AA0657">
        <w:rPr>
          <w:rFonts w:ascii="Times New Roman" w:hAnsi="Times New Roman" w:cs="Times New Roman"/>
          <w:vertAlign w:val="superscript"/>
        </w:rPr>
        <w:t xml:space="preserve"> </w:t>
      </w:r>
      <w:r w:rsidRPr="00AA0657">
        <w:rPr>
          <w:rFonts w:ascii="Times New Roman" w:hAnsi="Times New Roman" w:cs="Times New Roman"/>
        </w:rPr>
        <w:t>20.898</w:t>
      </w:r>
      <w:proofErr w:type="gramEnd"/>
      <w:r w:rsidRPr="00AA0657">
        <w:rPr>
          <w:rFonts w:ascii="Times New Roman" w:hAnsi="Times New Roman" w:cs="Times New Roman"/>
        </w:rPr>
        <w:t>, que establece un procedimiento simplificado para la regularización de viviendas de autoconstrucción, conocida popularmente como "Ley del Mono".</w:t>
      </w:r>
    </w:p>
    <w:p w14:paraId="39BB75EA" w14:textId="77777777" w:rsidR="00AA0657" w:rsidRPr="00AA0657" w:rsidRDefault="00AA0657" w:rsidP="00AA0657">
      <w:pPr>
        <w:spacing w:after="0" w:line="276" w:lineRule="auto"/>
        <w:ind w:left="0" w:right="0" w:firstLine="0"/>
        <w:rPr>
          <w:rFonts w:ascii="Times New Roman" w:hAnsi="Times New Roman" w:cs="Times New Roman"/>
        </w:rPr>
      </w:pPr>
    </w:p>
    <w:p w14:paraId="7B0B7D6D" w14:textId="659900AA" w:rsidR="00EE7110" w:rsidRPr="00AA0657" w:rsidRDefault="00AA0657" w:rsidP="00AA0657">
      <w:pPr>
        <w:spacing w:after="0" w:line="276" w:lineRule="auto"/>
        <w:ind w:left="0" w:right="0" w:firstLine="0"/>
        <w:rPr>
          <w:rFonts w:ascii="Times New Roman" w:hAnsi="Times New Roman" w:cs="Times New Roman"/>
        </w:rPr>
      </w:pPr>
      <w:r w:rsidRPr="00AA0657">
        <w:rPr>
          <w:rFonts w:ascii="Times New Roman" w:hAnsi="Times New Roman" w:cs="Times New Roman"/>
        </w:rPr>
        <w:t>Su plazo primitivo de vigencia fue de tres años, a contar de su publicación, vale decir, expiraba el 4 de febrero de 2019.</w:t>
      </w:r>
    </w:p>
    <w:p w14:paraId="1CC196EE" w14:textId="77777777" w:rsidR="00AA0657" w:rsidRPr="00AA0657" w:rsidRDefault="00AA0657" w:rsidP="00AA0657">
      <w:pPr>
        <w:spacing w:after="0" w:line="276" w:lineRule="auto"/>
        <w:ind w:left="0" w:right="0" w:firstLine="0"/>
        <w:rPr>
          <w:rFonts w:ascii="Times New Roman" w:hAnsi="Times New Roman" w:cs="Times New Roman"/>
        </w:rPr>
      </w:pPr>
    </w:p>
    <w:p w14:paraId="02D7BC55" w14:textId="013AC839" w:rsidR="00EE7110" w:rsidRPr="00AA0657" w:rsidRDefault="00AA0657" w:rsidP="00AA0657">
      <w:pPr>
        <w:spacing w:after="0" w:line="276" w:lineRule="auto"/>
        <w:ind w:left="0" w:right="0" w:firstLine="0"/>
        <w:rPr>
          <w:rFonts w:ascii="Times New Roman" w:hAnsi="Times New Roman" w:cs="Times New Roman"/>
        </w:rPr>
      </w:pPr>
      <w:r w:rsidRPr="00AA0657">
        <w:rPr>
          <w:rFonts w:ascii="Times New Roman" w:hAnsi="Times New Roman" w:cs="Times New Roman"/>
        </w:rPr>
        <w:t>Mediante la promulgación de la ley N</w:t>
      </w:r>
      <w:r>
        <w:rPr>
          <w:rFonts w:ascii="Times New Roman" w:hAnsi="Times New Roman" w:cs="Times New Roman"/>
        </w:rPr>
        <w:t>º</w:t>
      </w:r>
      <w:r>
        <w:rPr>
          <w:rFonts w:ascii="Times New Roman" w:hAnsi="Times New Roman" w:cs="Times New Roman"/>
          <w:vertAlign w:val="superscript"/>
        </w:rPr>
        <w:t xml:space="preserve"> </w:t>
      </w:r>
      <w:r w:rsidRPr="00AA0657">
        <w:rPr>
          <w:rFonts w:ascii="Times New Roman" w:hAnsi="Times New Roman" w:cs="Times New Roman"/>
        </w:rPr>
        <w:t>21.141, publicada el 31 de enero de 2019, se sustituyó dicho plazo, por uno de seis años, de modo que actualmente rige hasta el 4 de febrero de 2022.</w:t>
      </w:r>
    </w:p>
    <w:p w14:paraId="14476C9C" w14:textId="77777777" w:rsidR="00AA0657" w:rsidRPr="00AA0657" w:rsidRDefault="00AA0657" w:rsidP="00AA0657">
      <w:pPr>
        <w:spacing w:after="0" w:line="276" w:lineRule="auto"/>
        <w:ind w:left="0" w:right="0" w:firstLine="0"/>
        <w:rPr>
          <w:rFonts w:ascii="Times New Roman" w:hAnsi="Times New Roman" w:cs="Times New Roman"/>
        </w:rPr>
      </w:pPr>
      <w:r w:rsidRPr="00AA0657">
        <w:rPr>
          <w:rFonts w:ascii="Times New Roman" w:hAnsi="Times New Roman" w:cs="Times New Roman"/>
          <w:noProof/>
        </w:rPr>
        <w:drawing>
          <wp:anchor distT="0" distB="0" distL="114300" distR="114300" simplePos="0" relativeHeight="251658240" behindDoc="0" locked="0" layoutInCell="1" allowOverlap="0" wp14:anchorId="1C844A76" wp14:editId="1A294F0F">
            <wp:simplePos x="0" y="0"/>
            <wp:positionH relativeFrom="page">
              <wp:posOffset>6876351</wp:posOffset>
            </wp:positionH>
            <wp:positionV relativeFrom="page">
              <wp:posOffset>5088824</wp:posOffset>
            </wp:positionV>
            <wp:extent cx="3318" cy="9959"/>
            <wp:effectExtent l="0" t="0" r="0" b="0"/>
            <wp:wrapSquare wrapText="bothSides"/>
            <wp:docPr id="1426" name="Picture 1426"/>
            <wp:cNvGraphicFramePr/>
            <a:graphic xmlns:a="http://schemas.openxmlformats.org/drawingml/2006/main">
              <a:graphicData uri="http://schemas.openxmlformats.org/drawingml/2006/picture">
                <pic:pic xmlns:pic="http://schemas.openxmlformats.org/drawingml/2006/picture">
                  <pic:nvPicPr>
                    <pic:cNvPr id="1426" name="Picture 1426"/>
                    <pic:cNvPicPr/>
                  </pic:nvPicPr>
                  <pic:blipFill>
                    <a:blip r:embed="rId4"/>
                    <a:stretch>
                      <a:fillRect/>
                    </a:stretch>
                  </pic:blipFill>
                  <pic:spPr>
                    <a:xfrm>
                      <a:off x="0" y="0"/>
                      <a:ext cx="3318" cy="9959"/>
                    </a:xfrm>
                    <a:prstGeom prst="rect">
                      <a:avLst/>
                    </a:prstGeom>
                  </pic:spPr>
                </pic:pic>
              </a:graphicData>
            </a:graphic>
          </wp:anchor>
        </w:drawing>
      </w:r>
      <w:r w:rsidRPr="00AA0657">
        <w:rPr>
          <w:rFonts w:ascii="Times New Roman" w:hAnsi="Times New Roman" w:cs="Times New Roman"/>
          <w:noProof/>
        </w:rPr>
        <w:drawing>
          <wp:anchor distT="0" distB="0" distL="114300" distR="114300" simplePos="0" relativeHeight="251659264" behindDoc="0" locked="0" layoutInCell="1" allowOverlap="0" wp14:anchorId="3DCAC326" wp14:editId="26AD5456">
            <wp:simplePos x="0" y="0"/>
            <wp:positionH relativeFrom="page">
              <wp:posOffset>783214</wp:posOffset>
            </wp:positionH>
            <wp:positionV relativeFrom="page">
              <wp:posOffset>3113710</wp:posOffset>
            </wp:positionV>
            <wp:extent cx="3319" cy="6639"/>
            <wp:effectExtent l="0" t="0" r="0" b="0"/>
            <wp:wrapSquare wrapText="bothSides"/>
            <wp:docPr id="1424" name="Picture 1424"/>
            <wp:cNvGraphicFramePr/>
            <a:graphic xmlns:a="http://schemas.openxmlformats.org/drawingml/2006/main">
              <a:graphicData uri="http://schemas.openxmlformats.org/drawingml/2006/picture">
                <pic:pic xmlns:pic="http://schemas.openxmlformats.org/drawingml/2006/picture">
                  <pic:nvPicPr>
                    <pic:cNvPr id="1424" name="Picture 1424"/>
                    <pic:cNvPicPr/>
                  </pic:nvPicPr>
                  <pic:blipFill>
                    <a:blip r:embed="rId5"/>
                    <a:stretch>
                      <a:fillRect/>
                    </a:stretch>
                  </pic:blipFill>
                  <pic:spPr>
                    <a:xfrm>
                      <a:off x="0" y="0"/>
                      <a:ext cx="3319" cy="6639"/>
                    </a:xfrm>
                    <a:prstGeom prst="rect">
                      <a:avLst/>
                    </a:prstGeom>
                  </pic:spPr>
                </pic:pic>
              </a:graphicData>
            </a:graphic>
          </wp:anchor>
        </w:drawing>
      </w:r>
      <w:r w:rsidRPr="00AA0657">
        <w:rPr>
          <w:rFonts w:ascii="Times New Roman" w:hAnsi="Times New Roman" w:cs="Times New Roman"/>
          <w:noProof/>
        </w:rPr>
        <w:drawing>
          <wp:anchor distT="0" distB="0" distL="114300" distR="114300" simplePos="0" relativeHeight="251660288" behindDoc="0" locked="0" layoutInCell="1" allowOverlap="0" wp14:anchorId="62891E50" wp14:editId="415CD04F">
            <wp:simplePos x="0" y="0"/>
            <wp:positionH relativeFrom="page">
              <wp:posOffset>789851</wp:posOffset>
            </wp:positionH>
            <wp:positionV relativeFrom="page">
              <wp:posOffset>3120349</wp:posOffset>
            </wp:positionV>
            <wp:extent cx="3319" cy="6639"/>
            <wp:effectExtent l="0" t="0" r="0" b="0"/>
            <wp:wrapSquare wrapText="bothSides"/>
            <wp:docPr id="1425" name="Picture 1425"/>
            <wp:cNvGraphicFramePr/>
            <a:graphic xmlns:a="http://schemas.openxmlformats.org/drawingml/2006/main">
              <a:graphicData uri="http://schemas.openxmlformats.org/drawingml/2006/picture">
                <pic:pic xmlns:pic="http://schemas.openxmlformats.org/drawingml/2006/picture">
                  <pic:nvPicPr>
                    <pic:cNvPr id="1425" name="Picture 1425"/>
                    <pic:cNvPicPr/>
                  </pic:nvPicPr>
                  <pic:blipFill>
                    <a:blip r:embed="rId6"/>
                    <a:stretch>
                      <a:fillRect/>
                    </a:stretch>
                  </pic:blipFill>
                  <pic:spPr>
                    <a:xfrm>
                      <a:off x="0" y="0"/>
                      <a:ext cx="3319" cy="6639"/>
                    </a:xfrm>
                    <a:prstGeom prst="rect">
                      <a:avLst/>
                    </a:prstGeom>
                  </pic:spPr>
                </pic:pic>
              </a:graphicData>
            </a:graphic>
          </wp:anchor>
        </w:drawing>
      </w:r>
    </w:p>
    <w:p w14:paraId="2960B490" w14:textId="131E68CD" w:rsidR="00EE7110" w:rsidRPr="00AA0657" w:rsidRDefault="00AA0657" w:rsidP="00AA0657">
      <w:pPr>
        <w:spacing w:after="0" w:line="276" w:lineRule="auto"/>
        <w:ind w:left="0" w:right="0" w:firstLine="0"/>
        <w:rPr>
          <w:rFonts w:ascii="Times New Roman" w:hAnsi="Times New Roman" w:cs="Times New Roman"/>
        </w:rPr>
      </w:pPr>
      <w:r w:rsidRPr="00AA0657">
        <w:rPr>
          <w:rFonts w:ascii="Times New Roman" w:hAnsi="Times New Roman" w:cs="Times New Roman"/>
        </w:rPr>
        <w:t>Es del caso señalar que, como es de público conocimiento, durante el transcurso de la vigencia de este cuerpo legal, se han sucedido múltiples acontecimientos, tales como el estallido social ocurrido en el mes de octubre de 2019, mediante múltiples manifestaciones violentas con sus correspondientes secuelas y desde principios del año 2020, la aparición de la pandemia del corona virus, que ha afectado a todo el universo, todo lo cual ha dificultado cumplir adecuadamente con los múltiples trámites que requieren cumplir quienes postulen a dicha regularización, para satisfacer las múltiples exigencias de carácter técnico contemplado en la referida ley.</w:t>
      </w:r>
    </w:p>
    <w:p w14:paraId="78C78F0D" w14:textId="77777777" w:rsidR="00AA0657" w:rsidRPr="00AA0657" w:rsidRDefault="00AA0657" w:rsidP="00AA0657">
      <w:pPr>
        <w:spacing w:after="0" w:line="276" w:lineRule="auto"/>
        <w:ind w:left="0" w:right="0" w:firstLine="0"/>
        <w:rPr>
          <w:rFonts w:ascii="Times New Roman" w:hAnsi="Times New Roman" w:cs="Times New Roman"/>
        </w:rPr>
      </w:pPr>
    </w:p>
    <w:p w14:paraId="7DFBCE2E" w14:textId="471FD566" w:rsidR="00EE7110" w:rsidRPr="00AA0657" w:rsidRDefault="00AA0657" w:rsidP="00AA0657">
      <w:pPr>
        <w:spacing w:after="0" w:line="276" w:lineRule="auto"/>
        <w:ind w:left="0" w:right="0" w:firstLine="0"/>
        <w:rPr>
          <w:rFonts w:ascii="Times New Roman" w:hAnsi="Times New Roman" w:cs="Times New Roman"/>
        </w:rPr>
      </w:pPr>
      <w:r w:rsidRPr="00AA0657">
        <w:rPr>
          <w:rFonts w:ascii="Times New Roman" w:hAnsi="Times New Roman" w:cs="Times New Roman"/>
        </w:rPr>
        <w:t>En tal virtud se hace necesario extender el plazo de vigencia del cuerpo legal mencionado, por un año más, a lo menos, para lo cual debe sustituirse el plazo de seis años por uno de siete.</w:t>
      </w:r>
    </w:p>
    <w:p w14:paraId="57E07051" w14:textId="77777777" w:rsidR="00AA0657" w:rsidRPr="00AA0657" w:rsidRDefault="00AA0657" w:rsidP="00AA0657">
      <w:pPr>
        <w:spacing w:after="0" w:line="276" w:lineRule="auto"/>
        <w:ind w:left="0" w:right="0" w:firstLine="0"/>
        <w:rPr>
          <w:rFonts w:ascii="Times New Roman" w:hAnsi="Times New Roman" w:cs="Times New Roman"/>
        </w:rPr>
      </w:pPr>
    </w:p>
    <w:p w14:paraId="67AAE496" w14:textId="65455EBB" w:rsidR="00EE7110" w:rsidRPr="00AA0657" w:rsidRDefault="00AA0657" w:rsidP="00AA0657">
      <w:pPr>
        <w:spacing w:after="0" w:line="276" w:lineRule="auto"/>
        <w:ind w:left="0" w:right="0" w:firstLine="0"/>
        <w:rPr>
          <w:rFonts w:ascii="Times New Roman" w:hAnsi="Times New Roman" w:cs="Times New Roman"/>
        </w:rPr>
      </w:pPr>
      <w:r w:rsidRPr="00AA0657">
        <w:rPr>
          <w:rFonts w:ascii="Times New Roman" w:hAnsi="Times New Roman" w:cs="Times New Roman"/>
        </w:rPr>
        <w:t>Por las consideraciones expuestas, sometemos a la aprobación del</w:t>
      </w:r>
      <w:r>
        <w:rPr>
          <w:rFonts w:ascii="Times New Roman" w:hAnsi="Times New Roman" w:cs="Times New Roman"/>
        </w:rPr>
        <w:t xml:space="preserve"> </w:t>
      </w:r>
      <w:r w:rsidRPr="00AA0657">
        <w:rPr>
          <w:rFonts w:ascii="Times New Roman" w:hAnsi="Times New Roman" w:cs="Times New Roman"/>
        </w:rPr>
        <w:t>Senado de la República, el siguiente</w:t>
      </w:r>
      <w:r w:rsidRPr="00AA0657">
        <w:rPr>
          <w:rFonts w:ascii="Times New Roman" w:hAnsi="Times New Roman" w:cs="Times New Roman"/>
        </w:rPr>
        <w:tab/>
      </w:r>
      <w:r w:rsidRPr="00AA0657">
        <w:rPr>
          <w:rFonts w:ascii="Times New Roman" w:hAnsi="Times New Roman" w:cs="Times New Roman"/>
          <w:noProof/>
        </w:rPr>
        <w:drawing>
          <wp:inline distT="0" distB="0" distL="0" distR="0" wp14:anchorId="20B03A19" wp14:editId="23B18AEE">
            <wp:extent cx="6637" cy="13278"/>
            <wp:effectExtent l="0" t="0" r="0" b="0"/>
            <wp:docPr id="1427" name="Picture 1427"/>
            <wp:cNvGraphicFramePr/>
            <a:graphic xmlns:a="http://schemas.openxmlformats.org/drawingml/2006/main">
              <a:graphicData uri="http://schemas.openxmlformats.org/drawingml/2006/picture">
                <pic:pic xmlns:pic="http://schemas.openxmlformats.org/drawingml/2006/picture">
                  <pic:nvPicPr>
                    <pic:cNvPr id="1427" name="Picture 1427"/>
                    <pic:cNvPicPr/>
                  </pic:nvPicPr>
                  <pic:blipFill>
                    <a:blip r:embed="rId7"/>
                    <a:stretch>
                      <a:fillRect/>
                    </a:stretch>
                  </pic:blipFill>
                  <pic:spPr>
                    <a:xfrm>
                      <a:off x="0" y="0"/>
                      <a:ext cx="6637" cy="13278"/>
                    </a:xfrm>
                    <a:prstGeom prst="rect">
                      <a:avLst/>
                    </a:prstGeom>
                  </pic:spPr>
                </pic:pic>
              </a:graphicData>
            </a:graphic>
          </wp:inline>
        </w:drawing>
      </w:r>
    </w:p>
    <w:p w14:paraId="36E39CFD" w14:textId="31501150" w:rsidR="00AA0657" w:rsidRDefault="00AA0657" w:rsidP="00AA0657">
      <w:pPr>
        <w:spacing w:after="0" w:line="276" w:lineRule="auto"/>
        <w:ind w:left="0" w:right="0" w:firstLine="0"/>
        <w:rPr>
          <w:rFonts w:ascii="Times New Roman" w:hAnsi="Times New Roman" w:cs="Times New Roman"/>
        </w:rPr>
      </w:pPr>
    </w:p>
    <w:p w14:paraId="08C6F4E8" w14:textId="03A60E94" w:rsidR="00AA0657" w:rsidRDefault="00AA0657" w:rsidP="00AA0657">
      <w:pPr>
        <w:spacing w:after="0" w:line="276" w:lineRule="auto"/>
        <w:ind w:left="0" w:right="0" w:firstLine="0"/>
        <w:rPr>
          <w:rFonts w:ascii="Times New Roman" w:hAnsi="Times New Roman" w:cs="Times New Roman"/>
        </w:rPr>
      </w:pPr>
    </w:p>
    <w:p w14:paraId="1489EF60" w14:textId="0AB104C7" w:rsidR="00AA0657" w:rsidRDefault="00AA0657" w:rsidP="00AA0657">
      <w:pPr>
        <w:spacing w:after="0" w:line="276" w:lineRule="auto"/>
        <w:ind w:left="0" w:right="0" w:firstLine="0"/>
        <w:rPr>
          <w:rFonts w:ascii="Times New Roman" w:hAnsi="Times New Roman" w:cs="Times New Roman"/>
        </w:rPr>
      </w:pPr>
    </w:p>
    <w:p w14:paraId="0638C493" w14:textId="77777777" w:rsidR="00AA0657" w:rsidRPr="00AA0657" w:rsidRDefault="00AA0657" w:rsidP="00AA0657">
      <w:pPr>
        <w:spacing w:after="0" w:line="276" w:lineRule="auto"/>
        <w:ind w:left="0" w:right="0" w:firstLine="0"/>
        <w:rPr>
          <w:rFonts w:ascii="Times New Roman" w:hAnsi="Times New Roman" w:cs="Times New Roman"/>
        </w:rPr>
      </w:pPr>
    </w:p>
    <w:p w14:paraId="2210300D" w14:textId="6036F2B2" w:rsidR="00EE7110" w:rsidRDefault="00AA0657" w:rsidP="00AA0657">
      <w:pPr>
        <w:spacing w:after="0" w:line="276" w:lineRule="auto"/>
        <w:ind w:left="0" w:right="0" w:firstLine="0"/>
        <w:rPr>
          <w:rFonts w:ascii="Times New Roman" w:hAnsi="Times New Roman" w:cs="Times New Roman"/>
          <w:b/>
          <w:bCs/>
        </w:rPr>
      </w:pPr>
      <w:r w:rsidRPr="00AA0657">
        <w:rPr>
          <w:rFonts w:ascii="Times New Roman" w:hAnsi="Times New Roman" w:cs="Times New Roman"/>
          <w:b/>
          <w:bCs/>
        </w:rPr>
        <w:lastRenderedPageBreak/>
        <w:t>PROYECTO DE LEY:</w:t>
      </w:r>
    </w:p>
    <w:p w14:paraId="370987A8" w14:textId="77777777" w:rsidR="00AA0657" w:rsidRPr="00AA0657" w:rsidRDefault="00AA0657" w:rsidP="00AA0657">
      <w:pPr>
        <w:spacing w:after="0" w:line="276" w:lineRule="auto"/>
        <w:ind w:left="0" w:right="0" w:firstLine="0"/>
        <w:rPr>
          <w:rFonts w:ascii="Times New Roman" w:hAnsi="Times New Roman" w:cs="Times New Roman"/>
          <w:b/>
          <w:bCs/>
          <w:sz w:val="16"/>
          <w:szCs w:val="16"/>
        </w:rPr>
      </w:pPr>
    </w:p>
    <w:p w14:paraId="57B6C6CE" w14:textId="77777777" w:rsidR="00AA0657" w:rsidRPr="00AA0657" w:rsidRDefault="00AA0657" w:rsidP="00AA0657">
      <w:pPr>
        <w:spacing w:after="0" w:line="276" w:lineRule="auto"/>
        <w:ind w:left="0" w:right="0" w:firstLine="0"/>
        <w:rPr>
          <w:rFonts w:ascii="Times New Roman" w:hAnsi="Times New Roman" w:cs="Times New Roman"/>
          <w:b/>
          <w:bCs/>
        </w:rPr>
      </w:pPr>
    </w:p>
    <w:p w14:paraId="6210293A" w14:textId="69F01071" w:rsidR="00EE7110" w:rsidRPr="00AA0657" w:rsidRDefault="00AA0657" w:rsidP="00AA0657">
      <w:pPr>
        <w:spacing w:after="0" w:line="276" w:lineRule="auto"/>
        <w:ind w:left="0" w:right="0" w:firstLine="0"/>
        <w:rPr>
          <w:rFonts w:ascii="Times New Roman" w:hAnsi="Times New Roman" w:cs="Times New Roman"/>
        </w:rPr>
      </w:pPr>
      <w:r w:rsidRPr="00AA0657">
        <w:rPr>
          <w:rFonts w:ascii="Times New Roman" w:hAnsi="Times New Roman" w:cs="Times New Roman"/>
          <w:b/>
          <w:bCs/>
        </w:rPr>
        <w:t>Artículo único</w:t>
      </w:r>
      <w:r w:rsidRPr="00AA0657">
        <w:rPr>
          <w:rFonts w:ascii="Times New Roman" w:hAnsi="Times New Roman" w:cs="Times New Roman"/>
        </w:rPr>
        <w:t>: Modifíquese el inciso primero del artículo 1</w:t>
      </w:r>
      <w:r>
        <w:rPr>
          <w:rFonts w:ascii="Times New Roman" w:hAnsi="Times New Roman" w:cs="Times New Roman"/>
        </w:rPr>
        <w:t>º</w:t>
      </w:r>
      <w:r w:rsidRPr="00AA0657">
        <w:rPr>
          <w:rFonts w:ascii="Times New Roman" w:hAnsi="Times New Roman" w:cs="Times New Roman"/>
          <w:vertAlign w:val="superscript"/>
        </w:rPr>
        <w:t xml:space="preserve"> </w:t>
      </w:r>
      <w:r w:rsidRPr="00AA0657">
        <w:rPr>
          <w:rFonts w:ascii="Times New Roman" w:hAnsi="Times New Roman" w:cs="Times New Roman"/>
        </w:rPr>
        <w:t>de la ley N</w:t>
      </w:r>
      <w:r>
        <w:rPr>
          <w:rFonts w:ascii="Times New Roman" w:hAnsi="Times New Roman" w:cs="Times New Roman"/>
        </w:rPr>
        <w:t xml:space="preserve">º </w:t>
      </w:r>
      <w:r w:rsidRPr="00AA0657">
        <w:rPr>
          <w:rFonts w:ascii="Times New Roman" w:hAnsi="Times New Roman" w:cs="Times New Roman"/>
        </w:rPr>
        <w:t>20.898, que establece un procedimiento simplificado para la regularización de viviendas de autoconstrucción, reemplazándose la expresión "de seis años" por la "de siete años".</w:t>
      </w:r>
    </w:p>
    <w:p w14:paraId="210A935A" w14:textId="550A5B38" w:rsidR="00EE7110" w:rsidRPr="00AA0657" w:rsidRDefault="00EE7110" w:rsidP="00AA0657">
      <w:pPr>
        <w:spacing w:after="0" w:line="240" w:lineRule="auto"/>
        <w:ind w:left="0" w:right="0" w:firstLine="0"/>
        <w:jc w:val="left"/>
        <w:rPr>
          <w:rFonts w:ascii="Times New Roman" w:hAnsi="Times New Roman" w:cs="Times New Roman"/>
        </w:rPr>
      </w:pPr>
    </w:p>
    <w:sectPr w:rsidR="00EE7110" w:rsidRPr="00AA0657" w:rsidSect="00AA0657">
      <w:pgSz w:w="12240" w:h="18720"/>
      <w:pgMar w:top="2402" w:right="1882" w:bottom="3209" w:left="2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110"/>
    <w:rsid w:val="0069603C"/>
    <w:rsid w:val="00AA0657"/>
    <w:rsid w:val="00EE71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528D"/>
  <w15:docId w15:val="{00DAA980-F666-D346-A41D-D537BDEA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24" w:lineRule="auto"/>
      <w:ind w:left="120" w:right="16" w:firstLine="1417"/>
      <w:jc w:val="both"/>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888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1755</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AVILLARROEL</cp:lastModifiedBy>
  <cp:revision>2</cp:revision>
  <dcterms:created xsi:type="dcterms:W3CDTF">2021-11-03T18:56:00Z</dcterms:created>
  <dcterms:modified xsi:type="dcterms:W3CDTF">2021-11-03T18:56:00Z</dcterms:modified>
</cp:coreProperties>
</file>